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F4508" w14:textId="71F45D0A" w:rsidR="000955AE" w:rsidRDefault="00CB01FE" w:rsidP="00CB01FE">
      <w:pPr>
        <w:jc w:val="center"/>
      </w:pPr>
      <w:r w:rsidRPr="00CB01FE">
        <w:rPr>
          <w:noProof/>
        </w:rPr>
        <w:drawing>
          <wp:inline distT="0" distB="0" distL="0" distR="0" wp14:anchorId="5752633C" wp14:editId="36312D57">
            <wp:extent cx="2390775" cy="571500"/>
            <wp:effectExtent l="0" t="0" r="9525" b="0"/>
            <wp:docPr id="1" name="Picture 1" descr="Energize 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rgize C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0775" cy="571500"/>
                    </a:xfrm>
                    <a:prstGeom prst="rect">
                      <a:avLst/>
                    </a:prstGeom>
                    <a:noFill/>
                    <a:ln>
                      <a:noFill/>
                    </a:ln>
                  </pic:spPr>
                </pic:pic>
              </a:graphicData>
            </a:graphic>
          </wp:inline>
        </w:drawing>
      </w:r>
    </w:p>
    <w:p w14:paraId="6A46D82A" w14:textId="22C09B4A" w:rsidR="002E180C" w:rsidRDefault="003F389B" w:rsidP="002E180C">
      <w:pPr>
        <w:spacing w:after="0" w:line="240" w:lineRule="auto"/>
        <w:jc w:val="center"/>
        <w:rPr>
          <w:b/>
        </w:rPr>
      </w:pPr>
      <w:r>
        <w:rPr>
          <w:b/>
        </w:rPr>
        <w:t xml:space="preserve">Request for Proposal </w:t>
      </w:r>
      <w:proofErr w:type="gramStart"/>
      <w:r>
        <w:rPr>
          <w:b/>
        </w:rPr>
        <w:t>Notice  –</w:t>
      </w:r>
      <w:proofErr w:type="gramEnd"/>
      <w:r>
        <w:rPr>
          <w:b/>
        </w:rPr>
        <w:t xml:space="preserve">  </w:t>
      </w:r>
      <w:r w:rsidR="00185CDF">
        <w:rPr>
          <w:b/>
        </w:rPr>
        <w:t>Quality Assurance/Quality Control Inspection Services</w:t>
      </w:r>
    </w:p>
    <w:p w14:paraId="71953888" w14:textId="7489EC9A" w:rsidR="007C40ED" w:rsidRPr="002E180C" w:rsidRDefault="007C40ED" w:rsidP="002E180C">
      <w:pPr>
        <w:spacing w:after="0" w:line="240" w:lineRule="auto"/>
        <w:jc w:val="center"/>
        <w:rPr>
          <w:b/>
        </w:rPr>
      </w:pPr>
      <w:r w:rsidRPr="007C40ED">
        <w:rPr>
          <w:bCs/>
        </w:rPr>
        <w:t>To be Issued by National Grid, on behalf of the</w:t>
      </w:r>
      <w:r w:rsidR="00AA76B6">
        <w:rPr>
          <w:bCs/>
        </w:rPr>
        <w:t xml:space="preserve"> Connecticut</w:t>
      </w:r>
    </w:p>
    <w:p w14:paraId="70A2A9EB" w14:textId="22B40743" w:rsidR="007C40ED" w:rsidRDefault="007C40ED" w:rsidP="002E180C">
      <w:pPr>
        <w:spacing w:after="0" w:line="240" w:lineRule="auto"/>
        <w:jc w:val="center"/>
        <w:rPr>
          <w:bCs/>
        </w:rPr>
      </w:pPr>
      <w:r w:rsidRPr="007C40ED">
        <w:rPr>
          <w:bCs/>
        </w:rPr>
        <w:t xml:space="preserve">Program Administrators </w:t>
      </w:r>
    </w:p>
    <w:p w14:paraId="1401FB37" w14:textId="77777777" w:rsidR="00185CDF" w:rsidRPr="00CC7A8C" w:rsidRDefault="00185CDF" w:rsidP="00185CDF">
      <w:pPr>
        <w:spacing w:after="0" w:line="240" w:lineRule="auto"/>
        <w:ind w:left="14"/>
        <w:rPr>
          <w:b/>
        </w:rPr>
      </w:pPr>
    </w:p>
    <w:p w14:paraId="2B0F30A4" w14:textId="77777777" w:rsidR="00185CDF" w:rsidRDefault="00185CDF" w:rsidP="00185CDF">
      <w:pPr>
        <w:spacing w:after="217"/>
        <w:ind w:left="720"/>
        <w:jc w:val="both"/>
      </w:pPr>
      <w:r>
        <w:t xml:space="preserve">The Massachusetts Gas &amp; Electric Program Administrators (PAs), which include Berkshire Gas, Cape Light Compact, Eversource, Liberty Utilities, National Grid, and </w:t>
      </w:r>
      <w:proofErr w:type="spellStart"/>
      <w:r>
        <w:t>Unitil</w:t>
      </w:r>
      <w:proofErr w:type="spellEnd"/>
      <w:r>
        <w:t xml:space="preserve"> are soliciting request for proposal (RFP) from qualified bidders to provide third party quality assurance/quality control (“QA/QC”) inspection services in support of the statewide Mass Save® Energy Efficiency Residential and Commercial &amp; Industrial Initiatives.  </w:t>
      </w:r>
    </w:p>
    <w:p w14:paraId="00C9DE3F" w14:textId="77777777" w:rsidR="00185CDF" w:rsidRDefault="00185CDF" w:rsidP="00185CDF">
      <w:pPr>
        <w:spacing w:after="217"/>
        <w:ind w:left="720"/>
        <w:jc w:val="both"/>
      </w:pPr>
      <w:r>
        <w:t xml:space="preserve">Connecticut PA, Eversource, will require inspection services in support of several of the Energize Connecticut Energy Efficiency Residential and Commercial &amp; Industrial Programs. </w:t>
      </w:r>
    </w:p>
    <w:p w14:paraId="5B5FC21E" w14:textId="77777777" w:rsidR="00185CDF" w:rsidRDefault="00185CDF" w:rsidP="00185CDF">
      <w:pPr>
        <w:spacing w:after="217"/>
        <w:ind w:left="720"/>
        <w:jc w:val="both"/>
      </w:pPr>
      <w:r>
        <w:t xml:space="preserve">New Hampshire PAs, Eversource, New Hampshire Electric Cooperative, and </w:t>
      </w:r>
      <w:proofErr w:type="spellStart"/>
      <w:r>
        <w:t>Unitil</w:t>
      </w:r>
      <w:proofErr w:type="spellEnd"/>
      <w:r>
        <w:t xml:space="preserve"> will require inspection services in support of the </w:t>
      </w:r>
      <w:proofErr w:type="spellStart"/>
      <w:r>
        <w:t>NHSaves</w:t>
      </w:r>
      <w:proofErr w:type="spellEnd"/>
      <w:r>
        <w:t xml:space="preserve"> Energy Efficiency Residential and Commercial &amp; Industrial Programs.</w:t>
      </w:r>
    </w:p>
    <w:p w14:paraId="03A6F1B0" w14:textId="77777777" w:rsidR="00185CDF" w:rsidRDefault="00185CDF" w:rsidP="00185CDF">
      <w:pPr>
        <w:spacing w:after="0" w:line="240" w:lineRule="auto"/>
        <w:ind w:firstLine="720"/>
        <w:contextualSpacing/>
        <w:jc w:val="both"/>
      </w:pPr>
      <w:r>
        <w:t xml:space="preserve">Bidders may submit proposals for one or more of the program options below: </w:t>
      </w:r>
    </w:p>
    <w:p w14:paraId="3692A463" w14:textId="77777777" w:rsidR="00185CDF" w:rsidRDefault="00185CDF" w:rsidP="00185CDF">
      <w:pPr>
        <w:pStyle w:val="ListParagraph"/>
        <w:numPr>
          <w:ilvl w:val="0"/>
          <w:numId w:val="2"/>
        </w:numPr>
        <w:spacing w:after="0" w:line="240" w:lineRule="auto"/>
        <w:jc w:val="both"/>
      </w:pPr>
      <w:r>
        <w:t xml:space="preserve">Option 1 (MA Only): Residential New Homes &amp; Major Renovation and Commercial Turnkey (Small Business) </w:t>
      </w:r>
    </w:p>
    <w:p w14:paraId="32B92D54" w14:textId="77777777" w:rsidR="00185CDF" w:rsidRDefault="00185CDF" w:rsidP="00185CDF">
      <w:pPr>
        <w:pStyle w:val="ListParagraph"/>
        <w:numPr>
          <w:ilvl w:val="0"/>
          <w:numId w:val="2"/>
        </w:numPr>
        <w:spacing w:after="0" w:line="240" w:lineRule="auto"/>
        <w:jc w:val="both"/>
      </w:pPr>
      <w:r>
        <w:t xml:space="preserve">Option 2 (MA Only): Residential Coordinated Delivery and Residential Coordinated Delivery – Income Eligible </w:t>
      </w:r>
    </w:p>
    <w:p w14:paraId="050CAE4F" w14:textId="77777777" w:rsidR="00185CDF" w:rsidRDefault="00185CDF" w:rsidP="00185CDF">
      <w:pPr>
        <w:pStyle w:val="ListParagraph"/>
        <w:numPr>
          <w:ilvl w:val="0"/>
          <w:numId w:val="2"/>
        </w:numPr>
        <w:spacing w:after="0" w:line="240" w:lineRule="auto"/>
        <w:jc w:val="both"/>
      </w:pPr>
      <w:r>
        <w:t xml:space="preserve">Option 3 (CT, MA, &amp; NH): Commercial Midstream Lighting and Downstream Lighting </w:t>
      </w:r>
    </w:p>
    <w:p w14:paraId="5287C86B" w14:textId="77777777" w:rsidR="00185CDF" w:rsidRDefault="00185CDF" w:rsidP="00185CDF">
      <w:pPr>
        <w:pStyle w:val="ListParagraph"/>
        <w:numPr>
          <w:ilvl w:val="0"/>
          <w:numId w:val="2"/>
        </w:numPr>
        <w:spacing w:after="0" w:line="240" w:lineRule="auto"/>
        <w:jc w:val="both"/>
      </w:pPr>
      <w:r>
        <w:t xml:space="preserve">Option 4 (CT, MA, &amp; NH): Residential and Commercial Midstream Foodservice, Lab Equipment, HVAC, &amp; WH and Residential and Commercial Downstream HVAC &amp; WH, Weatherization, Other </w:t>
      </w:r>
    </w:p>
    <w:p w14:paraId="3E2081CB" w14:textId="77777777" w:rsidR="00185CDF" w:rsidRDefault="00185CDF" w:rsidP="00185CDF">
      <w:pPr>
        <w:pStyle w:val="ListParagraph"/>
        <w:spacing w:after="0" w:line="240" w:lineRule="auto"/>
        <w:ind w:left="1440" w:firstLine="0"/>
        <w:jc w:val="both"/>
      </w:pPr>
    </w:p>
    <w:p w14:paraId="0020292F" w14:textId="77777777" w:rsidR="00185CDF" w:rsidRDefault="00185CDF" w:rsidP="00185CDF">
      <w:pPr>
        <w:spacing w:after="217"/>
        <w:ind w:left="720"/>
        <w:jc w:val="both"/>
      </w:pPr>
      <w:r>
        <w:t xml:space="preserve">Options 3 and 4 may be bid on and awarded by state. Preference will be given to bidders who </w:t>
      </w:r>
      <w:proofErr w:type="gramStart"/>
      <w:r>
        <w:t>are capable of supporting</w:t>
      </w:r>
      <w:proofErr w:type="gramEnd"/>
      <w:r>
        <w:t xml:space="preserve"> multiple program options.  </w:t>
      </w:r>
    </w:p>
    <w:p w14:paraId="6CD89AC8" w14:textId="77777777" w:rsidR="00185CDF" w:rsidRDefault="00185CDF" w:rsidP="00185CDF">
      <w:pPr>
        <w:spacing w:after="217"/>
        <w:ind w:left="720"/>
        <w:jc w:val="both"/>
      </w:pPr>
      <w:r>
        <w:t xml:space="preserve">Please note, if the awarded bidder(s) are currently providing implementation services for one of the listed programs within an option(s) or would like to be considered as an implementation vendor for a specific program in the future, they cannot also be the inspection vendor for the programs </w:t>
      </w:r>
      <w:proofErr w:type="gramStart"/>
      <w:r>
        <w:t>in a given</w:t>
      </w:r>
      <w:proofErr w:type="gramEnd"/>
      <w:r>
        <w:t xml:space="preserve"> option or set of options.  </w:t>
      </w:r>
    </w:p>
    <w:p w14:paraId="4CB6D907" w14:textId="77777777" w:rsidR="00185CDF" w:rsidRDefault="00185CDF" w:rsidP="00185CDF">
      <w:pPr>
        <w:spacing w:after="217"/>
        <w:ind w:left="720"/>
        <w:jc w:val="both"/>
      </w:pPr>
      <w:r>
        <w:t xml:space="preserve">National Grid will be conducting this RFP on behalf of the Program Administrators through an ARIBA e-sourcing platform. If you would like to participate, please email </w:t>
      </w:r>
      <w:r>
        <w:rPr>
          <w:color w:val="0000FF"/>
          <w:u w:val="single" w:color="0000FF"/>
        </w:rPr>
        <w:t>EEProcurement@eversource.com</w:t>
      </w:r>
      <w:r>
        <w:t xml:space="preserve"> by </w:t>
      </w:r>
      <w:r>
        <w:rPr>
          <w:b/>
          <w:bCs/>
        </w:rPr>
        <w:t xml:space="preserve">April 24, </w:t>
      </w:r>
      <w:proofErr w:type="gramStart"/>
      <w:r>
        <w:rPr>
          <w:b/>
          <w:bCs/>
        </w:rPr>
        <w:t>2023</w:t>
      </w:r>
      <w:proofErr w:type="gramEnd"/>
      <w:r>
        <w:rPr>
          <w:b/>
          <w:bCs/>
        </w:rPr>
        <w:t xml:space="preserve"> </w:t>
      </w:r>
      <w:r>
        <w:t xml:space="preserve">to be sent an invitation. </w:t>
      </w:r>
    </w:p>
    <w:p w14:paraId="1DB0B8D6" w14:textId="77777777" w:rsidR="00185CDF" w:rsidRDefault="00185CDF" w:rsidP="00185CDF">
      <w:pPr>
        <w:spacing w:after="217"/>
        <w:ind w:left="720"/>
        <w:jc w:val="both"/>
      </w:pPr>
      <w:r>
        <w:t xml:space="preserve">In ARIBA, you will find all the information necessary to navigate through the tool and respond to the RFP.  The RFP timeline and assessment process are stated below: </w:t>
      </w:r>
    </w:p>
    <w:p w14:paraId="1FAFB4AC" w14:textId="77777777" w:rsidR="00185CDF" w:rsidRDefault="00185CDF" w:rsidP="00185CDF">
      <w:pPr>
        <w:spacing w:after="0"/>
        <w:ind w:left="720"/>
        <w:jc w:val="both"/>
      </w:pPr>
      <w:r>
        <w:t xml:space="preserve">RFP issued to Vendors: </w:t>
      </w:r>
      <w:r>
        <w:tab/>
      </w:r>
      <w:r>
        <w:tab/>
      </w:r>
      <w:r>
        <w:tab/>
      </w:r>
      <w:r>
        <w:tab/>
        <w:t xml:space="preserve">April 27, 2023 </w:t>
      </w:r>
    </w:p>
    <w:p w14:paraId="32B2F68A" w14:textId="77777777" w:rsidR="00185CDF" w:rsidRDefault="00185CDF" w:rsidP="00185CDF">
      <w:pPr>
        <w:spacing w:after="0"/>
        <w:ind w:left="720"/>
        <w:jc w:val="both"/>
      </w:pPr>
      <w:r>
        <w:t xml:space="preserve">Deadline to Ask Questions via the ARIBA: </w:t>
      </w:r>
      <w:r>
        <w:tab/>
        <w:t>May 17, 2023</w:t>
      </w:r>
    </w:p>
    <w:p w14:paraId="16A8CD9F" w14:textId="77777777" w:rsidR="00185CDF" w:rsidRDefault="00185CDF" w:rsidP="00185CDF">
      <w:pPr>
        <w:spacing w:after="0"/>
        <w:ind w:left="720"/>
        <w:jc w:val="both"/>
      </w:pPr>
      <w:r>
        <w:t xml:space="preserve">Final Proposal Submission: </w:t>
      </w:r>
      <w:r>
        <w:tab/>
      </w:r>
      <w:r>
        <w:tab/>
      </w:r>
      <w:r>
        <w:tab/>
        <w:t>May 24, 2023</w:t>
      </w:r>
    </w:p>
    <w:p w14:paraId="64E51D28" w14:textId="77777777" w:rsidR="00185CDF" w:rsidRDefault="00185CDF" w:rsidP="00185CDF">
      <w:pPr>
        <w:spacing w:after="0"/>
        <w:ind w:left="720"/>
        <w:jc w:val="both"/>
      </w:pPr>
    </w:p>
    <w:p w14:paraId="021E2884" w14:textId="172D2B8B" w:rsidR="00227C85" w:rsidRDefault="00185CDF" w:rsidP="00185CDF">
      <w:pPr>
        <w:spacing w:after="1272"/>
        <w:jc w:val="both"/>
      </w:pPr>
      <w:r>
        <w:t>Please note that all questions relating to this RFP must be submitted through the ARIBA Sourcing tool using the Messages function to ensure accurate information is provided to all project team members and suppliers, as well as to ensure process consistency.  National Grid will ONLY provide information related to this RFP via the Message function.  No other communication vehicles will be allowed</w:t>
      </w:r>
      <w:r>
        <w:rPr>
          <w:noProof/>
        </w:rPr>
        <mc:AlternateContent>
          <mc:Choice Requires="wpg">
            <w:drawing>
              <wp:anchor distT="0" distB="0" distL="114300" distR="114300" simplePos="0" relativeHeight="251659264" behindDoc="0" locked="0" layoutInCell="1" allowOverlap="1" wp14:anchorId="437D6F90" wp14:editId="3E2DD30F">
                <wp:simplePos x="0" y="0"/>
                <wp:positionH relativeFrom="page">
                  <wp:posOffset>0</wp:posOffset>
                </wp:positionH>
                <wp:positionV relativeFrom="page">
                  <wp:posOffset>9429750</wp:posOffset>
                </wp:positionV>
                <wp:extent cx="7772400" cy="266700"/>
                <wp:effectExtent l="0" t="0" r="0" b="0"/>
                <wp:wrapTopAndBottom/>
                <wp:docPr id="1297" name="Group 1297"/>
                <wp:cNvGraphicFramePr/>
                <a:graphic xmlns:a="http://schemas.openxmlformats.org/drawingml/2006/main">
                  <a:graphicData uri="http://schemas.microsoft.com/office/word/2010/wordprocessingGroup">
                    <wpg:wgp>
                      <wpg:cNvGrpSpPr/>
                      <wpg:grpSpPr>
                        <a:xfrm>
                          <a:off x="0" y="0"/>
                          <a:ext cx="7772400" cy="266700"/>
                          <a:chOff x="0" y="0"/>
                          <a:chExt cx="7772400" cy="266700"/>
                        </a:xfrm>
                      </wpg:grpSpPr>
                      <wps:wsp>
                        <wps:cNvPr id="167" name="Rectangle 167"/>
                        <wps:cNvSpPr/>
                        <wps:spPr>
                          <a:xfrm>
                            <a:off x="342900" y="88625"/>
                            <a:ext cx="100941" cy="157062"/>
                          </a:xfrm>
                          <a:prstGeom prst="rect">
                            <a:avLst/>
                          </a:prstGeom>
                          <a:ln>
                            <a:noFill/>
                          </a:ln>
                        </wps:spPr>
                        <wps:txbx>
                          <w:txbxContent>
                            <w:p w14:paraId="0166E58F" w14:textId="77777777" w:rsidR="00185CDF" w:rsidRDefault="00185CDF" w:rsidP="00185CDF">
                              <w:r>
                                <w:rPr>
                                  <w:rFonts w:ascii="Courier New" w:eastAsia="Courier New" w:hAnsi="Courier New" w:cs="Courier New"/>
                                  <w:b/>
                                  <w:color w:val="592B02"/>
                                  <w:sz w:val="20"/>
                                </w:rPr>
                                <w:t xml:space="preserve"> </w:t>
                              </w:r>
                            </w:p>
                          </w:txbxContent>
                        </wps:txbx>
                        <wps:bodyPr horzOverflow="overflow" vert="horz" lIns="0" tIns="0" rIns="0" bIns="0" rtlCol="0">
                          <a:noAutofit/>
                        </wps:bodyPr>
                      </wps:wsp>
                      <wps:wsp>
                        <wps:cNvPr id="168" name="Rectangle 168"/>
                        <wps:cNvSpPr/>
                        <wps:spPr>
                          <a:xfrm>
                            <a:off x="419100" y="91218"/>
                            <a:ext cx="100941" cy="153613"/>
                          </a:xfrm>
                          <a:prstGeom prst="rect">
                            <a:avLst/>
                          </a:prstGeom>
                          <a:ln>
                            <a:noFill/>
                          </a:ln>
                        </wps:spPr>
                        <wps:txbx>
                          <w:txbxContent>
                            <w:p w14:paraId="72B9F77A" w14:textId="77777777" w:rsidR="00185CDF" w:rsidRDefault="00185CDF" w:rsidP="00185CDF">
                              <w:r>
                                <w:rPr>
                                  <w:rFonts w:ascii="Courier New" w:eastAsia="Courier New" w:hAnsi="Courier New" w:cs="Courier New"/>
                                  <w:color w:val="592B02"/>
                                  <w:sz w:val="20"/>
                                </w:rPr>
                                <w:t xml:space="preserve"> </w:t>
                              </w:r>
                            </w:p>
                          </w:txbxContent>
                        </wps:txbx>
                        <wps:bodyPr horzOverflow="overflow" vert="horz" lIns="0" tIns="0" rIns="0" bIns="0" rtlCol="0">
                          <a:noAutofit/>
                        </wps:bodyPr>
                      </wps:wsp>
                      <wps:wsp>
                        <wps:cNvPr id="1594" name="Shape 1594"/>
                        <wps:cNvSpPr/>
                        <wps:spPr>
                          <a:xfrm>
                            <a:off x="0" y="114300"/>
                            <a:ext cx="7772400" cy="45720"/>
                          </a:xfrm>
                          <a:custGeom>
                            <a:avLst/>
                            <a:gdLst/>
                            <a:ahLst/>
                            <a:cxnLst/>
                            <a:rect l="0" t="0" r="0" b="0"/>
                            <a:pathLst>
                              <a:path w="7772400" h="45720">
                                <a:moveTo>
                                  <a:pt x="0" y="0"/>
                                </a:moveTo>
                                <a:lnTo>
                                  <a:pt x="7772400" y="0"/>
                                </a:lnTo>
                                <a:lnTo>
                                  <a:pt x="7772400" y="45720"/>
                                </a:lnTo>
                                <a:lnTo>
                                  <a:pt x="0" y="45720"/>
                                </a:lnTo>
                                <a:lnTo>
                                  <a:pt x="0" y="0"/>
                                </a:lnTo>
                              </a:path>
                            </a:pathLst>
                          </a:custGeom>
                          <a:ln w="0" cap="flat">
                            <a:miter lim="127000"/>
                          </a:ln>
                        </wps:spPr>
                        <wps:style>
                          <a:lnRef idx="0">
                            <a:srgbClr val="000000">
                              <a:alpha val="0"/>
                            </a:srgbClr>
                          </a:lnRef>
                          <a:fillRef idx="1">
                            <a:srgbClr val="64B006"/>
                          </a:fillRef>
                          <a:effectRef idx="0">
                            <a:scrgbClr r="0" g="0" b="0"/>
                          </a:effectRef>
                          <a:fontRef idx="none"/>
                        </wps:style>
                        <wps:bodyPr/>
                      </wps:wsp>
                      <wps:wsp>
                        <wps:cNvPr id="1595" name="Shape 1595"/>
                        <wps:cNvSpPr/>
                        <wps:spPr>
                          <a:xfrm>
                            <a:off x="3382010" y="0"/>
                            <a:ext cx="1050290" cy="266700"/>
                          </a:xfrm>
                          <a:custGeom>
                            <a:avLst/>
                            <a:gdLst/>
                            <a:ahLst/>
                            <a:cxnLst/>
                            <a:rect l="0" t="0" r="0" b="0"/>
                            <a:pathLst>
                              <a:path w="1050290" h="266700">
                                <a:moveTo>
                                  <a:pt x="0" y="0"/>
                                </a:moveTo>
                                <a:lnTo>
                                  <a:pt x="1050290" y="0"/>
                                </a:lnTo>
                                <a:lnTo>
                                  <a:pt x="1050290" y="266700"/>
                                </a:lnTo>
                                <a:lnTo>
                                  <a:pt x="0" y="2667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7" name="Rectangle 177"/>
                        <wps:cNvSpPr/>
                        <wps:spPr>
                          <a:xfrm>
                            <a:off x="3650869" y="70815"/>
                            <a:ext cx="332162" cy="154840"/>
                          </a:xfrm>
                          <a:prstGeom prst="rect">
                            <a:avLst/>
                          </a:prstGeom>
                          <a:ln>
                            <a:noFill/>
                          </a:ln>
                        </wps:spPr>
                        <wps:txbx>
                          <w:txbxContent>
                            <w:p w14:paraId="3F58C25C" w14:textId="77777777" w:rsidR="00185CDF" w:rsidRDefault="00185CDF" w:rsidP="00185CDF">
                              <w:r>
                                <w:rPr>
                                  <w:color w:val="592B02"/>
                                  <w:sz w:val="18"/>
                                </w:rPr>
                                <w:t xml:space="preserve">Page </w:t>
                              </w:r>
                            </w:p>
                          </w:txbxContent>
                        </wps:txbx>
                        <wps:bodyPr horzOverflow="overflow" vert="horz" lIns="0" tIns="0" rIns="0" bIns="0" rtlCol="0">
                          <a:noAutofit/>
                        </wps:bodyPr>
                      </wps:wsp>
                      <wps:wsp>
                        <wps:cNvPr id="178" name="Rectangle 178"/>
                        <wps:cNvSpPr/>
                        <wps:spPr>
                          <a:xfrm>
                            <a:off x="3900805" y="70815"/>
                            <a:ext cx="77073" cy="154840"/>
                          </a:xfrm>
                          <a:prstGeom prst="rect">
                            <a:avLst/>
                          </a:prstGeom>
                          <a:ln>
                            <a:noFill/>
                          </a:ln>
                        </wps:spPr>
                        <wps:txbx>
                          <w:txbxContent>
                            <w:p w14:paraId="69AF8735" w14:textId="77777777" w:rsidR="00185CDF" w:rsidRDefault="00185CDF" w:rsidP="00185CDF">
                              <w:r>
                                <w:rPr>
                                  <w:color w:val="592B02"/>
                                  <w:sz w:val="18"/>
                                </w:rPr>
                                <w:t>1</w:t>
                              </w:r>
                            </w:p>
                          </w:txbxContent>
                        </wps:txbx>
                        <wps:bodyPr horzOverflow="overflow" vert="horz" lIns="0" tIns="0" rIns="0" bIns="0" rtlCol="0">
                          <a:noAutofit/>
                        </wps:bodyPr>
                      </wps:wsp>
                      <wps:wsp>
                        <wps:cNvPr id="179" name="Rectangle 179"/>
                        <wps:cNvSpPr/>
                        <wps:spPr>
                          <a:xfrm>
                            <a:off x="3958717" y="70815"/>
                            <a:ext cx="34356" cy="154840"/>
                          </a:xfrm>
                          <a:prstGeom prst="rect">
                            <a:avLst/>
                          </a:prstGeom>
                          <a:ln>
                            <a:noFill/>
                          </a:ln>
                        </wps:spPr>
                        <wps:txbx>
                          <w:txbxContent>
                            <w:p w14:paraId="56EAD276" w14:textId="77777777" w:rsidR="00185CDF" w:rsidRDefault="00185CDF" w:rsidP="00185CDF">
                              <w:r>
                                <w:rPr>
                                  <w:color w:val="592B02"/>
                                  <w:sz w:val="18"/>
                                </w:rPr>
                                <w:t xml:space="preserve"> </w:t>
                              </w:r>
                            </w:p>
                          </w:txbxContent>
                        </wps:txbx>
                        <wps:bodyPr horzOverflow="overflow" vert="horz" lIns="0" tIns="0" rIns="0" bIns="0" rtlCol="0">
                          <a:noAutofit/>
                        </wps:bodyPr>
                      </wps:wsp>
                      <wps:wsp>
                        <wps:cNvPr id="180" name="Rectangle 180"/>
                        <wps:cNvSpPr/>
                        <wps:spPr>
                          <a:xfrm>
                            <a:off x="3984625" y="70815"/>
                            <a:ext cx="161596" cy="154840"/>
                          </a:xfrm>
                          <a:prstGeom prst="rect">
                            <a:avLst/>
                          </a:prstGeom>
                          <a:ln>
                            <a:noFill/>
                          </a:ln>
                        </wps:spPr>
                        <wps:txbx>
                          <w:txbxContent>
                            <w:p w14:paraId="47F4CE9F" w14:textId="77777777" w:rsidR="00185CDF" w:rsidRDefault="00185CDF" w:rsidP="00185CDF">
                              <w:r>
                                <w:rPr>
                                  <w:color w:val="592B02"/>
                                  <w:sz w:val="18"/>
                                </w:rPr>
                                <w:t>of</w:t>
                              </w:r>
                            </w:p>
                          </w:txbxContent>
                        </wps:txbx>
                        <wps:bodyPr horzOverflow="overflow" vert="horz" lIns="0" tIns="0" rIns="0" bIns="0" rtlCol="0">
                          <a:noAutofit/>
                        </wps:bodyPr>
                      </wps:wsp>
                      <wps:wsp>
                        <wps:cNvPr id="181" name="Rectangle 181"/>
                        <wps:cNvSpPr/>
                        <wps:spPr>
                          <a:xfrm>
                            <a:off x="4106545" y="70815"/>
                            <a:ext cx="77073" cy="154840"/>
                          </a:xfrm>
                          <a:prstGeom prst="rect">
                            <a:avLst/>
                          </a:prstGeom>
                          <a:ln>
                            <a:noFill/>
                          </a:ln>
                        </wps:spPr>
                        <wps:txbx>
                          <w:txbxContent>
                            <w:p w14:paraId="5878C535" w14:textId="77777777" w:rsidR="00185CDF" w:rsidRDefault="00185CDF" w:rsidP="00185CDF">
                              <w:r>
                                <w:rPr>
                                  <w:color w:val="592B02"/>
                                  <w:sz w:val="18"/>
                                </w:rPr>
                                <w:t>1</w:t>
                              </w:r>
                            </w:p>
                          </w:txbxContent>
                        </wps:txbx>
                        <wps:bodyPr horzOverflow="overflow" vert="horz" lIns="0" tIns="0" rIns="0" bIns="0" rtlCol="0">
                          <a:noAutofit/>
                        </wps:bodyPr>
                      </wps:wsp>
                    </wpg:wgp>
                  </a:graphicData>
                </a:graphic>
              </wp:anchor>
            </w:drawing>
          </mc:Choice>
          <mc:Fallback>
            <w:pict>
              <v:group w14:anchorId="437D6F90" id="Group 1297" o:spid="_x0000_s1026" style="position:absolute;left:0;text-align:left;margin-left:0;margin-top:742.5pt;width:612pt;height:21pt;z-index:251659264;mso-position-horizontal-relative:page;mso-position-vertical-relative:page" coordsize="77724,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">
                <v:rect id="Rectangle 167" o:spid="_x0000_s1027" style="position:absolute;left:3429;top:886;width:1009;height:1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14:paraId="0166E58F" w14:textId="77777777" w:rsidR="00185CDF" w:rsidRDefault="00185CDF" w:rsidP="00185CDF">
                        <w:r>
                          <w:rPr>
                            <w:rFonts w:ascii="Courier New" w:eastAsia="Courier New" w:hAnsi="Courier New" w:cs="Courier New"/>
                            <w:b/>
                            <w:color w:val="592B02"/>
                            <w:sz w:val="20"/>
                          </w:rPr>
                          <w:t xml:space="preserve"> </w:t>
                        </w:r>
                      </w:p>
                    </w:txbxContent>
                  </v:textbox>
                </v:rect>
                <v:rect id="Rectangle 168" o:spid="_x0000_s1028" style="position:absolute;left:4191;top:912;width:1009;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" filled="f" stroked="f">
                  <v:textbox inset="0,0,0,0">
                    <w:txbxContent>
                      <w:p w14:paraId="72B9F77A" w14:textId="77777777" w:rsidR="00185CDF" w:rsidRDefault="00185CDF" w:rsidP="00185CDF">
                        <w:r>
                          <w:rPr>
                            <w:rFonts w:ascii="Courier New" w:eastAsia="Courier New" w:hAnsi="Courier New" w:cs="Courier New"/>
                            <w:color w:val="592B02"/>
                            <w:sz w:val="20"/>
                          </w:rPr>
                          <w:t xml:space="preserve"> </w:t>
                        </w:r>
                      </w:p>
                    </w:txbxContent>
                  </v:textbox>
                </v:rect>
                <v:shape id="Shape 1594" o:spid="_x0000_s1029" style="position:absolute;top:1143;width:77724;height:457;visibility:visible;mso-wrap-style:square;v-text-anchor:top" coordsize="777240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" path="m,l7772400,r,45720l,45720,,e" fillcolor="#64b006" stroked="f" strokeweight="0">
                  <v:stroke miterlimit="83231f" joinstyle="miter"/>
                  <v:path arrowok="t" textboxrect="0,0,7772400,45720"/>
                </v:shape>
                <v:shape id="Shape 1595" o:spid="_x0000_s1030" style="position:absolute;left:33820;width:10503;height:2667;visibility:visible;mso-wrap-style:square;v-text-anchor:top" coordsize="105029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" path="m,l1050290,r,266700l,266700,,e" stroked="f" strokeweight="0">
                  <v:stroke miterlimit="83231f" joinstyle="miter"/>
                  <v:path arrowok="t" textboxrect="0,0,1050290,266700"/>
                </v:shape>
                <v:rect id="Rectangle 177" o:spid="_x0000_s1031" style="position:absolute;left:36508;top:708;width:332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" filled="f" stroked="f">
                  <v:textbox inset="0,0,0,0">
                    <w:txbxContent>
                      <w:p w14:paraId="3F58C25C" w14:textId="77777777" w:rsidR="00185CDF" w:rsidRDefault="00185CDF" w:rsidP="00185CDF">
                        <w:r>
                          <w:rPr>
                            <w:color w:val="592B02"/>
                            <w:sz w:val="18"/>
                          </w:rPr>
                          <w:t xml:space="preserve">Page </w:t>
                        </w:r>
                      </w:p>
                    </w:txbxContent>
                  </v:textbox>
                </v:rect>
                <v:rect id="Rectangle 178" o:spid="_x0000_s1032" style="position:absolute;left:39008;top:708;width:77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" filled="f" stroked="f">
                  <v:textbox inset="0,0,0,0">
                    <w:txbxContent>
                      <w:p w14:paraId="69AF8735" w14:textId="77777777" w:rsidR="00185CDF" w:rsidRDefault="00185CDF" w:rsidP="00185CDF">
                        <w:r>
                          <w:rPr>
                            <w:color w:val="592B02"/>
                            <w:sz w:val="18"/>
                          </w:rPr>
                          <w:t>1</w:t>
                        </w:r>
                      </w:p>
                    </w:txbxContent>
                  </v:textbox>
                </v:rect>
                <v:rect id="Rectangle 179" o:spid="_x0000_s1033" style="position:absolute;left:39587;top:708;width:34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" filled="f" stroked="f">
                  <v:textbox inset="0,0,0,0">
                    <w:txbxContent>
                      <w:p w14:paraId="56EAD276" w14:textId="77777777" w:rsidR="00185CDF" w:rsidRDefault="00185CDF" w:rsidP="00185CDF">
                        <w:r>
                          <w:rPr>
                            <w:color w:val="592B02"/>
                            <w:sz w:val="18"/>
                          </w:rPr>
                          <w:t xml:space="preserve"> </w:t>
                        </w:r>
                      </w:p>
                    </w:txbxContent>
                  </v:textbox>
                </v:rect>
                <v:rect id="Rectangle 180" o:spid="_x0000_s1034" style="position:absolute;left:39846;top:708;width:161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" filled="f" stroked="f">
                  <v:textbox inset="0,0,0,0">
                    <w:txbxContent>
                      <w:p w14:paraId="47F4CE9F" w14:textId="77777777" w:rsidR="00185CDF" w:rsidRDefault="00185CDF" w:rsidP="00185CDF">
                        <w:r>
                          <w:rPr>
                            <w:color w:val="592B02"/>
                            <w:sz w:val="18"/>
                          </w:rPr>
                          <w:t>of</w:t>
                        </w:r>
                      </w:p>
                    </w:txbxContent>
                  </v:textbox>
                </v:rect>
                <v:rect id="Rectangle 181" o:spid="_x0000_s1035" style="position:absolute;left:41065;top:708;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" filled="f" stroked="f">
                  <v:textbox inset="0,0,0,0">
                    <w:txbxContent>
                      <w:p w14:paraId="5878C535" w14:textId="77777777" w:rsidR="00185CDF" w:rsidRDefault="00185CDF" w:rsidP="00185CDF">
                        <w:r>
                          <w:rPr>
                            <w:color w:val="592B02"/>
                            <w:sz w:val="18"/>
                          </w:rPr>
                          <w:t>1</w:t>
                        </w:r>
                      </w:p>
                    </w:txbxContent>
                  </v:textbox>
                </v:rect>
                <w10:wrap type="topAndBottom" anchorx="page" anchory="page"/>
              </v:group>
            </w:pict>
          </mc:Fallback>
        </mc:AlternateContent>
      </w:r>
    </w:p>
    <w:sectPr w:rsidR="00227C85" w:rsidSect="002E180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C4B17" w14:textId="77777777" w:rsidR="0079502C" w:rsidRDefault="0079502C" w:rsidP="0079502C">
      <w:pPr>
        <w:spacing w:after="0" w:line="240" w:lineRule="auto"/>
      </w:pPr>
      <w:r>
        <w:separator/>
      </w:r>
    </w:p>
  </w:endnote>
  <w:endnote w:type="continuationSeparator" w:id="0">
    <w:p w14:paraId="134847A3" w14:textId="77777777" w:rsidR="0079502C" w:rsidRDefault="0079502C" w:rsidP="0079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0EE31" w14:textId="77777777" w:rsidR="0079502C" w:rsidRDefault="0079502C" w:rsidP="0079502C">
      <w:pPr>
        <w:spacing w:after="0" w:line="240" w:lineRule="auto"/>
      </w:pPr>
      <w:r>
        <w:separator/>
      </w:r>
    </w:p>
  </w:footnote>
  <w:footnote w:type="continuationSeparator" w:id="0">
    <w:p w14:paraId="5705C3D4" w14:textId="77777777" w:rsidR="0079502C" w:rsidRDefault="0079502C" w:rsidP="007950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73E6"/>
    <w:multiLevelType w:val="hybridMultilevel"/>
    <w:tmpl w:val="334E8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11D025C"/>
    <w:multiLevelType w:val="hybridMultilevel"/>
    <w:tmpl w:val="1CAE8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0685079">
    <w:abstractNumId w:val="1"/>
  </w:num>
  <w:num w:numId="2" w16cid:durableId="138769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1FE"/>
    <w:rsid w:val="000955AE"/>
    <w:rsid w:val="00185CDF"/>
    <w:rsid w:val="002200E2"/>
    <w:rsid w:val="00227C85"/>
    <w:rsid w:val="002E180C"/>
    <w:rsid w:val="003F389B"/>
    <w:rsid w:val="00677197"/>
    <w:rsid w:val="0079502C"/>
    <w:rsid w:val="007C40ED"/>
    <w:rsid w:val="008B7AD1"/>
    <w:rsid w:val="00984CC1"/>
    <w:rsid w:val="00AA76B6"/>
    <w:rsid w:val="00CB01FE"/>
    <w:rsid w:val="00FC3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2B0FF8"/>
  <w15:chartTrackingRefBased/>
  <w15:docId w15:val="{F0AF3D7B-AB23-4E76-B13E-D0BC7BAF6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1FE"/>
    <w:rPr>
      <w:color w:val="0563C1" w:themeColor="hyperlink"/>
      <w:u w:val="single"/>
    </w:rPr>
  </w:style>
  <w:style w:type="character" w:styleId="UnresolvedMention">
    <w:name w:val="Unresolved Mention"/>
    <w:basedOn w:val="DefaultParagraphFont"/>
    <w:uiPriority w:val="99"/>
    <w:semiHidden/>
    <w:unhideWhenUsed/>
    <w:rsid w:val="00CB01FE"/>
    <w:rPr>
      <w:color w:val="605E5C"/>
      <w:shd w:val="clear" w:color="auto" w:fill="E1DFDD"/>
    </w:rPr>
  </w:style>
  <w:style w:type="paragraph" w:styleId="ListParagraph">
    <w:name w:val="List Paragraph"/>
    <w:basedOn w:val="Normal"/>
    <w:uiPriority w:val="34"/>
    <w:qFormat/>
    <w:rsid w:val="00185CDF"/>
    <w:pPr>
      <w:spacing w:after="164" w:line="258" w:lineRule="auto"/>
      <w:ind w:left="720" w:hanging="10"/>
      <w:contextualSpacing/>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Ringe-Welch, Kate</dc:creator>
  <cp:keywords/>
  <dc:description/>
  <cp:lastModifiedBy>HACUNDA, CAROLINE L</cp:lastModifiedBy>
  <cp:revision>10</cp:revision>
  <dcterms:created xsi:type="dcterms:W3CDTF">2023-02-27T16:23:00Z</dcterms:created>
  <dcterms:modified xsi:type="dcterms:W3CDTF">2023-04-11T19:15:00Z</dcterms:modified>
</cp:coreProperties>
</file>