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20.xml" ContentType="application/vnd.openxmlformats-officedocument.wordprocessingml.footer+xml"/>
  <Override PartName="/word/header13.xml" ContentType="application/vnd.openxmlformats-officedocument.wordprocessingml.header+xml"/>
  <Override PartName="/word/footer21.xml" ContentType="application/vnd.openxmlformats-officedocument.wordprocessingml.footer+xml"/>
  <Override PartName="/word/header14.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E4BB61" w14:textId="77777777" w:rsidR="00A47686" w:rsidRPr="00F6205B" w:rsidRDefault="00BF53E9" w:rsidP="005A095F">
      <w:pPr>
        <w:ind w:left="-1440" w:right="540"/>
        <w:rPr>
          <w:color w:val="404040" w:themeColor="text1" w:themeTint="BF"/>
          <w:sz w:val="28"/>
          <w:szCs w:val="28"/>
        </w:rPr>
      </w:pPr>
      <w:bookmarkStart w:id="0" w:name="_GoBack"/>
      <w:bookmarkEnd w:id="0"/>
      <w:r w:rsidRPr="00F6205B">
        <w:rPr>
          <w:rFonts w:ascii="Novecento wide Light" w:hAnsi="Novecento wide Light"/>
          <w:noProof/>
          <w:color w:val="0B764A"/>
          <w:sz w:val="28"/>
          <w:szCs w:val="28"/>
          <w:lang w:bidi="ar-SA"/>
        </w:rPr>
        <w:drawing>
          <wp:anchor distT="0" distB="0" distL="114300" distR="114300" simplePos="0" relativeHeight="251652608" behindDoc="0" locked="0" layoutInCell="1" allowOverlap="1" wp14:anchorId="5BF3A6DF" wp14:editId="33B00C47">
            <wp:simplePos x="0" y="0"/>
            <wp:positionH relativeFrom="margin">
              <wp:posOffset>-914400</wp:posOffset>
            </wp:positionH>
            <wp:positionV relativeFrom="margin">
              <wp:posOffset>-1124643</wp:posOffset>
            </wp:positionV>
            <wp:extent cx="7823200" cy="10267950"/>
            <wp:effectExtent l="0" t="0" r="635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_Background_3-01.jpg"/>
                    <pic:cNvPicPr/>
                  </pic:nvPicPr>
                  <pic:blipFill>
                    <a:blip r:embed="rId11">
                      <a:extLst>
                        <a:ext uri="{28A0092B-C50C-407E-A947-70E740481C1C}">
                          <a14:useLocalDpi xmlns:a14="http://schemas.microsoft.com/office/drawing/2010/main" val="0"/>
                        </a:ext>
                      </a:extLst>
                    </a:blip>
                    <a:stretch>
                      <a:fillRect/>
                    </a:stretch>
                  </pic:blipFill>
                  <pic:spPr>
                    <a:xfrm>
                      <a:off x="0" y="0"/>
                      <a:ext cx="7823200" cy="10267950"/>
                    </a:xfrm>
                    <a:prstGeom prst="rect">
                      <a:avLst/>
                    </a:prstGeom>
                  </pic:spPr>
                </pic:pic>
              </a:graphicData>
            </a:graphic>
          </wp:anchor>
        </w:drawing>
      </w:r>
    </w:p>
    <w:p w14:paraId="45F549E9" w14:textId="77777777" w:rsidR="00BF53E9" w:rsidRPr="00F6205B" w:rsidRDefault="00BF53E9" w:rsidP="005A095F">
      <w:pPr>
        <w:ind w:left="-1440" w:right="540"/>
        <w:rPr>
          <w:color w:val="404040" w:themeColor="text1" w:themeTint="BF"/>
          <w:sz w:val="28"/>
          <w:szCs w:val="28"/>
        </w:rPr>
      </w:pPr>
    </w:p>
    <w:p w14:paraId="6E214908" w14:textId="77777777" w:rsidR="00BF53E9" w:rsidRPr="00F6205B" w:rsidRDefault="00BF53E9" w:rsidP="005A095F">
      <w:pPr>
        <w:ind w:left="-1440" w:right="540"/>
        <w:rPr>
          <w:color w:val="404040" w:themeColor="text1" w:themeTint="BF"/>
          <w:sz w:val="28"/>
          <w:szCs w:val="28"/>
        </w:rPr>
      </w:pPr>
    </w:p>
    <w:p w14:paraId="0DFBAC80" w14:textId="77777777" w:rsidR="00BF53E9" w:rsidRPr="00F6205B" w:rsidRDefault="00BF53E9" w:rsidP="005A095F">
      <w:pPr>
        <w:ind w:left="-1440" w:right="540"/>
        <w:rPr>
          <w:color w:val="404040" w:themeColor="text1" w:themeTint="BF"/>
          <w:sz w:val="28"/>
          <w:szCs w:val="28"/>
        </w:rPr>
      </w:pPr>
    </w:p>
    <w:p w14:paraId="0B154FE5" w14:textId="77777777" w:rsidR="00BF53E9" w:rsidRPr="00F6205B" w:rsidRDefault="00BF53E9" w:rsidP="005A095F">
      <w:pPr>
        <w:ind w:left="-1440" w:right="540"/>
        <w:rPr>
          <w:color w:val="404040" w:themeColor="text1" w:themeTint="BF"/>
          <w:sz w:val="28"/>
          <w:szCs w:val="28"/>
        </w:rPr>
      </w:pPr>
    </w:p>
    <w:p w14:paraId="4BA6A9CE" w14:textId="77777777" w:rsidR="00BF53E9" w:rsidRPr="00F6205B" w:rsidRDefault="00BF53E9" w:rsidP="005A095F">
      <w:pPr>
        <w:ind w:left="-1440" w:right="540"/>
        <w:rPr>
          <w:color w:val="404040" w:themeColor="text1" w:themeTint="BF"/>
          <w:sz w:val="28"/>
          <w:szCs w:val="28"/>
        </w:rPr>
      </w:pPr>
    </w:p>
    <w:p w14:paraId="53CD24B8" w14:textId="77777777" w:rsidR="00BF53E9" w:rsidRPr="00F6205B" w:rsidRDefault="00BF53E9" w:rsidP="005A095F">
      <w:pPr>
        <w:spacing w:after="360"/>
        <w:ind w:right="540" w:hanging="2880"/>
        <w:rPr>
          <w:rFonts w:ascii="Novecento wide Light" w:hAnsi="Novecento wide Light"/>
          <w:color w:val="0B764A"/>
          <w:sz w:val="28"/>
          <w:szCs w:val="28"/>
        </w:rPr>
      </w:pPr>
    </w:p>
    <w:p w14:paraId="00067B5E" w14:textId="77777777" w:rsidR="00BF53E9" w:rsidRPr="00F6205B" w:rsidRDefault="00BF53E9" w:rsidP="005A095F">
      <w:pPr>
        <w:ind w:left="-1440" w:right="540"/>
        <w:rPr>
          <w:color w:val="404040" w:themeColor="text1" w:themeTint="BF"/>
          <w:sz w:val="28"/>
          <w:szCs w:val="28"/>
        </w:rPr>
      </w:pPr>
    </w:p>
    <w:p w14:paraId="13B7746E" w14:textId="77777777" w:rsidR="00BF53E9" w:rsidRPr="00F6205B" w:rsidRDefault="00BF53E9" w:rsidP="005A095F">
      <w:pPr>
        <w:ind w:left="-1440" w:right="540"/>
        <w:rPr>
          <w:color w:val="404040" w:themeColor="text1" w:themeTint="BF"/>
          <w:sz w:val="28"/>
          <w:szCs w:val="28"/>
        </w:rPr>
      </w:pPr>
    </w:p>
    <w:p w14:paraId="7FFA6B09" w14:textId="77777777" w:rsidR="00BF53E9" w:rsidRPr="00F6205B" w:rsidRDefault="00BF53E9" w:rsidP="005A095F">
      <w:pPr>
        <w:ind w:left="-1440" w:right="540"/>
        <w:rPr>
          <w:color w:val="404040" w:themeColor="text1" w:themeTint="BF"/>
          <w:sz w:val="28"/>
          <w:szCs w:val="28"/>
        </w:rPr>
      </w:pPr>
    </w:p>
    <w:p w14:paraId="44E94647" w14:textId="77777777" w:rsidR="00BF53E9" w:rsidRPr="00F6205B" w:rsidRDefault="00BF53E9" w:rsidP="005A095F">
      <w:pPr>
        <w:ind w:left="-1440" w:right="540"/>
        <w:rPr>
          <w:color w:val="404040" w:themeColor="text1" w:themeTint="BF"/>
          <w:sz w:val="28"/>
          <w:szCs w:val="28"/>
        </w:rPr>
      </w:pPr>
    </w:p>
    <w:p w14:paraId="4439EBEF" w14:textId="77777777" w:rsidR="00BF53E9" w:rsidRPr="00F6205B" w:rsidRDefault="00BF53E9" w:rsidP="005A095F">
      <w:pPr>
        <w:ind w:left="-1440" w:right="540"/>
        <w:rPr>
          <w:color w:val="404040" w:themeColor="text1" w:themeTint="BF"/>
          <w:sz w:val="28"/>
          <w:szCs w:val="28"/>
        </w:rPr>
      </w:pPr>
    </w:p>
    <w:p w14:paraId="7D1CF701" w14:textId="16E5C0AB" w:rsidR="00BF53E9" w:rsidRPr="00F6205B" w:rsidRDefault="00BF53E9" w:rsidP="005A095F">
      <w:pPr>
        <w:ind w:left="-1440" w:right="540"/>
        <w:rPr>
          <w:color w:val="404040" w:themeColor="text1" w:themeTint="BF"/>
          <w:sz w:val="28"/>
          <w:szCs w:val="28"/>
        </w:rPr>
      </w:pPr>
    </w:p>
    <w:p w14:paraId="5B3CD0A1" w14:textId="2534B576" w:rsidR="00BF53E9" w:rsidRPr="00F6205B" w:rsidRDefault="00BF53E9" w:rsidP="005A095F">
      <w:pPr>
        <w:ind w:left="-1440" w:right="540"/>
        <w:rPr>
          <w:color w:val="404040" w:themeColor="text1" w:themeTint="BF"/>
          <w:sz w:val="28"/>
          <w:szCs w:val="28"/>
        </w:rPr>
      </w:pPr>
    </w:p>
    <w:p w14:paraId="471CA6A6" w14:textId="7785FDAD" w:rsidR="00BF53E9" w:rsidRPr="00F6205B" w:rsidRDefault="00BF53E9" w:rsidP="005A095F">
      <w:pPr>
        <w:ind w:left="-1440" w:right="540"/>
        <w:rPr>
          <w:color w:val="404040" w:themeColor="text1" w:themeTint="BF"/>
          <w:sz w:val="28"/>
          <w:szCs w:val="28"/>
        </w:rPr>
      </w:pPr>
    </w:p>
    <w:p w14:paraId="3132194E" w14:textId="6A61C68A" w:rsidR="00BF53E9" w:rsidRPr="00F6205B" w:rsidRDefault="00A278F2" w:rsidP="005A095F">
      <w:pPr>
        <w:ind w:left="-1440" w:right="540"/>
        <w:rPr>
          <w:color w:val="404040" w:themeColor="text1" w:themeTint="BF"/>
          <w:sz w:val="28"/>
          <w:szCs w:val="28"/>
        </w:rPr>
      </w:pPr>
      <w:r w:rsidRPr="00F6205B">
        <w:rPr>
          <w:rFonts w:ascii="Novecento wide Light" w:hAnsi="Novecento wide Light"/>
          <w:noProof/>
          <w:color w:val="0B764A"/>
          <w:sz w:val="28"/>
          <w:szCs w:val="28"/>
          <w:lang w:bidi="ar-SA"/>
        </w:rPr>
        <mc:AlternateContent>
          <mc:Choice Requires="wps">
            <w:drawing>
              <wp:anchor distT="0" distB="0" distL="114300" distR="114300" simplePos="0" relativeHeight="251657728" behindDoc="0" locked="0" layoutInCell="1" allowOverlap="1" wp14:anchorId="467C8C0A" wp14:editId="4F828142">
                <wp:simplePos x="0" y="0"/>
                <wp:positionH relativeFrom="column">
                  <wp:posOffset>2433320</wp:posOffset>
                </wp:positionH>
                <wp:positionV relativeFrom="paragraph">
                  <wp:posOffset>61595</wp:posOffset>
                </wp:positionV>
                <wp:extent cx="4457700" cy="49784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4978400"/>
                        </a:xfrm>
                        <a:prstGeom prst="rect">
                          <a:avLst/>
                        </a:prstGeom>
                        <a:solidFill>
                          <a:schemeClr val="bg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18782C3" w14:textId="1E3D07F3" w:rsidR="009027EC" w:rsidRPr="005F085D" w:rsidRDefault="009027EC" w:rsidP="005F085D">
                            <w:pPr>
                              <w:pStyle w:val="Title"/>
                            </w:pPr>
                            <w:r>
                              <w:t>Connecticut Single-Family Potential Study</w:t>
                            </w:r>
                            <w:r w:rsidR="00700F84">
                              <w:t xml:space="preserve"> (R15)</w:t>
                            </w:r>
                          </w:p>
                          <w:p w14:paraId="06B03B86" w14:textId="77777777" w:rsidR="009027EC" w:rsidRPr="000270F6" w:rsidRDefault="009027EC" w:rsidP="005F085D">
                            <w:pPr>
                              <w:pStyle w:val="Subtitle"/>
                            </w:pPr>
                            <w:r>
                              <w:t>REVIEW</w:t>
                            </w:r>
                            <w:r w:rsidRPr="000270F6">
                              <w:t xml:space="preserve"> DRAFT</w:t>
                            </w:r>
                          </w:p>
                          <w:p w14:paraId="31E83E80" w14:textId="3E46CF76" w:rsidR="009027EC" w:rsidRPr="005F085D" w:rsidRDefault="00700F84" w:rsidP="005F085D">
                            <w:pPr>
                              <w:pStyle w:val="Subtitle"/>
                            </w:pPr>
                            <w:r>
                              <w:t>January 22</w:t>
                            </w:r>
                            <w:r w:rsidR="009027EC">
                              <w:t>, 2016</w:t>
                            </w:r>
                          </w:p>
                          <w:p w14:paraId="53FC4340" w14:textId="77777777" w:rsidR="009027EC" w:rsidRDefault="009027EC" w:rsidP="00A278F2">
                            <w:pPr>
                              <w:spacing w:after="0"/>
                              <w:rPr>
                                <w:rFonts w:cs="Arial"/>
                                <w:color w:val="0B764A"/>
                                <w:sz w:val="24"/>
                                <w:szCs w:val="24"/>
                              </w:rPr>
                            </w:pPr>
                            <w:r w:rsidRPr="000270F6">
                              <w:rPr>
                                <w:rStyle w:val="SubtitleChar"/>
                              </w:rPr>
                              <w:t>SUBMITTED TO:</w:t>
                            </w:r>
                            <w:r w:rsidRPr="000270F6">
                              <w:rPr>
                                <w:rFonts w:cs="Arial"/>
                                <w:szCs w:val="20"/>
                              </w:rPr>
                              <w:br/>
                            </w:r>
                            <w:r w:rsidRPr="005F085D">
                              <w:rPr>
                                <w:rFonts w:cs="Arial"/>
                                <w:sz w:val="24"/>
                                <w:szCs w:val="24"/>
                              </w:rPr>
                              <w:softHyphen/>
                            </w:r>
                            <w:r>
                              <w:rPr>
                                <w:rFonts w:cs="Arial"/>
                                <w:color w:val="0B764A"/>
                                <w:sz w:val="24"/>
                                <w:szCs w:val="24"/>
                              </w:rPr>
                              <w:t>Connecticut Energy Efficiency Fund</w:t>
                            </w:r>
                          </w:p>
                          <w:p w14:paraId="0FACE085" w14:textId="77777777" w:rsidR="009027EC" w:rsidRDefault="009027EC" w:rsidP="00A278F2">
                            <w:pPr>
                              <w:spacing w:after="0"/>
                              <w:rPr>
                                <w:rFonts w:cs="Arial"/>
                                <w:color w:val="0B764A"/>
                                <w:sz w:val="24"/>
                                <w:szCs w:val="24"/>
                              </w:rPr>
                            </w:pPr>
                            <w:r>
                              <w:rPr>
                                <w:rFonts w:cs="Arial"/>
                                <w:color w:val="0B764A"/>
                                <w:sz w:val="24"/>
                                <w:szCs w:val="24"/>
                              </w:rPr>
                              <w:t>Eversource Energy</w:t>
                            </w:r>
                          </w:p>
                          <w:p w14:paraId="762E01DD" w14:textId="77777777" w:rsidR="009027EC" w:rsidRPr="005F085D" w:rsidRDefault="009027EC" w:rsidP="00BF53E9">
                            <w:pPr>
                              <w:spacing w:after="280"/>
                              <w:rPr>
                                <w:rFonts w:cs="Arial"/>
                                <w:sz w:val="24"/>
                                <w:szCs w:val="24"/>
                              </w:rPr>
                            </w:pPr>
                            <w:r>
                              <w:rPr>
                                <w:rFonts w:cs="Arial"/>
                                <w:color w:val="0B764A"/>
                                <w:sz w:val="24"/>
                                <w:szCs w:val="24"/>
                              </w:rPr>
                              <w:t>The United Illuminating Company</w:t>
                            </w:r>
                          </w:p>
                          <w:p w14:paraId="5E0A7A49" w14:textId="77777777" w:rsidR="009027EC" w:rsidRPr="00615A10" w:rsidRDefault="009027EC" w:rsidP="00BF53E9">
                            <w:pPr>
                              <w:spacing w:after="280"/>
                              <w:rPr>
                                <w:rFonts w:cs="Arial"/>
                                <w:color w:val="0B764A"/>
                                <w:sz w:val="28"/>
                                <w:szCs w:val="28"/>
                              </w:rPr>
                            </w:pPr>
                            <w:r w:rsidRPr="000270F6">
                              <w:rPr>
                                <w:rStyle w:val="SubtitleChar"/>
                              </w:rPr>
                              <w:t>SUBMITTED BY:</w:t>
                            </w:r>
                            <w:r w:rsidRPr="000270F6">
                              <w:rPr>
                                <w:rStyle w:val="SubtitleChar"/>
                              </w:rPr>
                              <w:br/>
                            </w:r>
                            <w:r w:rsidRPr="005F085D">
                              <w:rPr>
                                <w:rFonts w:cs="Arial"/>
                                <w:color w:val="0B764A"/>
                                <w:sz w:val="24"/>
                                <w:szCs w:val="24"/>
                              </w:rPr>
                              <w:t>NMR Group, Inc.</w:t>
                            </w:r>
                          </w:p>
                          <w:p w14:paraId="53023E3A" w14:textId="77777777" w:rsidR="009027EC" w:rsidRPr="009933EF" w:rsidRDefault="009027EC" w:rsidP="00BF53E9">
                            <w:pPr>
                              <w:spacing w:after="280"/>
                              <w:jc w:val="center"/>
                              <w:rPr>
                                <w:rFonts w:ascii="Novecento wide Light" w:hAnsi="Novecento wide Light"/>
                                <w:color w:val="0B764A"/>
                                <w:sz w:val="28"/>
                                <w:szCs w:val="28"/>
                              </w:rPr>
                            </w:pPr>
                            <w:r>
                              <w:rPr>
                                <w:rFonts w:ascii="Novecento wide Light" w:hAnsi="Novecento wide Light"/>
                                <w:noProof/>
                                <w:color w:val="0B764A"/>
                                <w:sz w:val="28"/>
                                <w:szCs w:val="28"/>
                                <w:lang w:bidi="ar-SA"/>
                              </w:rPr>
                              <w:drawing>
                                <wp:inline distT="0" distB="0" distL="0" distR="0" wp14:anchorId="3AE99DAF" wp14:editId="2F530317">
                                  <wp:extent cx="1718310" cy="552672"/>
                                  <wp:effectExtent l="0" t="0" r="889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2">
                                            <a:extLst>
                                              <a:ext uri="{28A0092B-C50C-407E-A947-70E740481C1C}">
                                                <a14:useLocalDpi xmlns:a14="http://schemas.microsoft.com/office/drawing/2010/main" val="0"/>
                                              </a:ext>
                                            </a:extLst>
                                          </a:blip>
                                          <a:stretch>
                                            <a:fillRect/>
                                          </a:stretch>
                                        </pic:blipFill>
                                        <pic:spPr>
                                          <a:xfrm>
                                            <a:off x="0" y="0"/>
                                            <a:ext cx="1718310" cy="552672"/>
                                          </a:xfrm>
                                          <a:prstGeom prst="rect">
                                            <a:avLst/>
                                          </a:prstGeom>
                                        </pic:spPr>
                                      </pic:pic>
                                    </a:graphicData>
                                  </a:graphic>
                                </wp:inline>
                              </w:drawing>
                            </w:r>
                          </w:p>
                          <w:p w14:paraId="181A0CA4" w14:textId="77777777" w:rsidR="009027EC" w:rsidRDefault="009027EC" w:rsidP="00BF53E9">
                            <w:pPr>
                              <w:rPr>
                                <w:rFonts w:ascii="Novecento wide Light" w:hAnsi="Novecento wide Light"/>
                              </w:rPr>
                            </w:pPr>
                          </w:p>
                          <w:p w14:paraId="3A63B3B0" w14:textId="77777777" w:rsidR="009027EC" w:rsidRPr="009933EF" w:rsidRDefault="009027EC" w:rsidP="00BF53E9">
                            <w:pPr>
                              <w:rPr>
                                <w:rFonts w:ascii="Novecento wide Light" w:hAnsi="Novecento wide Light"/>
                              </w:rPr>
                            </w:pPr>
                          </w:p>
                        </w:txbxContent>
                      </wps:txbx>
                      <wps:bodyPr rot="0" spcFirstLastPara="0" vertOverflow="overflow" horzOverflow="overflow" vert="horz" wrap="square" lIns="274320" tIns="228600" rIns="27432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7C8C0A" id="_x0000_t202" coordsize="21600,21600" o:spt="202" path="m,l,21600r21600,l21600,xe">
                <v:stroke joinstyle="miter"/>
                <v:path gradientshapeok="t" o:connecttype="rect"/>
              </v:shapetype>
              <v:shape id="Text Box 20" o:spid="_x0000_s1026" type="#_x0000_t202" style="position:absolute;left:0;text-align:left;margin-left:191.6pt;margin-top:4.85pt;width:351pt;height:39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0T+5gIAACAGAAAOAAAAZHJzL2Uyb0RvYy54bWysVFtvmzAUfp+0/4D8TrmUhCQqqWgipklR&#10;W62d+uwYk6CC7dlOQjftv+/YhqTp+tJpL2D7fOf2ncvVddc23p5KVXOWoegiRB5lhJc122To+2Ph&#10;T5CnNGYlbjijGXqhCl3PP3+6OogZjfmWNyWVHhhhanYQGdpqLWZBoMiWtlhdcEEZCCsuW6zhKjdB&#10;KfEBrLdNEIfhODhwWQrJCVUKXpdOiObWflVRou+qSlHtNRmC2LT9Svtdm28wv8KzjcRiW5M+DPwP&#10;UbS4ZuD0aGqJNfZ2sv7LVFsTyRWv9AXhbcCrqibU5gDZROGbbB62WFCbC5CjxJEm9f/Mktv9vfTq&#10;MkMx0MNwCzV6pJ32bnjnwRPwcxBqBrAHAUDdwTvU2eaqxIqTZwWQ4BXGKShAGz66SrbmD5l6oAg+&#10;Xo60GzcEHpNklKYhiAjIkmk6SeBirJ7UhVT6C+WtZw4ZklBXGwLer5R20AFivCne1GVRN429mF6i&#10;i0Z6ewxdsN5EvfEzVMMMlnGj5Qy6F2qbyHnBMwgZjgZpgrcF/lXkeTxeXi795WSa+smaxv6kCBP/&#10;Jk9G0SJNi2iZ/naNdlJajNI4T0dTf5yPIj+Jwomf52HsL4s8zMOkWEyTG6sEJAxOLcuOWMO30i8N&#10;NaE07ButoIaW33cyxoRQpoesLdqgKsj0I4o93iZvSfmIsqMRNKxnzvRRua0Zl66fzgtVPg8hVw7f&#10;91mft6FAd+sOimWOa16+QINK7kZcCVLU0CsrrPQ9ljDT0F+wp/QdfKqGHzLE+xPytlz+fO/d4GHU&#10;QIq8A+yIDKkfOywp8pqvDIYwTpNLMzba3eLJ2HSxPJOtz2Rs1y44NGEEW1EQezQauhmOleTtE6y0&#10;3HgGEWYE/GdID8eFdtsLViKheW5BsEoE1iv2IMgwm2YaHrsnLEU/Mhq66JYPGwXP3kyOw5riMJ7v&#10;NK9qO1YnZnvyYQ3ZwexXptlzr+8WdVrs8z8AAAD//wMAUEsDBBQABgAIAAAAIQB1xz6B4AAAAAoB&#10;AAAPAAAAZHJzL2Rvd25yZXYueG1sTI/NTsMwEITvSLyDtUhcqtZuA+SHbCpUiQsgoIUHcOMlTojt&#10;KHbb8Pa4JzjOzmjm23I9mZ4dafStswjLhQBGtnaqtQ3C58fjPAPmg7RK9s4Swg95WFeXF6UslDvZ&#10;LR13oWGxxPpCIugQhoJzX2sy0i/cQDZ6X240MkQ5NlyN8hTLTc9XQtxxI1sbF7QcaKOp/t4dDMLm&#10;rdM3eUftE72/quXspZs9iw7x+mp6uAcWaAp/YTjjR3SoItPeHazyrEdIsmQVowh5Cuzsi+w2HvYI&#10;aZ6kwKuS/3+h+gUAAP//AwBQSwECLQAUAAYACAAAACEAtoM4kv4AAADhAQAAEwAAAAAAAAAAAAAA&#10;AAAAAAAAW0NvbnRlbnRfVHlwZXNdLnhtbFBLAQItABQABgAIAAAAIQA4/SH/1gAAAJQBAAALAAAA&#10;AAAAAAAAAAAAAC8BAABfcmVscy8ucmVsc1BLAQItABQABgAIAAAAIQCqy0T+5gIAACAGAAAOAAAA&#10;AAAAAAAAAAAAAC4CAABkcnMvZTJvRG9jLnhtbFBLAQItABQABgAIAAAAIQB1xz6B4AAAAAoBAAAP&#10;AAAAAAAAAAAAAAAAAEAFAABkcnMvZG93bnJldi54bWxQSwUGAAAAAAQABADzAAAATQYAAAAA&#10;" fillcolor="white [3212]" stroked="f">
                <v:path arrowok="t"/>
                <v:textbox inset="21.6pt,18pt,21.6pt,18pt">
                  <w:txbxContent>
                    <w:p w14:paraId="418782C3" w14:textId="1E3D07F3" w:rsidR="009027EC" w:rsidRPr="005F085D" w:rsidRDefault="009027EC" w:rsidP="005F085D">
                      <w:pPr>
                        <w:pStyle w:val="Title"/>
                      </w:pPr>
                      <w:r>
                        <w:t>Connecticut Single-Family Potential Study</w:t>
                      </w:r>
                      <w:r w:rsidR="00700F84">
                        <w:t xml:space="preserve"> (R15)</w:t>
                      </w:r>
                    </w:p>
                    <w:p w14:paraId="06B03B86" w14:textId="77777777" w:rsidR="009027EC" w:rsidRPr="000270F6" w:rsidRDefault="009027EC" w:rsidP="005F085D">
                      <w:pPr>
                        <w:pStyle w:val="Subtitle"/>
                      </w:pPr>
                      <w:r>
                        <w:t>REVIEW</w:t>
                      </w:r>
                      <w:r w:rsidRPr="000270F6">
                        <w:t xml:space="preserve"> DRAFT</w:t>
                      </w:r>
                    </w:p>
                    <w:p w14:paraId="31E83E80" w14:textId="3E46CF76" w:rsidR="009027EC" w:rsidRPr="005F085D" w:rsidRDefault="00700F84" w:rsidP="005F085D">
                      <w:pPr>
                        <w:pStyle w:val="Subtitle"/>
                      </w:pPr>
                      <w:r>
                        <w:t>January 22</w:t>
                      </w:r>
                      <w:bookmarkStart w:id="1" w:name="_GoBack"/>
                      <w:bookmarkEnd w:id="1"/>
                      <w:r w:rsidR="009027EC">
                        <w:t>, 2016</w:t>
                      </w:r>
                    </w:p>
                    <w:p w14:paraId="53FC4340" w14:textId="77777777" w:rsidR="009027EC" w:rsidRDefault="009027EC" w:rsidP="00A278F2">
                      <w:pPr>
                        <w:spacing w:after="0"/>
                        <w:rPr>
                          <w:rFonts w:cs="Arial"/>
                          <w:color w:val="0B764A"/>
                          <w:sz w:val="24"/>
                          <w:szCs w:val="24"/>
                        </w:rPr>
                      </w:pPr>
                      <w:r w:rsidRPr="000270F6">
                        <w:rPr>
                          <w:rStyle w:val="SubtitleChar"/>
                        </w:rPr>
                        <w:t>SUBMITTED TO:</w:t>
                      </w:r>
                      <w:r w:rsidRPr="000270F6">
                        <w:rPr>
                          <w:rFonts w:cs="Arial"/>
                          <w:szCs w:val="20"/>
                        </w:rPr>
                        <w:br/>
                      </w:r>
                      <w:r w:rsidRPr="005F085D">
                        <w:rPr>
                          <w:rFonts w:cs="Arial"/>
                          <w:sz w:val="24"/>
                          <w:szCs w:val="24"/>
                        </w:rPr>
                        <w:softHyphen/>
                      </w:r>
                      <w:r>
                        <w:rPr>
                          <w:rFonts w:cs="Arial"/>
                          <w:color w:val="0B764A"/>
                          <w:sz w:val="24"/>
                          <w:szCs w:val="24"/>
                        </w:rPr>
                        <w:t>Connecticut Energy Efficiency Fund</w:t>
                      </w:r>
                    </w:p>
                    <w:p w14:paraId="0FACE085" w14:textId="77777777" w:rsidR="009027EC" w:rsidRDefault="009027EC" w:rsidP="00A278F2">
                      <w:pPr>
                        <w:spacing w:after="0"/>
                        <w:rPr>
                          <w:rFonts w:cs="Arial"/>
                          <w:color w:val="0B764A"/>
                          <w:sz w:val="24"/>
                          <w:szCs w:val="24"/>
                        </w:rPr>
                      </w:pPr>
                      <w:r>
                        <w:rPr>
                          <w:rFonts w:cs="Arial"/>
                          <w:color w:val="0B764A"/>
                          <w:sz w:val="24"/>
                          <w:szCs w:val="24"/>
                        </w:rPr>
                        <w:t>Eversource Energy</w:t>
                      </w:r>
                    </w:p>
                    <w:p w14:paraId="762E01DD" w14:textId="77777777" w:rsidR="009027EC" w:rsidRPr="005F085D" w:rsidRDefault="009027EC" w:rsidP="00BF53E9">
                      <w:pPr>
                        <w:spacing w:after="280"/>
                        <w:rPr>
                          <w:rFonts w:cs="Arial"/>
                          <w:sz w:val="24"/>
                          <w:szCs w:val="24"/>
                        </w:rPr>
                      </w:pPr>
                      <w:r>
                        <w:rPr>
                          <w:rFonts w:cs="Arial"/>
                          <w:color w:val="0B764A"/>
                          <w:sz w:val="24"/>
                          <w:szCs w:val="24"/>
                        </w:rPr>
                        <w:t>The United Illuminating Company</w:t>
                      </w:r>
                    </w:p>
                    <w:p w14:paraId="5E0A7A49" w14:textId="77777777" w:rsidR="009027EC" w:rsidRPr="00615A10" w:rsidRDefault="009027EC" w:rsidP="00BF53E9">
                      <w:pPr>
                        <w:spacing w:after="280"/>
                        <w:rPr>
                          <w:rFonts w:cs="Arial"/>
                          <w:color w:val="0B764A"/>
                          <w:sz w:val="28"/>
                          <w:szCs w:val="28"/>
                        </w:rPr>
                      </w:pPr>
                      <w:r w:rsidRPr="000270F6">
                        <w:rPr>
                          <w:rStyle w:val="SubtitleChar"/>
                        </w:rPr>
                        <w:t>SUBMITTED BY:</w:t>
                      </w:r>
                      <w:r w:rsidRPr="000270F6">
                        <w:rPr>
                          <w:rStyle w:val="SubtitleChar"/>
                        </w:rPr>
                        <w:br/>
                      </w:r>
                      <w:r w:rsidRPr="005F085D">
                        <w:rPr>
                          <w:rFonts w:cs="Arial"/>
                          <w:color w:val="0B764A"/>
                          <w:sz w:val="24"/>
                          <w:szCs w:val="24"/>
                        </w:rPr>
                        <w:t>NMR Group, Inc.</w:t>
                      </w:r>
                    </w:p>
                    <w:p w14:paraId="53023E3A" w14:textId="77777777" w:rsidR="009027EC" w:rsidRPr="009933EF" w:rsidRDefault="009027EC" w:rsidP="00BF53E9">
                      <w:pPr>
                        <w:spacing w:after="280"/>
                        <w:jc w:val="center"/>
                        <w:rPr>
                          <w:rFonts w:ascii="Novecento wide Light" w:hAnsi="Novecento wide Light"/>
                          <w:color w:val="0B764A"/>
                          <w:sz w:val="28"/>
                          <w:szCs w:val="28"/>
                        </w:rPr>
                      </w:pPr>
                      <w:r>
                        <w:rPr>
                          <w:rFonts w:ascii="Novecento wide Light" w:hAnsi="Novecento wide Light"/>
                          <w:noProof/>
                          <w:color w:val="0B764A"/>
                          <w:sz w:val="28"/>
                          <w:szCs w:val="28"/>
                          <w:lang w:bidi="ar-SA"/>
                        </w:rPr>
                        <w:drawing>
                          <wp:inline distT="0" distB="0" distL="0" distR="0" wp14:anchorId="3AE99DAF" wp14:editId="2F530317">
                            <wp:extent cx="1718310" cy="552672"/>
                            <wp:effectExtent l="0" t="0" r="889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3">
                                      <a:extLst>
                                        <a:ext uri="{28A0092B-C50C-407E-A947-70E740481C1C}">
                                          <a14:useLocalDpi xmlns:a14="http://schemas.microsoft.com/office/drawing/2010/main" val="0"/>
                                        </a:ext>
                                      </a:extLst>
                                    </a:blip>
                                    <a:stretch>
                                      <a:fillRect/>
                                    </a:stretch>
                                  </pic:blipFill>
                                  <pic:spPr>
                                    <a:xfrm>
                                      <a:off x="0" y="0"/>
                                      <a:ext cx="1718310" cy="552672"/>
                                    </a:xfrm>
                                    <a:prstGeom prst="rect">
                                      <a:avLst/>
                                    </a:prstGeom>
                                  </pic:spPr>
                                </pic:pic>
                              </a:graphicData>
                            </a:graphic>
                          </wp:inline>
                        </w:drawing>
                      </w:r>
                    </w:p>
                    <w:p w14:paraId="181A0CA4" w14:textId="77777777" w:rsidR="009027EC" w:rsidRDefault="009027EC" w:rsidP="00BF53E9">
                      <w:pPr>
                        <w:rPr>
                          <w:rFonts w:ascii="Novecento wide Light" w:hAnsi="Novecento wide Light"/>
                        </w:rPr>
                      </w:pPr>
                    </w:p>
                    <w:p w14:paraId="3A63B3B0" w14:textId="77777777" w:rsidR="009027EC" w:rsidRPr="009933EF" w:rsidRDefault="009027EC" w:rsidP="00BF53E9">
                      <w:pPr>
                        <w:rPr>
                          <w:rFonts w:ascii="Novecento wide Light" w:hAnsi="Novecento wide Light"/>
                        </w:rPr>
                      </w:pPr>
                    </w:p>
                  </w:txbxContent>
                </v:textbox>
              </v:shape>
            </w:pict>
          </mc:Fallback>
        </mc:AlternateContent>
      </w:r>
    </w:p>
    <w:p w14:paraId="6A01877F" w14:textId="77777777" w:rsidR="00BF53E9" w:rsidRPr="00F6205B" w:rsidRDefault="00BF53E9" w:rsidP="005A095F">
      <w:pPr>
        <w:ind w:left="-1440" w:right="540"/>
        <w:rPr>
          <w:color w:val="404040" w:themeColor="text1" w:themeTint="BF"/>
          <w:sz w:val="28"/>
          <w:szCs w:val="28"/>
        </w:rPr>
      </w:pPr>
    </w:p>
    <w:p w14:paraId="57B7FBE3" w14:textId="77777777" w:rsidR="00BF53E9" w:rsidRPr="00F6205B" w:rsidRDefault="00BF53E9" w:rsidP="005A095F">
      <w:pPr>
        <w:ind w:left="-1440" w:right="540"/>
        <w:rPr>
          <w:color w:val="404040" w:themeColor="text1" w:themeTint="BF"/>
          <w:sz w:val="28"/>
          <w:szCs w:val="28"/>
        </w:rPr>
      </w:pPr>
    </w:p>
    <w:p w14:paraId="48470AC2" w14:textId="77777777" w:rsidR="00BF53E9" w:rsidRPr="00F6205B" w:rsidRDefault="00BF53E9" w:rsidP="005A095F">
      <w:pPr>
        <w:ind w:left="-1440" w:right="540"/>
        <w:rPr>
          <w:color w:val="404040" w:themeColor="text1" w:themeTint="BF"/>
          <w:sz w:val="28"/>
          <w:szCs w:val="28"/>
        </w:rPr>
      </w:pPr>
    </w:p>
    <w:p w14:paraId="68747F67" w14:textId="77777777" w:rsidR="00BF53E9" w:rsidRPr="00F6205B" w:rsidRDefault="00BF53E9" w:rsidP="005A095F">
      <w:pPr>
        <w:ind w:left="-1440" w:right="540"/>
        <w:rPr>
          <w:color w:val="404040" w:themeColor="text1" w:themeTint="BF"/>
          <w:sz w:val="28"/>
          <w:szCs w:val="28"/>
        </w:rPr>
      </w:pPr>
    </w:p>
    <w:p w14:paraId="584884D5" w14:textId="77777777" w:rsidR="00BF53E9" w:rsidRPr="00F6205B" w:rsidRDefault="00BF53E9" w:rsidP="005A095F">
      <w:pPr>
        <w:ind w:left="-1440" w:right="540"/>
        <w:rPr>
          <w:color w:val="404040" w:themeColor="text1" w:themeTint="BF"/>
          <w:sz w:val="28"/>
          <w:szCs w:val="28"/>
        </w:rPr>
      </w:pPr>
    </w:p>
    <w:p w14:paraId="711CC73A" w14:textId="77777777" w:rsidR="00BF53E9" w:rsidRPr="00F6205B" w:rsidRDefault="00BF53E9" w:rsidP="005A095F">
      <w:pPr>
        <w:ind w:left="-1440" w:right="540"/>
        <w:rPr>
          <w:color w:val="404040" w:themeColor="text1" w:themeTint="BF"/>
          <w:sz w:val="28"/>
          <w:szCs w:val="28"/>
        </w:rPr>
      </w:pPr>
    </w:p>
    <w:p w14:paraId="7813F2D4" w14:textId="77777777" w:rsidR="00BF53E9" w:rsidRPr="00F6205B" w:rsidRDefault="00BF53E9" w:rsidP="005A095F">
      <w:pPr>
        <w:ind w:left="-1440" w:right="540"/>
        <w:rPr>
          <w:color w:val="404040" w:themeColor="text1" w:themeTint="BF"/>
          <w:sz w:val="28"/>
          <w:szCs w:val="28"/>
        </w:rPr>
      </w:pPr>
    </w:p>
    <w:p w14:paraId="3057AB79" w14:textId="77777777" w:rsidR="00BF53E9" w:rsidRPr="00F6205B" w:rsidRDefault="00BF53E9" w:rsidP="005A095F">
      <w:pPr>
        <w:ind w:left="-1440" w:right="540"/>
        <w:rPr>
          <w:color w:val="404040" w:themeColor="text1" w:themeTint="BF"/>
          <w:sz w:val="28"/>
          <w:szCs w:val="28"/>
        </w:rPr>
      </w:pPr>
    </w:p>
    <w:p w14:paraId="2E5A0F8F" w14:textId="77777777" w:rsidR="00BF53E9" w:rsidRPr="00F6205B" w:rsidRDefault="00BF53E9" w:rsidP="005A095F">
      <w:pPr>
        <w:ind w:left="-1440" w:right="540"/>
        <w:rPr>
          <w:color w:val="404040" w:themeColor="text1" w:themeTint="BF"/>
          <w:sz w:val="28"/>
          <w:szCs w:val="28"/>
        </w:rPr>
      </w:pPr>
    </w:p>
    <w:p w14:paraId="1D06C053" w14:textId="77777777" w:rsidR="00012A1E" w:rsidRDefault="00012A1E" w:rsidP="005A095F">
      <w:pPr>
        <w:ind w:left="-1440" w:right="540"/>
        <w:rPr>
          <w:color w:val="404040" w:themeColor="text1" w:themeTint="BF"/>
          <w:sz w:val="28"/>
          <w:szCs w:val="28"/>
        </w:rPr>
        <w:sectPr w:rsidR="00012A1E" w:rsidSect="00012A1E">
          <w:headerReference w:type="default" r:id="rId14"/>
          <w:footerReference w:type="even" r:id="rId15"/>
          <w:footerReference w:type="default" r:id="rId16"/>
          <w:headerReference w:type="first" r:id="rId17"/>
          <w:footerReference w:type="first" r:id="rId18"/>
          <w:pgSz w:w="12240" w:h="15840"/>
          <w:pgMar w:top="1440" w:right="1872" w:bottom="1440" w:left="1440" w:header="0" w:footer="0" w:gutter="0"/>
          <w:pgNumType w:fmt="upperRoman" w:start="1"/>
          <w:cols w:space="720"/>
          <w:titlePg/>
          <w:docGrid w:linePitch="272"/>
        </w:sectPr>
      </w:pPr>
    </w:p>
    <w:p w14:paraId="3C46F5C7" w14:textId="50BC0DFF" w:rsidR="00CF4190" w:rsidRPr="00F6205B" w:rsidRDefault="00294F7A" w:rsidP="00E320CA">
      <w:pPr>
        <w:pStyle w:val="Heading1"/>
      </w:pPr>
      <w:bookmarkStart w:id="1" w:name="_Toc439939375"/>
      <w:r>
        <w:lastRenderedPageBreak/>
        <w:t>Study Highlights</w:t>
      </w:r>
      <w:bookmarkEnd w:id="1"/>
    </w:p>
    <w:p w14:paraId="094FAD23" w14:textId="309E7D1F" w:rsidR="00CF4190" w:rsidRPr="00F6205B" w:rsidRDefault="00CF4190" w:rsidP="00CF4190">
      <w:r w:rsidRPr="00F6205B">
        <w:t xml:space="preserve">This report contains findings of a </w:t>
      </w:r>
      <w:r w:rsidR="00655483" w:rsidRPr="00F6205B">
        <w:t xml:space="preserve">single-family </w:t>
      </w:r>
      <w:r w:rsidRPr="00F6205B">
        <w:t xml:space="preserve">residential </w:t>
      </w:r>
      <w:r w:rsidR="00655483" w:rsidRPr="00F6205B">
        <w:t xml:space="preserve">potential savings study </w:t>
      </w:r>
      <w:r w:rsidRPr="00F6205B">
        <w:t xml:space="preserve">conducted on behalf of the Connecticut Energy Efficiency Board (EEB). The following </w:t>
      </w:r>
      <w:r w:rsidR="002254A6" w:rsidRPr="00F6205B">
        <w:t>list</w:t>
      </w:r>
      <w:r w:rsidRPr="00F6205B">
        <w:t xml:space="preserve"> de</w:t>
      </w:r>
      <w:r w:rsidR="0049576A">
        <w:t>scribe</w:t>
      </w:r>
      <w:r w:rsidR="002254A6" w:rsidRPr="00F6205B">
        <w:t>s</w:t>
      </w:r>
      <w:r w:rsidRPr="00F6205B">
        <w:t xml:space="preserve"> the four components</w:t>
      </w:r>
      <w:r w:rsidR="002254A6" w:rsidRPr="00F6205B">
        <w:t xml:space="preserve"> of the study</w:t>
      </w:r>
      <w:r w:rsidR="002D1B9C" w:rsidRPr="00F6205B">
        <w:t xml:space="preserve">. See the </w:t>
      </w:r>
      <w:r w:rsidR="002D1B9C" w:rsidRPr="00F6205B">
        <w:fldChar w:fldCharType="begin"/>
      </w:r>
      <w:r w:rsidR="002D1B9C" w:rsidRPr="00F6205B">
        <w:instrText xml:space="preserve"> REF _Ref439250164 \h </w:instrText>
      </w:r>
      <w:r w:rsidR="00F6205B">
        <w:instrText xml:space="preserve"> \* MERGEFORMAT </w:instrText>
      </w:r>
      <w:r w:rsidR="002D1B9C" w:rsidRPr="00F6205B">
        <w:fldChar w:fldCharType="separate"/>
      </w:r>
      <w:r w:rsidR="00FA26A9" w:rsidRPr="00F6205B">
        <w:t>Methodology</w:t>
      </w:r>
      <w:r w:rsidR="002D1B9C" w:rsidRPr="00F6205B">
        <w:fldChar w:fldCharType="end"/>
      </w:r>
      <w:r w:rsidR="00641D92" w:rsidRPr="00F6205B">
        <w:t xml:space="preserve"> </w:t>
      </w:r>
      <w:r w:rsidR="002D1B9C" w:rsidRPr="00F6205B">
        <w:t xml:space="preserve">section of this report </w:t>
      </w:r>
      <w:r w:rsidR="0049576A">
        <w:t xml:space="preserve">for details on </w:t>
      </w:r>
      <w:r w:rsidRPr="00F6205B">
        <w:t>methodo</w:t>
      </w:r>
      <w:r w:rsidR="0049576A">
        <w:t>logy, which varies</w:t>
      </w:r>
      <w:r w:rsidR="002254A6" w:rsidRPr="00F6205B">
        <w:t xml:space="preserve"> for each </w:t>
      </w:r>
      <w:r w:rsidRPr="00F6205B">
        <w:t>component.</w:t>
      </w:r>
    </w:p>
    <w:p w14:paraId="50B1C306" w14:textId="3C51DE1A" w:rsidR="00CF4190" w:rsidRPr="00F6205B" w:rsidRDefault="0049576A" w:rsidP="003A6CD9">
      <w:pPr>
        <w:pStyle w:val="ListParagraph"/>
        <w:numPr>
          <w:ilvl w:val="0"/>
          <w:numId w:val="4"/>
        </w:numPr>
      </w:pPr>
      <w:r>
        <w:rPr>
          <w:b/>
        </w:rPr>
        <w:t>Technical p</w:t>
      </w:r>
      <w:r w:rsidR="00CF4190" w:rsidRPr="00F6205B">
        <w:rPr>
          <w:b/>
        </w:rPr>
        <w:t>otent</w:t>
      </w:r>
      <w:r>
        <w:rPr>
          <w:b/>
        </w:rPr>
        <w:t>ial savings</w:t>
      </w:r>
      <w:r w:rsidR="00CF4190" w:rsidRPr="00F6205B">
        <w:t xml:space="preserve"> </w:t>
      </w:r>
      <w:r>
        <w:t>are t</w:t>
      </w:r>
      <w:r w:rsidR="00CF4190" w:rsidRPr="00F6205B">
        <w:t>he energy savings that are technically feasible</w:t>
      </w:r>
      <w:r w:rsidR="00572EC0" w:rsidRPr="00F6205B">
        <w:rPr>
          <w:rStyle w:val="FootnoteReference"/>
        </w:rPr>
        <w:footnoteReference w:id="1"/>
      </w:r>
      <w:r w:rsidR="00CF4190" w:rsidRPr="00F6205B">
        <w:t xml:space="preserve"> over a ten-year period from 2016 to 2025. These estimates</w:t>
      </w:r>
      <w:r w:rsidR="00DA0B6F" w:rsidRPr="00F6205B">
        <w:t xml:space="preserve"> </w:t>
      </w:r>
      <w:r w:rsidR="00D13AC8" w:rsidRPr="00F6205B">
        <w:t xml:space="preserve">do not take into account the cost-effectiveness of upgrades, and </w:t>
      </w:r>
      <w:r w:rsidR="00DA0B6F" w:rsidRPr="00F6205B">
        <w:t>assume that all upgrades are applied immediately</w:t>
      </w:r>
      <w:r w:rsidR="00CF4190" w:rsidRPr="00F6205B">
        <w:t>.</w:t>
      </w:r>
    </w:p>
    <w:p w14:paraId="4E939692" w14:textId="3B9CC9A2" w:rsidR="00CF4190" w:rsidRPr="00F6205B" w:rsidRDefault="0049576A" w:rsidP="003A6CD9">
      <w:pPr>
        <w:pStyle w:val="ListParagraph"/>
        <w:numPr>
          <w:ilvl w:val="0"/>
          <w:numId w:val="5"/>
        </w:numPr>
      </w:pPr>
      <w:r>
        <w:rPr>
          <w:b/>
        </w:rPr>
        <w:t>Cost-effective p</w:t>
      </w:r>
      <w:r w:rsidR="00CF4190" w:rsidRPr="00F6205B">
        <w:rPr>
          <w:b/>
        </w:rPr>
        <w:t>otential</w:t>
      </w:r>
      <w:r>
        <w:rPr>
          <w:b/>
        </w:rPr>
        <w:t xml:space="preserve"> s</w:t>
      </w:r>
      <w:r w:rsidR="00CF4190" w:rsidRPr="00F6205B">
        <w:rPr>
          <w:b/>
        </w:rPr>
        <w:t>avings</w:t>
      </w:r>
      <w:r w:rsidR="00CF4190" w:rsidRPr="00F6205B">
        <w:rPr>
          <w:rStyle w:val="FootnoteReference"/>
          <w:b/>
        </w:rPr>
        <w:footnoteReference w:id="2"/>
      </w:r>
      <w:r w:rsidR="00CF4190" w:rsidRPr="00F6205B">
        <w:t xml:space="preserve"> </w:t>
      </w:r>
      <w:r>
        <w:t>are t</w:t>
      </w:r>
      <w:r w:rsidR="00CF4190" w:rsidRPr="00F6205B">
        <w:t>he energy savings that are technically feasible and cost-effective to achieve over a ten-year period from 2016 to 2025. These estimates take into account the evolution of codes and standards, but not the likelihood of measure adoption by consumers.</w:t>
      </w:r>
    </w:p>
    <w:p w14:paraId="0F042D44" w14:textId="6CB22746" w:rsidR="00CF4190" w:rsidRPr="00F6205B" w:rsidRDefault="0077386F" w:rsidP="003A6CD9">
      <w:pPr>
        <w:pStyle w:val="ListParagraph"/>
        <w:numPr>
          <w:ilvl w:val="0"/>
          <w:numId w:val="5"/>
        </w:numPr>
      </w:pPr>
      <w:r w:rsidRPr="00F6205B">
        <w:rPr>
          <w:b/>
        </w:rPr>
        <w:t xml:space="preserve">Maximum </w:t>
      </w:r>
      <w:r w:rsidR="0049576A">
        <w:rPr>
          <w:b/>
        </w:rPr>
        <w:t>achievable p</w:t>
      </w:r>
      <w:r w:rsidR="00CF4190" w:rsidRPr="00F6205B">
        <w:rPr>
          <w:b/>
        </w:rPr>
        <w:t>otential</w:t>
      </w:r>
      <w:r w:rsidR="0049576A">
        <w:rPr>
          <w:b/>
        </w:rPr>
        <w:t xml:space="preserve"> savings </w:t>
      </w:r>
      <w:r w:rsidR="0049576A">
        <w:t>are t</w:t>
      </w:r>
      <w:r w:rsidR="00CF4190" w:rsidRPr="00F6205B">
        <w:t>he energy savings that are technically feasible, cost-effective, and achievable over a ten-year period from 2016 to 2025. These estimates take into account the evolut</w:t>
      </w:r>
      <w:r w:rsidR="003E0E0C">
        <w:t xml:space="preserve">ion of codes and standards, expected consumer </w:t>
      </w:r>
      <w:r w:rsidR="00CF4190" w:rsidRPr="00F6205B">
        <w:t xml:space="preserve">adoption </w:t>
      </w:r>
      <w:r w:rsidR="003E0E0C">
        <w:t>rate</w:t>
      </w:r>
      <w:r w:rsidR="00CF4190" w:rsidRPr="00F6205B">
        <w:t xml:space="preserve">s, and </w:t>
      </w:r>
      <w:r w:rsidR="003E0E0C">
        <w:t xml:space="preserve">equipment </w:t>
      </w:r>
      <w:r w:rsidR="00CF4190" w:rsidRPr="00F6205B">
        <w:t>replacement schedules based on the effective u</w:t>
      </w:r>
      <w:r w:rsidR="003E0E0C">
        <w:t xml:space="preserve">seful lifetimes of existing equipment; </w:t>
      </w:r>
      <w:r w:rsidR="002548DB">
        <w:t xml:space="preserve">however, </w:t>
      </w:r>
      <w:r w:rsidR="003E0E0C">
        <w:t xml:space="preserve">they </w:t>
      </w:r>
      <w:r w:rsidR="003E0E0C" w:rsidRPr="003E0E0C">
        <w:rPr>
          <w:b/>
        </w:rPr>
        <w:t>do not</w:t>
      </w:r>
      <w:r w:rsidR="003E0E0C">
        <w:t xml:space="preserve"> take into account the potential impacts of incentive programs.</w:t>
      </w:r>
    </w:p>
    <w:p w14:paraId="2E495575" w14:textId="395D7BDA" w:rsidR="00CF4190" w:rsidRPr="00F6205B" w:rsidRDefault="003E0E0C" w:rsidP="003A6CD9">
      <w:pPr>
        <w:pStyle w:val="ListParagraph"/>
        <w:numPr>
          <w:ilvl w:val="0"/>
          <w:numId w:val="5"/>
        </w:numPr>
      </w:pPr>
      <w:r>
        <w:rPr>
          <w:b/>
        </w:rPr>
        <w:t>Fuel switching potential savings</w:t>
      </w:r>
      <w:r w:rsidR="00CF4190" w:rsidRPr="00F6205B">
        <w:t xml:space="preserve"> </w:t>
      </w:r>
      <w:r>
        <w:t>are t</w:t>
      </w:r>
      <w:r w:rsidR="00CF4190" w:rsidRPr="00F6205B">
        <w:t xml:space="preserve">he potential impacts </w:t>
      </w:r>
      <w:r w:rsidR="00E7347E" w:rsidRPr="00F6205B">
        <w:t>resulting</w:t>
      </w:r>
      <w:r w:rsidR="00CF4190" w:rsidRPr="00F6205B">
        <w:t xml:space="preserve"> from conver</w:t>
      </w:r>
      <w:r w:rsidR="00E7347E" w:rsidRPr="00F6205B">
        <w:t>sion of</w:t>
      </w:r>
      <w:r w:rsidR="00CF4190" w:rsidRPr="00F6205B">
        <w:t xml:space="preserve"> the heating and water heating equipment in single-family homes currently using oil, propane, biomass, or electric heating to either (a) natural gas space heating and water heating equipment, or (b) electric heat pump space heating and water heating equipment.</w:t>
      </w:r>
    </w:p>
    <w:p w14:paraId="4E60357B" w14:textId="46A830E4" w:rsidR="00CF4190" w:rsidRPr="00F6205B" w:rsidRDefault="001C7B4F" w:rsidP="005A082A">
      <w:r w:rsidRPr="00F6205B">
        <w:fldChar w:fldCharType="begin"/>
      </w:r>
      <w:r w:rsidRPr="00F6205B">
        <w:instrText xml:space="preserve"> REF _Ref439233859 \h </w:instrText>
      </w:r>
      <w:r w:rsidR="00F6205B">
        <w:instrText xml:space="preserve"> \* MERGEFORMAT </w:instrText>
      </w:r>
      <w:r w:rsidRPr="00F6205B">
        <w:fldChar w:fldCharType="separate"/>
      </w:r>
      <w:r w:rsidR="00FA26A9" w:rsidRPr="00F6205B">
        <w:t xml:space="preserve">Figure </w:t>
      </w:r>
      <w:r w:rsidR="00FA26A9">
        <w:rPr>
          <w:noProof/>
        </w:rPr>
        <w:t>1</w:t>
      </w:r>
      <w:r w:rsidRPr="00F6205B">
        <w:fldChar w:fldCharType="end"/>
      </w:r>
      <w:r w:rsidRPr="00F6205B">
        <w:t xml:space="preserve"> </w:t>
      </w:r>
      <w:r w:rsidR="00C74CBA" w:rsidRPr="00F6205B">
        <w:t>presents a summary of aggregate ten-year savings potential for each study component.</w:t>
      </w:r>
      <w:r w:rsidR="00763400" w:rsidRPr="00F6205B">
        <w:t xml:space="preserve"> As a percentage of baseline consumption, there is proportionally less technical and cost-effective potential for electric savings than for fossil fuel savings. However, </w:t>
      </w:r>
      <w:r w:rsidR="002010B3" w:rsidRPr="00F6205B">
        <w:t>maximum achievabl</w:t>
      </w:r>
      <w:r w:rsidR="007C4D27">
        <w:t>e potential savings represents 5</w:t>
      </w:r>
      <w:r w:rsidR="002010B3" w:rsidRPr="00F6205B">
        <w:t>% of baseline consumption for both electric and fossil fuels.</w:t>
      </w:r>
    </w:p>
    <w:p w14:paraId="5BF09091" w14:textId="621D30A0" w:rsidR="00CF4190" w:rsidRPr="00F6205B" w:rsidRDefault="00CF4190" w:rsidP="0094421E">
      <w:pPr>
        <w:pStyle w:val="Caption"/>
      </w:pPr>
      <w:bookmarkStart w:id="2" w:name="_Ref392149961"/>
      <w:bookmarkStart w:id="3" w:name="_Ref439233859"/>
      <w:bookmarkStart w:id="4" w:name="_Toc439931794"/>
      <w:r w:rsidRPr="00F6205B">
        <w:lastRenderedPageBreak/>
        <w:t xml:space="preserve">Figure </w:t>
      </w:r>
      <w:bookmarkEnd w:id="2"/>
      <w:r w:rsidR="0094421E" w:rsidRPr="00F6205B">
        <w:fldChar w:fldCharType="begin"/>
      </w:r>
      <w:r w:rsidR="0094421E" w:rsidRPr="00F6205B">
        <w:instrText xml:space="preserve"> SEQ Figure \* ARABIC </w:instrText>
      </w:r>
      <w:r w:rsidR="0094421E" w:rsidRPr="00F6205B">
        <w:fldChar w:fldCharType="separate"/>
      </w:r>
      <w:r w:rsidR="00FA26A9">
        <w:rPr>
          <w:noProof/>
        </w:rPr>
        <w:t>1</w:t>
      </w:r>
      <w:r w:rsidR="0094421E" w:rsidRPr="00F6205B">
        <w:fldChar w:fldCharType="end"/>
      </w:r>
      <w:bookmarkEnd w:id="3"/>
      <w:r w:rsidR="00171624" w:rsidRPr="00F6205B">
        <w:t>: Ten-Year (2016-2025</w:t>
      </w:r>
      <w:r w:rsidRPr="00F6205B">
        <w:t>) Aggregate Savings by Fuel Type</w:t>
      </w:r>
      <w:r w:rsidR="00950758" w:rsidRPr="00F6205B">
        <w:t>*</w:t>
      </w:r>
      <w:bookmarkEnd w:id="4"/>
    </w:p>
    <w:p w14:paraId="497A52FE" w14:textId="107E9266" w:rsidR="00356947" w:rsidRPr="00F6205B" w:rsidRDefault="00356947" w:rsidP="00356947">
      <w:pPr>
        <w:keepNext/>
        <w:jc w:val="center"/>
        <w:rPr>
          <w:rFonts w:ascii="Arial Bold" w:hAnsi="Arial Bold"/>
          <w:b/>
          <w:bCs/>
          <w:color w:val="0F673B"/>
          <w:sz w:val="18"/>
          <w:szCs w:val="18"/>
        </w:rPr>
      </w:pPr>
      <w:r w:rsidRPr="00F6205B">
        <w:rPr>
          <w:rFonts w:ascii="Arial Bold" w:hAnsi="Arial Bold"/>
          <w:b/>
          <w:bCs/>
          <w:color w:val="0F673B"/>
          <w:sz w:val="18"/>
          <w:szCs w:val="18"/>
        </w:rPr>
        <w:t>Base: all single-family homes (popu</w:t>
      </w:r>
      <w:r w:rsidR="00346A82" w:rsidRPr="00F6205B">
        <w:rPr>
          <w:rFonts w:ascii="Arial Bold" w:hAnsi="Arial Bold"/>
          <w:b/>
          <w:bCs/>
          <w:color w:val="0F673B"/>
          <w:sz w:val="18"/>
          <w:szCs w:val="18"/>
        </w:rPr>
        <w:t>lation-</w:t>
      </w:r>
      <w:r w:rsidRPr="00F6205B">
        <w:rPr>
          <w:rFonts w:ascii="Arial Bold" w:hAnsi="Arial Bold"/>
          <w:b/>
          <w:bCs/>
          <w:color w:val="0F673B"/>
          <w:sz w:val="18"/>
          <w:szCs w:val="18"/>
        </w:rPr>
        <w:t>weighted)</w:t>
      </w:r>
    </w:p>
    <w:p w14:paraId="520D56CE" w14:textId="68EAE15D" w:rsidR="00CF4190" w:rsidRPr="00F6205B" w:rsidRDefault="009D4193" w:rsidP="0046579C">
      <w:pPr>
        <w:tabs>
          <w:tab w:val="left" w:pos="1500"/>
        </w:tabs>
        <w:spacing w:after="0"/>
        <w:jc w:val="center"/>
      </w:pPr>
      <w:r>
        <w:rPr>
          <w:noProof/>
          <w:lang w:bidi="ar-SA"/>
        </w:rPr>
        <w:drawing>
          <wp:inline distT="0" distB="0" distL="0" distR="0" wp14:anchorId="30B28E2B" wp14:editId="09B91632">
            <wp:extent cx="5072380" cy="32918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2380" cy="3291840"/>
                    </a:xfrm>
                    <a:prstGeom prst="rect">
                      <a:avLst/>
                    </a:prstGeom>
                    <a:noFill/>
                  </pic:spPr>
                </pic:pic>
              </a:graphicData>
            </a:graphic>
          </wp:inline>
        </w:drawing>
      </w:r>
    </w:p>
    <w:p w14:paraId="64C80E47" w14:textId="2790D00C" w:rsidR="00CF4190" w:rsidRPr="00F6205B" w:rsidRDefault="00950758" w:rsidP="0046579C">
      <w:pPr>
        <w:ind w:left="540" w:right="468"/>
        <w:rPr>
          <w:sz w:val="18"/>
        </w:rPr>
      </w:pPr>
      <w:r w:rsidRPr="00F6205B">
        <w:rPr>
          <w:sz w:val="18"/>
        </w:rPr>
        <w:t>* “Solar technical” refers to technical potential savings wit</w:t>
      </w:r>
      <w:r w:rsidR="00D01509" w:rsidRPr="00F6205B">
        <w:rPr>
          <w:sz w:val="18"/>
        </w:rPr>
        <w:t>h photovoltaic and solar hot water</w:t>
      </w:r>
      <w:r w:rsidRPr="00F6205B">
        <w:rPr>
          <w:sz w:val="18"/>
        </w:rPr>
        <w:t xml:space="preserve"> upgrades included, and “standard technical” refers to those savings excluding solar upgrades.</w:t>
      </w:r>
    </w:p>
    <w:p w14:paraId="7AAA3330" w14:textId="4450E2A9" w:rsidR="005A082A" w:rsidRPr="00F6205B" w:rsidRDefault="005A082A" w:rsidP="00FA26A9">
      <w:pPr>
        <w:pStyle w:val="Normalaftertable"/>
      </w:pPr>
      <w:r w:rsidRPr="00F6205B">
        <w:t xml:space="preserve">The following conclusions and associated recommendations were identified as part of this evaluation. Conclusions and recommendations from the potential </w:t>
      </w:r>
      <w:r>
        <w:t xml:space="preserve">savings </w:t>
      </w:r>
      <w:r w:rsidRPr="00F6205B">
        <w:t>and fuel switching analyses are listed separately as these results should be conside</w:t>
      </w:r>
      <w:r>
        <w:t>red independent of one another.</w:t>
      </w:r>
    </w:p>
    <w:p w14:paraId="6E7AC440" w14:textId="77777777" w:rsidR="005A082A" w:rsidRPr="00F6205B" w:rsidRDefault="005A082A" w:rsidP="005A082A">
      <w:pPr>
        <w:pStyle w:val="Heading3"/>
        <w:numPr>
          <w:ilvl w:val="0"/>
          <w:numId w:val="0"/>
        </w:numPr>
      </w:pPr>
      <w:bookmarkStart w:id="5" w:name="_Toc439939376"/>
      <w:r w:rsidRPr="00F6205B">
        <w:t>Technical, Cost-Effective, and Achievable Potential</w:t>
      </w:r>
      <w:bookmarkEnd w:id="5"/>
    </w:p>
    <w:p w14:paraId="76C7C95A" w14:textId="77777777" w:rsidR="005A082A" w:rsidRPr="00F6205B" w:rsidRDefault="005A082A" w:rsidP="005A082A">
      <w:pPr>
        <w:pStyle w:val="Heading4"/>
        <w:keepNext/>
        <w:numPr>
          <w:ilvl w:val="0"/>
          <w:numId w:val="0"/>
        </w:numPr>
      </w:pPr>
      <w:r w:rsidRPr="00F6205B">
        <w:t>Conclusions</w:t>
      </w:r>
    </w:p>
    <w:p w14:paraId="69847682" w14:textId="02D9D4BD" w:rsidR="005A082A" w:rsidRPr="00F6205B" w:rsidRDefault="005A082A" w:rsidP="003A6CD9">
      <w:pPr>
        <w:pStyle w:val="ListParagraph"/>
        <w:keepNext/>
        <w:numPr>
          <w:ilvl w:val="0"/>
          <w:numId w:val="11"/>
        </w:numPr>
        <w:contextualSpacing w:val="0"/>
      </w:pPr>
      <w:r w:rsidRPr="00F6205B">
        <w:t xml:space="preserve">Of the 43 measures considered in </w:t>
      </w:r>
      <w:r>
        <w:t>this study, ductless mini-splits have the great</w:t>
      </w:r>
      <w:r w:rsidRPr="00F6205B">
        <w:t>est technical potential for energy savings. This is due to the high efficiency of the units, the fact that they can displace a high percentage of a home’s heating load, and the versatility of the technology</w:t>
      </w:r>
      <w:r>
        <w:t>.</w:t>
      </w:r>
      <w:r w:rsidR="003147B4">
        <w:rPr>
          <w:rStyle w:val="FootnoteReference"/>
        </w:rPr>
        <w:footnoteReference w:id="3"/>
      </w:r>
    </w:p>
    <w:p w14:paraId="19C339F6" w14:textId="20967C4B" w:rsidR="005A082A" w:rsidRPr="00F6205B" w:rsidRDefault="00055C47" w:rsidP="003A6CD9">
      <w:pPr>
        <w:pStyle w:val="ListParagraph"/>
        <w:keepNext/>
        <w:numPr>
          <w:ilvl w:val="0"/>
          <w:numId w:val="6"/>
        </w:numPr>
        <w:contextualSpacing w:val="0"/>
      </w:pPr>
      <w:r>
        <w:t>For 20</w:t>
      </w:r>
      <w:r w:rsidRPr="00F6205B">
        <w:t xml:space="preserve"> out of the 43 measures</w:t>
      </w:r>
      <w:r>
        <w:t xml:space="preserve">, cost-effectiveness screening resulted in an average </w:t>
      </w:r>
      <w:r w:rsidR="0063353A">
        <w:t>total resource cost value (</w:t>
      </w:r>
      <w:r>
        <w:t>TRC</w:t>
      </w:r>
      <w:r w:rsidR="0063353A">
        <w:t>)</w:t>
      </w:r>
      <w:r>
        <w:rPr>
          <w:rStyle w:val="FootnoteReference"/>
        </w:rPr>
        <w:footnoteReference w:id="4"/>
      </w:r>
      <w:r>
        <w:t xml:space="preserve"> greater than one</w:t>
      </w:r>
      <w:r w:rsidRPr="00F6205B">
        <w:t xml:space="preserve"> (</w:t>
      </w:r>
      <w:r>
        <w:fldChar w:fldCharType="begin"/>
      </w:r>
      <w:r>
        <w:instrText xml:space="preserve"> REF _Ref439321264 \h </w:instrText>
      </w:r>
      <w:r>
        <w:fldChar w:fldCharType="separate"/>
      </w:r>
      <w:r w:rsidR="00FA26A9" w:rsidRPr="00F6205B">
        <w:t xml:space="preserve">Table </w:t>
      </w:r>
      <w:r w:rsidR="00FA26A9">
        <w:rPr>
          <w:noProof/>
        </w:rPr>
        <w:t>23</w:t>
      </w:r>
      <w:r>
        <w:fldChar w:fldCharType="end"/>
      </w:r>
      <w:r>
        <w:t xml:space="preserve"> and </w:t>
      </w:r>
      <w:r>
        <w:fldChar w:fldCharType="begin"/>
      </w:r>
      <w:r>
        <w:instrText xml:space="preserve"> REF _Ref439321265 \h </w:instrText>
      </w:r>
      <w:r>
        <w:fldChar w:fldCharType="separate"/>
      </w:r>
      <w:r w:rsidR="00FA26A9" w:rsidRPr="00F6205B">
        <w:t xml:space="preserve">Table </w:t>
      </w:r>
      <w:r w:rsidR="00FA26A9">
        <w:rPr>
          <w:noProof/>
        </w:rPr>
        <w:t>24</w:t>
      </w:r>
      <w:r>
        <w:fldChar w:fldCharType="end"/>
      </w:r>
      <w:r w:rsidRPr="00F6205B">
        <w:t xml:space="preserve">). </w:t>
      </w:r>
      <w:r>
        <w:t xml:space="preserve">Four of these are not currently incentivized through the HES/HES-IE program: water heater tank wrap, foundation wall insulation, dishwashers, and efficient oil storage water </w:t>
      </w:r>
      <w:r>
        <w:lastRenderedPageBreak/>
        <w:t>heaters</w:t>
      </w:r>
      <w:r w:rsidRPr="00F6205B">
        <w:t xml:space="preserve">. </w:t>
      </w:r>
      <w:r w:rsidR="005A082A" w:rsidRPr="00F6205B">
        <w:t>These results indicate that the HES and HES-IE programs are already targeting the majority of cost-effective measures t</w:t>
      </w:r>
      <w:r w:rsidR="005A082A">
        <w:t>hrough their incentive efforts.</w:t>
      </w:r>
    </w:p>
    <w:p w14:paraId="719358F2" w14:textId="2EEBEF87" w:rsidR="005A082A" w:rsidRPr="00F6205B" w:rsidRDefault="005C77A9" w:rsidP="003A6CD9">
      <w:pPr>
        <w:pStyle w:val="ListParagraph"/>
        <w:numPr>
          <w:ilvl w:val="0"/>
          <w:numId w:val="6"/>
        </w:numPr>
        <w:contextualSpacing w:val="0"/>
      </w:pPr>
      <w:r>
        <w:t>Building shell measures—including air</w:t>
      </w:r>
      <w:r w:rsidR="005724A1">
        <w:t xml:space="preserve"> </w:t>
      </w:r>
      <w:r>
        <w:t>sealing</w:t>
      </w:r>
      <w:r w:rsidR="005724A1">
        <w:t xml:space="preserve"> and insulation improvements</w:t>
      </w:r>
      <w:r>
        <w:t xml:space="preserve">—all screened as cost-effective (on average) under both the </w:t>
      </w:r>
      <w:r w:rsidR="00181DB3">
        <w:t>utility cost test (</w:t>
      </w:r>
      <w:r>
        <w:t>UCT</w:t>
      </w:r>
      <w:r w:rsidR="00181DB3">
        <w:t>)</w:t>
      </w:r>
      <w:r>
        <w:t xml:space="preserve"> and TRC tests. On a related note, while electric</w:t>
      </w:r>
      <w:r w:rsidR="007B04B3">
        <w:t xml:space="preserve"> savings will drop over time </w:t>
      </w:r>
      <w:r>
        <w:t>due to the impact of rising minimum efficiency standards for lights and appliances, achievable potential fossil fuel sav</w:t>
      </w:r>
      <w:r w:rsidR="007B04B3">
        <w:t>ings will increase</w:t>
      </w:r>
      <w:r>
        <w:t>.</w:t>
      </w:r>
      <w:r w:rsidRPr="00E26D23">
        <w:t xml:space="preserve"> </w:t>
      </w:r>
      <w:r w:rsidRPr="00F6205B">
        <w:t>This occurs mainly due to the gradually increasing market adoption of upgrade measures over the ten-year window, but also because as years pass, more existing equipment is replaced</w:t>
      </w:r>
      <w:r>
        <w:t>, leading to replace-on-failure savings opportunities</w:t>
      </w:r>
      <w:r w:rsidRPr="00F6205B">
        <w:t>.</w:t>
      </w:r>
    </w:p>
    <w:p w14:paraId="3CC8402A" w14:textId="77777777" w:rsidR="005A082A" w:rsidRPr="00F6205B" w:rsidRDefault="005A082A" w:rsidP="005A082A">
      <w:pPr>
        <w:pStyle w:val="Heading4"/>
        <w:keepNext/>
        <w:numPr>
          <w:ilvl w:val="0"/>
          <w:numId w:val="0"/>
        </w:numPr>
      </w:pPr>
      <w:r w:rsidRPr="00F6205B">
        <w:t>Recommendations</w:t>
      </w:r>
    </w:p>
    <w:p w14:paraId="695255A9" w14:textId="2744CC19" w:rsidR="005A082A" w:rsidRDefault="005A082A" w:rsidP="003A6CD9">
      <w:pPr>
        <w:pStyle w:val="ListParagraph"/>
        <w:numPr>
          <w:ilvl w:val="0"/>
          <w:numId w:val="7"/>
        </w:numPr>
        <w:contextualSpacing w:val="0"/>
      </w:pPr>
      <w:r>
        <w:t>T</w:t>
      </w:r>
      <w:r w:rsidR="00A56C2A">
        <w:t>he Companies should</w:t>
      </w:r>
      <w:r>
        <w:t xml:space="preserve"> </w:t>
      </w:r>
      <w:r w:rsidR="00A56C2A">
        <w:t xml:space="preserve">maintain—and possibly </w:t>
      </w:r>
      <w:r>
        <w:t xml:space="preserve">consider </w:t>
      </w:r>
      <w:r w:rsidR="0010137C">
        <w:t>rai</w:t>
      </w:r>
      <w:r>
        <w:t>sing</w:t>
      </w:r>
      <w:r w:rsidR="00A56C2A">
        <w:t>—</w:t>
      </w:r>
      <w:r>
        <w:t>incentive</w:t>
      </w:r>
      <w:r w:rsidR="0010137C">
        <w:t xml:space="preserve"> amount</w:t>
      </w:r>
      <w:r>
        <w:t xml:space="preserve">s for building shell improvements in existing homes in the coming years. The analysis shows that these measures represent a proportion of achievable potential savings that will increase </w:t>
      </w:r>
      <w:r w:rsidR="00A56C2A">
        <w:t xml:space="preserve">considerably </w:t>
      </w:r>
      <w:r>
        <w:t>going forward.</w:t>
      </w:r>
      <w:r w:rsidR="00181DB3">
        <w:rPr>
          <w:rStyle w:val="FootnoteReference"/>
        </w:rPr>
        <w:footnoteReference w:id="5"/>
      </w:r>
    </w:p>
    <w:p w14:paraId="0A272D08" w14:textId="77777777" w:rsidR="005A082A" w:rsidRPr="00F6205B" w:rsidRDefault="005A082A" w:rsidP="003A6CD9">
      <w:pPr>
        <w:pStyle w:val="ListParagraph"/>
        <w:numPr>
          <w:ilvl w:val="0"/>
          <w:numId w:val="7"/>
        </w:numPr>
        <w:contextualSpacing w:val="0"/>
      </w:pPr>
      <w:r w:rsidRPr="00F6205B">
        <w:t xml:space="preserve">The Companies should review their cost-effectiveness screening processes to ensure that benefit/cost ratios are not being overstated by </w:t>
      </w:r>
      <w:r>
        <w:t xml:space="preserve">failing to account for future codes and standards in the screening calculations. </w:t>
      </w:r>
    </w:p>
    <w:p w14:paraId="1BF73352" w14:textId="77777777" w:rsidR="005A082A" w:rsidRPr="00F6205B" w:rsidRDefault="005A082A" w:rsidP="005A082A">
      <w:pPr>
        <w:pStyle w:val="Heading3"/>
        <w:numPr>
          <w:ilvl w:val="0"/>
          <w:numId w:val="0"/>
        </w:numPr>
      </w:pPr>
      <w:bookmarkStart w:id="6" w:name="_Toc439939377"/>
      <w:r w:rsidRPr="00F6205B">
        <w:t>Fuel Switching</w:t>
      </w:r>
      <w:bookmarkEnd w:id="6"/>
      <w:r w:rsidRPr="00F6205B">
        <w:t xml:space="preserve"> </w:t>
      </w:r>
    </w:p>
    <w:p w14:paraId="75789918" w14:textId="77777777" w:rsidR="005A082A" w:rsidRPr="00F6205B" w:rsidRDefault="005A082A" w:rsidP="005A082A">
      <w:pPr>
        <w:pStyle w:val="Heading4"/>
        <w:keepNext/>
        <w:numPr>
          <w:ilvl w:val="0"/>
          <w:numId w:val="0"/>
        </w:numPr>
      </w:pPr>
      <w:r w:rsidRPr="00F6205B">
        <w:t>Conclusion</w:t>
      </w:r>
    </w:p>
    <w:p w14:paraId="2E96126C" w14:textId="059C2499" w:rsidR="005A082A" w:rsidRPr="00F6205B" w:rsidRDefault="007D01C1" w:rsidP="003A6CD9">
      <w:pPr>
        <w:pStyle w:val="ListParagraph"/>
        <w:keepNext/>
        <w:numPr>
          <w:ilvl w:val="0"/>
          <w:numId w:val="8"/>
        </w:numPr>
      </w:pPr>
      <w:r>
        <w:t xml:space="preserve">Under the upgrade case—which </w:t>
      </w:r>
      <w:r w:rsidR="005A082A" w:rsidRPr="00F6205B">
        <w:t>assum</w:t>
      </w:r>
      <w:r>
        <w:t>es that</w:t>
      </w:r>
      <w:r w:rsidR="005A082A" w:rsidRPr="00F6205B">
        <w:t xml:space="preserve"> program incentives are available</w:t>
      </w:r>
      <w:r>
        <w:t xml:space="preserve"> for high efficiency equipment—</w:t>
      </w:r>
      <w:r w:rsidR="005A082A" w:rsidRPr="00F6205B">
        <w:t>fuel switching has the potential to decrease fuel oil consumption by 21% and propane consumption by 18% if conversions take place at 25% of potential single-family homes. These percentages are only slightly higher than the 19% of savings for fuel oil and 15% of savings for propane under the base case scenario wit</w:t>
      </w:r>
      <w:r w:rsidR="00A56C2A">
        <w:t>h 25% uptake in fuel switching.</w:t>
      </w:r>
    </w:p>
    <w:p w14:paraId="4E4D97DE" w14:textId="77777777" w:rsidR="005A082A" w:rsidRPr="00F6205B" w:rsidRDefault="005A082A" w:rsidP="005A082A">
      <w:pPr>
        <w:pStyle w:val="Heading4"/>
        <w:numPr>
          <w:ilvl w:val="0"/>
          <w:numId w:val="0"/>
        </w:numPr>
      </w:pPr>
      <w:r w:rsidRPr="00F6205B">
        <w:t>Recommendations</w:t>
      </w:r>
    </w:p>
    <w:p w14:paraId="11C8094D" w14:textId="77777777" w:rsidR="005A082A" w:rsidRPr="00F6205B" w:rsidRDefault="005A082A" w:rsidP="003A6CD9">
      <w:pPr>
        <w:pStyle w:val="ListParagraph"/>
        <w:numPr>
          <w:ilvl w:val="0"/>
          <w:numId w:val="8"/>
        </w:numPr>
        <w:contextualSpacing w:val="0"/>
      </w:pPr>
      <w:r w:rsidRPr="00F6205B">
        <w:t>Potential fuel oil and propane savings from fuel switching are significant. The Companies should consider the best ways to promote fuel switching among single-family homes in Connecticut.</w:t>
      </w:r>
    </w:p>
    <w:p w14:paraId="12051B68" w14:textId="70F29768" w:rsidR="00012A1E" w:rsidRDefault="005A082A" w:rsidP="002575E1">
      <w:pPr>
        <w:pStyle w:val="ListParagraph"/>
        <w:numPr>
          <w:ilvl w:val="0"/>
          <w:numId w:val="8"/>
        </w:numPr>
        <w:contextualSpacing w:val="0"/>
      </w:pPr>
      <w:r w:rsidRPr="00F6205B">
        <w:t>Incentives designed to influ</w:t>
      </w:r>
      <w:r w:rsidR="007D01C1">
        <w:t xml:space="preserve">ence homeowners to fuel switch </w:t>
      </w:r>
      <w:r w:rsidRPr="00F6205B">
        <w:t xml:space="preserve">will have a more significant impact than incentives for high efficiency equipment once a fuel switch has already taken place. The Companies should consider offering an incentive for </w:t>
      </w:r>
      <w:r w:rsidR="007D01C1">
        <w:t>fuel switching if reducing oil and propane consumption become</w:t>
      </w:r>
      <w:r w:rsidRPr="00F6205B">
        <w:t xml:space="preserve">s a </w:t>
      </w:r>
      <w:r w:rsidR="007D01C1">
        <w:t>priority in the future</w:t>
      </w:r>
      <w:r w:rsidRPr="00F6205B">
        <w:t>.</w:t>
      </w:r>
    </w:p>
    <w:p w14:paraId="426AD0BB" w14:textId="77777777" w:rsidR="00012A1E" w:rsidRDefault="00012A1E" w:rsidP="00012A1E">
      <w:pPr>
        <w:sectPr w:rsidR="00012A1E" w:rsidSect="00A278F2">
          <w:footerReference w:type="default" r:id="rId20"/>
          <w:headerReference w:type="first" r:id="rId21"/>
          <w:pgSz w:w="12240" w:h="15840"/>
          <w:pgMar w:top="1440" w:right="1872" w:bottom="1440" w:left="1440" w:header="0" w:footer="0" w:gutter="0"/>
          <w:pgNumType w:fmt="upperRoman" w:start="1"/>
          <w:cols w:space="720"/>
          <w:titlePg/>
          <w:docGrid w:linePitch="272"/>
        </w:sectPr>
      </w:pPr>
    </w:p>
    <w:p w14:paraId="1D4E2773" w14:textId="74DD032D" w:rsidR="004E6EDF" w:rsidRPr="00F6205B" w:rsidRDefault="002A5155" w:rsidP="00303AE1">
      <w:pPr>
        <w:pStyle w:val="TOCTitle"/>
      </w:pPr>
      <w:r w:rsidRPr="00F6205B">
        <w:lastRenderedPageBreak/>
        <w:t>Table of Contents</w:t>
      </w:r>
    </w:p>
    <w:p w14:paraId="095E4083" w14:textId="3DCC5A8B" w:rsidR="00D63667" w:rsidRDefault="00866098">
      <w:pPr>
        <w:pStyle w:val="TOC1"/>
        <w:rPr>
          <w:rFonts w:asciiTheme="minorHAnsi" w:hAnsiTheme="minorHAnsi"/>
          <w:b w:val="0"/>
          <w:smallCaps w:val="0"/>
        </w:rPr>
      </w:pPr>
      <w:r w:rsidRPr="00F6205B">
        <w:rPr>
          <w:color w:val="595959" w:themeColor="text1" w:themeTint="A6"/>
          <w:sz w:val="20"/>
        </w:rPr>
        <w:fldChar w:fldCharType="begin"/>
      </w:r>
      <w:r w:rsidR="009E53F1" w:rsidRPr="00F6205B">
        <w:instrText xml:space="preserve"> TOC \o "1-3" \h \z \u </w:instrText>
      </w:r>
      <w:r w:rsidRPr="00F6205B">
        <w:rPr>
          <w:color w:val="595959" w:themeColor="text1" w:themeTint="A6"/>
          <w:sz w:val="20"/>
        </w:rPr>
        <w:fldChar w:fldCharType="separate"/>
      </w:r>
      <w:hyperlink w:anchor="_Toc439939375" w:history="1">
        <w:r w:rsidR="00D63667" w:rsidRPr="0044775A">
          <w:rPr>
            <w:rStyle w:val="Hyperlink"/>
          </w:rPr>
          <w:t>Study Highlights</w:t>
        </w:r>
        <w:r w:rsidR="00D63667">
          <w:rPr>
            <w:webHidden/>
          </w:rPr>
          <w:tab/>
        </w:r>
        <w:r w:rsidR="00D63667">
          <w:rPr>
            <w:webHidden/>
          </w:rPr>
          <w:fldChar w:fldCharType="begin"/>
        </w:r>
        <w:r w:rsidR="00D63667">
          <w:rPr>
            <w:webHidden/>
          </w:rPr>
          <w:instrText xml:space="preserve"> PAGEREF _Toc439939375 \h </w:instrText>
        </w:r>
        <w:r w:rsidR="00D63667">
          <w:rPr>
            <w:webHidden/>
          </w:rPr>
        </w:r>
        <w:r w:rsidR="00D63667">
          <w:rPr>
            <w:webHidden/>
          </w:rPr>
          <w:fldChar w:fldCharType="separate"/>
        </w:r>
        <w:r w:rsidR="00D63667">
          <w:rPr>
            <w:webHidden/>
          </w:rPr>
          <w:t>I</w:t>
        </w:r>
        <w:r w:rsidR="00D63667">
          <w:rPr>
            <w:webHidden/>
          </w:rPr>
          <w:fldChar w:fldCharType="end"/>
        </w:r>
      </w:hyperlink>
    </w:p>
    <w:p w14:paraId="7FDDA09A" w14:textId="0EF87644" w:rsidR="00D63667" w:rsidRDefault="00796FE4">
      <w:pPr>
        <w:pStyle w:val="TOC3"/>
        <w:rPr>
          <w:rFonts w:asciiTheme="minorHAnsi" w:hAnsiTheme="minorHAnsi"/>
          <w:noProof/>
          <w:lang w:bidi="ar-SA"/>
        </w:rPr>
      </w:pPr>
      <w:hyperlink w:anchor="_Toc439939376" w:history="1">
        <w:r w:rsidR="00D63667" w:rsidRPr="0044775A">
          <w:rPr>
            <w:rStyle w:val="Hyperlink"/>
            <w:noProof/>
          </w:rPr>
          <w:t>Technical, Cost-Effective, and Achievable Potential</w:t>
        </w:r>
        <w:r w:rsidR="00D63667">
          <w:rPr>
            <w:noProof/>
            <w:webHidden/>
          </w:rPr>
          <w:tab/>
        </w:r>
        <w:r w:rsidR="00D63667">
          <w:rPr>
            <w:noProof/>
            <w:webHidden/>
          </w:rPr>
          <w:fldChar w:fldCharType="begin"/>
        </w:r>
        <w:r w:rsidR="00D63667">
          <w:rPr>
            <w:noProof/>
            <w:webHidden/>
          </w:rPr>
          <w:instrText xml:space="preserve"> PAGEREF _Toc439939376 \h </w:instrText>
        </w:r>
        <w:r w:rsidR="00D63667">
          <w:rPr>
            <w:noProof/>
            <w:webHidden/>
          </w:rPr>
        </w:r>
        <w:r w:rsidR="00D63667">
          <w:rPr>
            <w:noProof/>
            <w:webHidden/>
          </w:rPr>
          <w:fldChar w:fldCharType="separate"/>
        </w:r>
        <w:r w:rsidR="00D63667">
          <w:rPr>
            <w:noProof/>
            <w:webHidden/>
          </w:rPr>
          <w:t>II</w:t>
        </w:r>
        <w:r w:rsidR="00D63667">
          <w:rPr>
            <w:noProof/>
            <w:webHidden/>
          </w:rPr>
          <w:fldChar w:fldCharType="end"/>
        </w:r>
      </w:hyperlink>
    </w:p>
    <w:p w14:paraId="74672AEE" w14:textId="725704C9" w:rsidR="00D63667" w:rsidRDefault="00796FE4">
      <w:pPr>
        <w:pStyle w:val="TOC3"/>
        <w:rPr>
          <w:rFonts w:asciiTheme="minorHAnsi" w:hAnsiTheme="minorHAnsi"/>
          <w:noProof/>
          <w:lang w:bidi="ar-SA"/>
        </w:rPr>
      </w:pPr>
      <w:hyperlink w:anchor="_Toc439939377" w:history="1">
        <w:r w:rsidR="00D63667" w:rsidRPr="0044775A">
          <w:rPr>
            <w:rStyle w:val="Hyperlink"/>
            <w:noProof/>
          </w:rPr>
          <w:t>Fuel Switching</w:t>
        </w:r>
        <w:r w:rsidR="00D63667">
          <w:rPr>
            <w:noProof/>
            <w:webHidden/>
          </w:rPr>
          <w:tab/>
        </w:r>
        <w:r w:rsidR="00D63667">
          <w:rPr>
            <w:noProof/>
            <w:webHidden/>
          </w:rPr>
          <w:fldChar w:fldCharType="begin"/>
        </w:r>
        <w:r w:rsidR="00D63667">
          <w:rPr>
            <w:noProof/>
            <w:webHidden/>
          </w:rPr>
          <w:instrText xml:space="preserve"> PAGEREF _Toc439939377 \h </w:instrText>
        </w:r>
        <w:r w:rsidR="00D63667">
          <w:rPr>
            <w:noProof/>
            <w:webHidden/>
          </w:rPr>
        </w:r>
        <w:r w:rsidR="00D63667">
          <w:rPr>
            <w:noProof/>
            <w:webHidden/>
          </w:rPr>
          <w:fldChar w:fldCharType="separate"/>
        </w:r>
        <w:r w:rsidR="00D63667">
          <w:rPr>
            <w:noProof/>
            <w:webHidden/>
          </w:rPr>
          <w:t>III</w:t>
        </w:r>
        <w:r w:rsidR="00D63667">
          <w:rPr>
            <w:noProof/>
            <w:webHidden/>
          </w:rPr>
          <w:fldChar w:fldCharType="end"/>
        </w:r>
      </w:hyperlink>
    </w:p>
    <w:p w14:paraId="34E6D762" w14:textId="2E54E299" w:rsidR="00D63667" w:rsidRDefault="00796FE4">
      <w:pPr>
        <w:pStyle w:val="TOC1"/>
        <w:rPr>
          <w:rFonts w:asciiTheme="minorHAnsi" w:hAnsiTheme="minorHAnsi"/>
          <w:b w:val="0"/>
          <w:smallCaps w:val="0"/>
        </w:rPr>
      </w:pPr>
      <w:hyperlink w:anchor="_Toc439939378" w:history="1">
        <w:r w:rsidR="00D63667" w:rsidRPr="0044775A">
          <w:rPr>
            <w:rStyle w:val="Hyperlink"/>
          </w:rPr>
          <w:t>Executive Summary</w:t>
        </w:r>
        <w:r w:rsidR="00D63667">
          <w:rPr>
            <w:webHidden/>
          </w:rPr>
          <w:tab/>
        </w:r>
        <w:r w:rsidR="00D63667">
          <w:rPr>
            <w:webHidden/>
          </w:rPr>
          <w:fldChar w:fldCharType="begin"/>
        </w:r>
        <w:r w:rsidR="00D63667">
          <w:rPr>
            <w:webHidden/>
          </w:rPr>
          <w:instrText xml:space="preserve"> PAGEREF _Toc439939378 \h </w:instrText>
        </w:r>
        <w:r w:rsidR="00D63667">
          <w:rPr>
            <w:webHidden/>
          </w:rPr>
        </w:r>
        <w:r w:rsidR="00D63667">
          <w:rPr>
            <w:webHidden/>
          </w:rPr>
          <w:fldChar w:fldCharType="separate"/>
        </w:r>
        <w:r w:rsidR="00D63667">
          <w:rPr>
            <w:webHidden/>
          </w:rPr>
          <w:t>I</w:t>
        </w:r>
        <w:r w:rsidR="00D63667">
          <w:rPr>
            <w:webHidden/>
          </w:rPr>
          <w:fldChar w:fldCharType="end"/>
        </w:r>
      </w:hyperlink>
    </w:p>
    <w:p w14:paraId="16E1AC3C" w14:textId="09AE4A08" w:rsidR="00D63667" w:rsidRDefault="00796FE4">
      <w:pPr>
        <w:pStyle w:val="TOC2"/>
        <w:rPr>
          <w:rFonts w:asciiTheme="minorHAnsi" w:hAnsiTheme="minorHAnsi" w:cstheme="minorBidi"/>
          <w:smallCaps w:val="0"/>
          <w:szCs w:val="22"/>
        </w:rPr>
      </w:pPr>
      <w:hyperlink w:anchor="_Toc439939379" w:history="1">
        <w:r w:rsidR="00D63667" w:rsidRPr="0044775A">
          <w:rPr>
            <w:rStyle w:val="Hyperlink"/>
            <w:lang w:bidi="en-US"/>
          </w:rPr>
          <w:t>Technical, Cost-Effective, and Achievable Potential</w:t>
        </w:r>
        <w:r w:rsidR="00D63667">
          <w:rPr>
            <w:webHidden/>
          </w:rPr>
          <w:tab/>
        </w:r>
        <w:r w:rsidR="00D63667">
          <w:rPr>
            <w:webHidden/>
          </w:rPr>
          <w:fldChar w:fldCharType="begin"/>
        </w:r>
        <w:r w:rsidR="00D63667">
          <w:rPr>
            <w:webHidden/>
          </w:rPr>
          <w:instrText xml:space="preserve"> PAGEREF _Toc439939379 \h </w:instrText>
        </w:r>
        <w:r w:rsidR="00D63667">
          <w:rPr>
            <w:webHidden/>
          </w:rPr>
        </w:r>
        <w:r w:rsidR="00D63667">
          <w:rPr>
            <w:webHidden/>
          </w:rPr>
          <w:fldChar w:fldCharType="separate"/>
        </w:r>
        <w:r w:rsidR="00D63667">
          <w:rPr>
            <w:webHidden/>
          </w:rPr>
          <w:t>II</w:t>
        </w:r>
        <w:r w:rsidR="00D63667">
          <w:rPr>
            <w:webHidden/>
          </w:rPr>
          <w:fldChar w:fldCharType="end"/>
        </w:r>
      </w:hyperlink>
    </w:p>
    <w:p w14:paraId="6A994745" w14:textId="3D67A366" w:rsidR="00D63667" w:rsidRDefault="00796FE4">
      <w:pPr>
        <w:pStyle w:val="TOC3"/>
        <w:rPr>
          <w:rFonts w:asciiTheme="minorHAnsi" w:hAnsiTheme="minorHAnsi"/>
          <w:noProof/>
          <w:lang w:bidi="ar-SA"/>
        </w:rPr>
      </w:pPr>
      <w:hyperlink w:anchor="_Toc439939380" w:history="1">
        <w:r w:rsidR="00D63667" w:rsidRPr="0044775A">
          <w:rPr>
            <w:rStyle w:val="Hyperlink"/>
            <w:noProof/>
          </w:rPr>
          <w:t>Energy Savings</w:t>
        </w:r>
        <w:r w:rsidR="00D63667">
          <w:rPr>
            <w:noProof/>
            <w:webHidden/>
          </w:rPr>
          <w:tab/>
        </w:r>
        <w:r w:rsidR="00D63667">
          <w:rPr>
            <w:noProof/>
            <w:webHidden/>
          </w:rPr>
          <w:fldChar w:fldCharType="begin"/>
        </w:r>
        <w:r w:rsidR="00D63667">
          <w:rPr>
            <w:noProof/>
            <w:webHidden/>
          </w:rPr>
          <w:instrText xml:space="preserve"> PAGEREF _Toc439939380 \h </w:instrText>
        </w:r>
        <w:r w:rsidR="00D63667">
          <w:rPr>
            <w:noProof/>
            <w:webHidden/>
          </w:rPr>
        </w:r>
        <w:r w:rsidR="00D63667">
          <w:rPr>
            <w:noProof/>
            <w:webHidden/>
          </w:rPr>
          <w:fldChar w:fldCharType="separate"/>
        </w:r>
        <w:r w:rsidR="00D63667">
          <w:rPr>
            <w:noProof/>
            <w:webHidden/>
          </w:rPr>
          <w:t>II</w:t>
        </w:r>
        <w:r w:rsidR="00D63667">
          <w:rPr>
            <w:noProof/>
            <w:webHidden/>
          </w:rPr>
          <w:fldChar w:fldCharType="end"/>
        </w:r>
      </w:hyperlink>
    </w:p>
    <w:p w14:paraId="15501B3A" w14:textId="79B92276" w:rsidR="00D63667" w:rsidRDefault="00796FE4">
      <w:pPr>
        <w:pStyle w:val="TOC3"/>
        <w:rPr>
          <w:rFonts w:asciiTheme="minorHAnsi" w:hAnsiTheme="minorHAnsi"/>
          <w:noProof/>
          <w:lang w:bidi="ar-SA"/>
        </w:rPr>
      </w:pPr>
      <w:hyperlink w:anchor="_Toc439939381" w:history="1">
        <w:r w:rsidR="00D63667" w:rsidRPr="0044775A">
          <w:rPr>
            <w:rStyle w:val="Hyperlink"/>
            <w:noProof/>
          </w:rPr>
          <w:t>Peak Electric Demand Savings</w:t>
        </w:r>
        <w:r w:rsidR="00D63667">
          <w:rPr>
            <w:noProof/>
            <w:webHidden/>
          </w:rPr>
          <w:tab/>
        </w:r>
        <w:r w:rsidR="00D63667">
          <w:rPr>
            <w:noProof/>
            <w:webHidden/>
          </w:rPr>
          <w:fldChar w:fldCharType="begin"/>
        </w:r>
        <w:r w:rsidR="00D63667">
          <w:rPr>
            <w:noProof/>
            <w:webHidden/>
          </w:rPr>
          <w:instrText xml:space="preserve"> PAGEREF _Toc439939381 \h </w:instrText>
        </w:r>
        <w:r w:rsidR="00D63667">
          <w:rPr>
            <w:noProof/>
            <w:webHidden/>
          </w:rPr>
        </w:r>
        <w:r w:rsidR="00D63667">
          <w:rPr>
            <w:noProof/>
            <w:webHidden/>
          </w:rPr>
          <w:fldChar w:fldCharType="separate"/>
        </w:r>
        <w:r w:rsidR="00D63667">
          <w:rPr>
            <w:noProof/>
            <w:webHidden/>
          </w:rPr>
          <w:t>VII</w:t>
        </w:r>
        <w:r w:rsidR="00D63667">
          <w:rPr>
            <w:noProof/>
            <w:webHidden/>
          </w:rPr>
          <w:fldChar w:fldCharType="end"/>
        </w:r>
      </w:hyperlink>
    </w:p>
    <w:p w14:paraId="3D314EE5" w14:textId="6F07CA87" w:rsidR="00D63667" w:rsidRDefault="00796FE4">
      <w:pPr>
        <w:pStyle w:val="TOC2"/>
        <w:rPr>
          <w:rFonts w:asciiTheme="minorHAnsi" w:hAnsiTheme="minorHAnsi" w:cstheme="minorBidi"/>
          <w:smallCaps w:val="0"/>
          <w:szCs w:val="22"/>
        </w:rPr>
      </w:pPr>
      <w:hyperlink w:anchor="_Toc439939382" w:history="1">
        <w:r w:rsidR="00D63667" w:rsidRPr="0044775A">
          <w:rPr>
            <w:rStyle w:val="Hyperlink"/>
            <w:lang w:bidi="en-US"/>
          </w:rPr>
          <w:t>Fuel Switching Potential</w:t>
        </w:r>
        <w:r w:rsidR="00D63667">
          <w:rPr>
            <w:webHidden/>
          </w:rPr>
          <w:tab/>
        </w:r>
        <w:r w:rsidR="00D63667">
          <w:rPr>
            <w:webHidden/>
          </w:rPr>
          <w:fldChar w:fldCharType="begin"/>
        </w:r>
        <w:r w:rsidR="00D63667">
          <w:rPr>
            <w:webHidden/>
          </w:rPr>
          <w:instrText xml:space="preserve"> PAGEREF _Toc439939382 \h </w:instrText>
        </w:r>
        <w:r w:rsidR="00D63667">
          <w:rPr>
            <w:webHidden/>
          </w:rPr>
        </w:r>
        <w:r w:rsidR="00D63667">
          <w:rPr>
            <w:webHidden/>
          </w:rPr>
          <w:fldChar w:fldCharType="separate"/>
        </w:r>
        <w:r w:rsidR="00D63667">
          <w:rPr>
            <w:webHidden/>
          </w:rPr>
          <w:t>VIII</w:t>
        </w:r>
        <w:r w:rsidR="00D63667">
          <w:rPr>
            <w:webHidden/>
          </w:rPr>
          <w:fldChar w:fldCharType="end"/>
        </w:r>
      </w:hyperlink>
    </w:p>
    <w:p w14:paraId="27AC8454" w14:textId="4AC6AEB8" w:rsidR="00D63667" w:rsidRDefault="00796FE4">
      <w:pPr>
        <w:pStyle w:val="TOC3"/>
        <w:rPr>
          <w:rFonts w:asciiTheme="minorHAnsi" w:hAnsiTheme="minorHAnsi"/>
          <w:noProof/>
          <w:lang w:bidi="ar-SA"/>
        </w:rPr>
      </w:pPr>
      <w:hyperlink w:anchor="_Toc439939383" w:history="1">
        <w:r w:rsidR="00D63667" w:rsidRPr="0044775A">
          <w:rPr>
            <w:rStyle w:val="Hyperlink"/>
            <w:noProof/>
          </w:rPr>
          <w:t>Base Case Scenario</w:t>
        </w:r>
        <w:r w:rsidR="00D63667">
          <w:rPr>
            <w:noProof/>
            <w:webHidden/>
          </w:rPr>
          <w:tab/>
        </w:r>
        <w:r w:rsidR="00D63667">
          <w:rPr>
            <w:noProof/>
            <w:webHidden/>
          </w:rPr>
          <w:fldChar w:fldCharType="begin"/>
        </w:r>
        <w:r w:rsidR="00D63667">
          <w:rPr>
            <w:noProof/>
            <w:webHidden/>
          </w:rPr>
          <w:instrText xml:space="preserve"> PAGEREF _Toc439939383 \h </w:instrText>
        </w:r>
        <w:r w:rsidR="00D63667">
          <w:rPr>
            <w:noProof/>
            <w:webHidden/>
          </w:rPr>
        </w:r>
        <w:r w:rsidR="00D63667">
          <w:rPr>
            <w:noProof/>
            <w:webHidden/>
          </w:rPr>
          <w:fldChar w:fldCharType="separate"/>
        </w:r>
        <w:r w:rsidR="00D63667">
          <w:rPr>
            <w:noProof/>
            <w:webHidden/>
          </w:rPr>
          <w:t>IX</w:t>
        </w:r>
        <w:r w:rsidR="00D63667">
          <w:rPr>
            <w:noProof/>
            <w:webHidden/>
          </w:rPr>
          <w:fldChar w:fldCharType="end"/>
        </w:r>
      </w:hyperlink>
    </w:p>
    <w:p w14:paraId="205D5BE4" w14:textId="1911687D" w:rsidR="00D63667" w:rsidRDefault="00796FE4">
      <w:pPr>
        <w:pStyle w:val="TOC3"/>
        <w:rPr>
          <w:rFonts w:asciiTheme="minorHAnsi" w:hAnsiTheme="minorHAnsi"/>
          <w:noProof/>
          <w:lang w:bidi="ar-SA"/>
        </w:rPr>
      </w:pPr>
      <w:hyperlink w:anchor="_Toc439939384" w:history="1">
        <w:r w:rsidR="00D63667" w:rsidRPr="0044775A">
          <w:rPr>
            <w:rStyle w:val="Hyperlink"/>
            <w:noProof/>
          </w:rPr>
          <w:t>Upgrade Case Scenario</w:t>
        </w:r>
        <w:r w:rsidR="00D63667">
          <w:rPr>
            <w:noProof/>
            <w:webHidden/>
          </w:rPr>
          <w:tab/>
        </w:r>
        <w:r w:rsidR="00D63667">
          <w:rPr>
            <w:noProof/>
            <w:webHidden/>
          </w:rPr>
          <w:fldChar w:fldCharType="begin"/>
        </w:r>
        <w:r w:rsidR="00D63667">
          <w:rPr>
            <w:noProof/>
            <w:webHidden/>
          </w:rPr>
          <w:instrText xml:space="preserve"> PAGEREF _Toc439939384 \h </w:instrText>
        </w:r>
        <w:r w:rsidR="00D63667">
          <w:rPr>
            <w:noProof/>
            <w:webHidden/>
          </w:rPr>
        </w:r>
        <w:r w:rsidR="00D63667">
          <w:rPr>
            <w:noProof/>
            <w:webHidden/>
          </w:rPr>
          <w:fldChar w:fldCharType="separate"/>
        </w:r>
        <w:r w:rsidR="00D63667">
          <w:rPr>
            <w:noProof/>
            <w:webHidden/>
          </w:rPr>
          <w:t>XI</w:t>
        </w:r>
        <w:r w:rsidR="00D63667">
          <w:rPr>
            <w:noProof/>
            <w:webHidden/>
          </w:rPr>
          <w:fldChar w:fldCharType="end"/>
        </w:r>
      </w:hyperlink>
    </w:p>
    <w:p w14:paraId="389AF758" w14:textId="69A00557" w:rsidR="00D63667" w:rsidRDefault="00796FE4">
      <w:pPr>
        <w:pStyle w:val="TOC2"/>
        <w:rPr>
          <w:rFonts w:asciiTheme="minorHAnsi" w:hAnsiTheme="minorHAnsi" w:cstheme="minorBidi"/>
          <w:smallCaps w:val="0"/>
          <w:szCs w:val="22"/>
        </w:rPr>
      </w:pPr>
      <w:hyperlink w:anchor="_Toc439939385" w:history="1">
        <w:r w:rsidR="00D63667" w:rsidRPr="0044775A">
          <w:rPr>
            <w:rStyle w:val="Hyperlink"/>
            <w:lang w:bidi="en-US"/>
          </w:rPr>
          <w:t>Conclusions and Recommendations</w:t>
        </w:r>
        <w:r w:rsidR="00D63667">
          <w:rPr>
            <w:webHidden/>
          </w:rPr>
          <w:tab/>
        </w:r>
        <w:r w:rsidR="00D63667">
          <w:rPr>
            <w:webHidden/>
          </w:rPr>
          <w:fldChar w:fldCharType="begin"/>
        </w:r>
        <w:r w:rsidR="00D63667">
          <w:rPr>
            <w:webHidden/>
          </w:rPr>
          <w:instrText xml:space="preserve"> PAGEREF _Toc439939385 \h </w:instrText>
        </w:r>
        <w:r w:rsidR="00D63667">
          <w:rPr>
            <w:webHidden/>
          </w:rPr>
        </w:r>
        <w:r w:rsidR="00D63667">
          <w:rPr>
            <w:webHidden/>
          </w:rPr>
          <w:fldChar w:fldCharType="separate"/>
        </w:r>
        <w:r w:rsidR="00D63667">
          <w:rPr>
            <w:webHidden/>
          </w:rPr>
          <w:t>XII</w:t>
        </w:r>
        <w:r w:rsidR="00D63667">
          <w:rPr>
            <w:webHidden/>
          </w:rPr>
          <w:fldChar w:fldCharType="end"/>
        </w:r>
      </w:hyperlink>
    </w:p>
    <w:p w14:paraId="2C0FC9AE" w14:textId="5FE519CB" w:rsidR="00D63667" w:rsidRDefault="00796FE4">
      <w:pPr>
        <w:pStyle w:val="TOC3"/>
        <w:rPr>
          <w:rFonts w:asciiTheme="minorHAnsi" w:hAnsiTheme="minorHAnsi"/>
          <w:noProof/>
          <w:lang w:bidi="ar-SA"/>
        </w:rPr>
      </w:pPr>
      <w:hyperlink w:anchor="_Toc439939386" w:history="1">
        <w:r w:rsidR="00D63667" w:rsidRPr="0044775A">
          <w:rPr>
            <w:rStyle w:val="Hyperlink"/>
            <w:noProof/>
          </w:rPr>
          <w:t>Technical, Cost-Effective, and Achievable Potential</w:t>
        </w:r>
        <w:r w:rsidR="00D63667">
          <w:rPr>
            <w:noProof/>
            <w:webHidden/>
          </w:rPr>
          <w:tab/>
        </w:r>
        <w:r w:rsidR="00D63667">
          <w:rPr>
            <w:noProof/>
            <w:webHidden/>
          </w:rPr>
          <w:fldChar w:fldCharType="begin"/>
        </w:r>
        <w:r w:rsidR="00D63667">
          <w:rPr>
            <w:noProof/>
            <w:webHidden/>
          </w:rPr>
          <w:instrText xml:space="preserve"> PAGEREF _Toc439939386 \h </w:instrText>
        </w:r>
        <w:r w:rsidR="00D63667">
          <w:rPr>
            <w:noProof/>
            <w:webHidden/>
          </w:rPr>
        </w:r>
        <w:r w:rsidR="00D63667">
          <w:rPr>
            <w:noProof/>
            <w:webHidden/>
          </w:rPr>
          <w:fldChar w:fldCharType="separate"/>
        </w:r>
        <w:r w:rsidR="00D63667">
          <w:rPr>
            <w:noProof/>
            <w:webHidden/>
          </w:rPr>
          <w:t>XII</w:t>
        </w:r>
        <w:r w:rsidR="00D63667">
          <w:rPr>
            <w:noProof/>
            <w:webHidden/>
          </w:rPr>
          <w:fldChar w:fldCharType="end"/>
        </w:r>
      </w:hyperlink>
    </w:p>
    <w:p w14:paraId="74B8E276" w14:textId="4E82BF4E" w:rsidR="00D63667" w:rsidRDefault="00796FE4">
      <w:pPr>
        <w:pStyle w:val="TOC3"/>
        <w:rPr>
          <w:rFonts w:asciiTheme="minorHAnsi" w:hAnsiTheme="minorHAnsi"/>
          <w:noProof/>
          <w:lang w:bidi="ar-SA"/>
        </w:rPr>
      </w:pPr>
      <w:hyperlink w:anchor="_Toc439939387" w:history="1">
        <w:r w:rsidR="00D63667" w:rsidRPr="0044775A">
          <w:rPr>
            <w:rStyle w:val="Hyperlink"/>
            <w:noProof/>
          </w:rPr>
          <w:t>Fuel Switching</w:t>
        </w:r>
        <w:r w:rsidR="00D63667">
          <w:rPr>
            <w:noProof/>
            <w:webHidden/>
          </w:rPr>
          <w:tab/>
        </w:r>
        <w:r w:rsidR="00D63667">
          <w:rPr>
            <w:noProof/>
            <w:webHidden/>
          </w:rPr>
          <w:fldChar w:fldCharType="begin"/>
        </w:r>
        <w:r w:rsidR="00D63667">
          <w:rPr>
            <w:noProof/>
            <w:webHidden/>
          </w:rPr>
          <w:instrText xml:space="preserve"> PAGEREF _Toc439939387 \h </w:instrText>
        </w:r>
        <w:r w:rsidR="00D63667">
          <w:rPr>
            <w:noProof/>
            <w:webHidden/>
          </w:rPr>
        </w:r>
        <w:r w:rsidR="00D63667">
          <w:rPr>
            <w:noProof/>
            <w:webHidden/>
          </w:rPr>
          <w:fldChar w:fldCharType="separate"/>
        </w:r>
        <w:r w:rsidR="00D63667">
          <w:rPr>
            <w:noProof/>
            <w:webHidden/>
          </w:rPr>
          <w:t>XIII</w:t>
        </w:r>
        <w:r w:rsidR="00D63667">
          <w:rPr>
            <w:noProof/>
            <w:webHidden/>
          </w:rPr>
          <w:fldChar w:fldCharType="end"/>
        </w:r>
      </w:hyperlink>
    </w:p>
    <w:p w14:paraId="73D4C94B" w14:textId="2EC9A49F" w:rsidR="00D63667" w:rsidRDefault="00796FE4">
      <w:pPr>
        <w:pStyle w:val="TOC1"/>
        <w:rPr>
          <w:rFonts w:asciiTheme="minorHAnsi" w:hAnsiTheme="minorHAnsi"/>
          <w:b w:val="0"/>
          <w:smallCaps w:val="0"/>
        </w:rPr>
      </w:pPr>
      <w:hyperlink w:anchor="_Toc439939388" w:history="1">
        <w:r w:rsidR="00D63667" w:rsidRPr="0044775A">
          <w:rPr>
            <w:rStyle w:val="Hyperlink"/>
          </w:rPr>
          <w:t>Introduction</w:t>
        </w:r>
        <w:r w:rsidR="00D63667">
          <w:rPr>
            <w:rStyle w:val="Hyperlink"/>
          </w:rPr>
          <w:tab/>
        </w:r>
        <w:r w:rsidR="00D63667">
          <w:rPr>
            <w:webHidden/>
          </w:rPr>
          <w:tab/>
        </w:r>
        <w:r w:rsidR="00D63667">
          <w:rPr>
            <w:webHidden/>
          </w:rPr>
          <w:fldChar w:fldCharType="begin"/>
        </w:r>
        <w:r w:rsidR="00D63667">
          <w:rPr>
            <w:webHidden/>
          </w:rPr>
          <w:instrText xml:space="preserve"> PAGEREF _Toc439939388 \h </w:instrText>
        </w:r>
        <w:r w:rsidR="00D63667">
          <w:rPr>
            <w:webHidden/>
          </w:rPr>
        </w:r>
        <w:r w:rsidR="00D63667">
          <w:rPr>
            <w:webHidden/>
          </w:rPr>
          <w:fldChar w:fldCharType="separate"/>
        </w:r>
        <w:r w:rsidR="00D63667">
          <w:rPr>
            <w:webHidden/>
          </w:rPr>
          <w:t>15</w:t>
        </w:r>
        <w:r w:rsidR="00D63667">
          <w:rPr>
            <w:webHidden/>
          </w:rPr>
          <w:fldChar w:fldCharType="end"/>
        </w:r>
      </w:hyperlink>
    </w:p>
    <w:p w14:paraId="453B28F9" w14:textId="1E29FEDB" w:rsidR="00D63667" w:rsidRDefault="00796FE4">
      <w:pPr>
        <w:pStyle w:val="TOC1"/>
        <w:rPr>
          <w:rFonts w:asciiTheme="minorHAnsi" w:hAnsiTheme="minorHAnsi"/>
          <w:b w:val="0"/>
          <w:smallCaps w:val="0"/>
        </w:rPr>
      </w:pPr>
      <w:hyperlink w:anchor="_Toc439939389" w:history="1">
        <w:r w:rsidR="00D63667" w:rsidRPr="0044775A">
          <w:rPr>
            <w:rStyle w:val="Hyperlink"/>
          </w:rPr>
          <w:t>Methodology</w:t>
        </w:r>
        <w:r w:rsidR="00D63667">
          <w:rPr>
            <w:webHidden/>
          </w:rPr>
          <w:tab/>
        </w:r>
        <w:r w:rsidR="00D63667">
          <w:rPr>
            <w:webHidden/>
          </w:rPr>
          <w:tab/>
        </w:r>
        <w:r w:rsidR="00D63667">
          <w:rPr>
            <w:webHidden/>
          </w:rPr>
          <w:fldChar w:fldCharType="begin"/>
        </w:r>
        <w:r w:rsidR="00D63667">
          <w:rPr>
            <w:webHidden/>
          </w:rPr>
          <w:instrText xml:space="preserve"> PAGEREF _Toc439939389 \h </w:instrText>
        </w:r>
        <w:r w:rsidR="00D63667">
          <w:rPr>
            <w:webHidden/>
          </w:rPr>
        </w:r>
        <w:r w:rsidR="00D63667">
          <w:rPr>
            <w:webHidden/>
          </w:rPr>
          <w:fldChar w:fldCharType="separate"/>
        </w:r>
        <w:r w:rsidR="00D63667">
          <w:rPr>
            <w:webHidden/>
          </w:rPr>
          <w:t>18</w:t>
        </w:r>
        <w:r w:rsidR="00D63667">
          <w:rPr>
            <w:webHidden/>
          </w:rPr>
          <w:fldChar w:fldCharType="end"/>
        </w:r>
      </w:hyperlink>
    </w:p>
    <w:p w14:paraId="099FB380" w14:textId="598F6045" w:rsidR="00D63667" w:rsidRDefault="00796FE4">
      <w:pPr>
        <w:pStyle w:val="TOC2"/>
        <w:rPr>
          <w:rFonts w:asciiTheme="minorHAnsi" w:hAnsiTheme="minorHAnsi" w:cstheme="minorBidi"/>
          <w:smallCaps w:val="0"/>
          <w:szCs w:val="22"/>
        </w:rPr>
      </w:pPr>
      <w:hyperlink w:anchor="_Toc439939390" w:history="1">
        <w:r w:rsidR="00D63667" w:rsidRPr="0044775A">
          <w:rPr>
            <w:rStyle w:val="Hyperlink"/>
            <w:lang w:bidi="en-US"/>
          </w:rPr>
          <w:t>Technical Potential Methodology</w:t>
        </w:r>
        <w:r w:rsidR="00D63667">
          <w:rPr>
            <w:webHidden/>
          </w:rPr>
          <w:tab/>
        </w:r>
        <w:r w:rsidR="00D63667">
          <w:rPr>
            <w:webHidden/>
          </w:rPr>
          <w:fldChar w:fldCharType="begin"/>
        </w:r>
        <w:r w:rsidR="00D63667">
          <w:rPr>
            <w:webHidden/>
          </w:rPr>
          <w:instrText xml:space="preserve"> PAGEREF _Toc439939390 \h </w:instrText>
        </w:r>
        <w:r w:rsidR="00D63667">
          <w:rPr>
            <w:webHidden/>
          </w:rPr>
        </w:r>
        <w:r w:rsidR="00D63667">
          <w:rPr>
            <w:webHidden/>
          </w:rPr>
          <w:fldChar w:fldCharType="separate"/>
        </w:r>
        <w:r w:rsidR="00D63667">
          <w:rPr>
            <w:webHidden/>
          </w:rPr>
          <w:t>18</w:t>
        </w:r>
        <w:r w:rsidR="00D63667">
          <w:rPr>
            <w:webHidden/>
          </w:rPr>
          <w:fldChar w:fldCharType="end"/>
        </w:r>
      </w:hyperlink>
    </w:p>
    <w:p w14:paraId="4EB5DD36" w14:textId="3D0460DA" w:rsidR="00D63667" w:rsidRDefault="00796FE4">
      <w:pPr>
        <w:pStyle w:val="TOC2"/>
        <w:rPr>
          <w:rFonts w:asciiTheme="minorHAnsi" w:hAnsiTheme="minorHAnsi" w:cstheme="minorBidi"/>
          <w:smallCaps w:val="0"/>
          <w:szCs w:val="22"/>
        </w:rPr>
      </w:pPr>
      <w:hyperlink w:anchor="_Toc439939391" w:history="1">
        <w:r w:rsidR="00D63667" w:rsidRPr="0044775A">
          <w:rPr>
            <w:rStyle w:val="Hyperlink"/>
            <w:lang w:bidi="en-US"/>
          </w:rPr>
          <w:t>Cost-Effective Potential Methodology</w:t>
        </w:r>
        <w:r w:rsidR="00D63667">
          <w:rPr>
            <w:webHidden/>
          </w:rPr>
          <w:tab/>
        </w:r>
        <w:r w:rsidR="00D63667">
          <w:rPr>
            <w:webHidden/>
          </w:rPr>
          <w:fldChar w:fldCharType="begin"/>
        </w:r>
        <w:r w:rsidR="00D63667">
          <w:rPr>
            <w:webHidden/>
          </w:rPr>
          <w:instrText xml:space="preserve"> PAGEREF _Toc439939391 \h </w:instrText>
        </w:r>
        <w:r w:rsidR="00D63667">
          <w:rPr>
            <w:webHidden/>
          </w:rPr>
        </w:r>
        <w:r w:rsidR="00D63667">
          <w:rPr>
            <w:webHidden/>
          </w:rPr>
          <w:fldChar w:fldCharType="separate"/>
        </w:r>
        <w:r w:rsidR="00D63667">
          <w:rPr>
            <w:webHidden/>
          </w:rPr>
          <w:t>21</w:t>
        </w:r>
        <w:r w:rsidR="00D63667">
          <w:rPr>
            <w:webHidden/>
          </w:rPr>
          <w:fldChar w:fldCharType="end"/>
        </w:r>
      </w:hyperlink>
    </w:p>
    <w:p w14:paraId="31F444CC" w14:textId="38E10096" w:rsidR="00D63667" w:rsidRDefault="00796FE4">
      <w:pPr>
        <w:pStyle w:val="TOC3"/>
        <w:rPr>
          <w:rFonts w:asciiTheme="minorHAnsi" w:hAnsiTheme="minorHAnsi"/>
          <w:noProof/>
          <w:lang w:bidi="ar-SA"/>
        </w:rPr>
      </w:pPr>
      <w:hyperlink w:anchor="_Toc439939392" w:history="1">
        <w:r w:rsidR="00D63667" w:rsidRPr="0044775A">
          <w:rPr>
            <w:rStyle w:val="Hyperlink"/>
            <w:noProof/>
          </w:rPr>
          <w:t>Cost-Effectiveness Tests: TRC and UCT</w:t>
        </w:r>
        <w:r w:rsidR="00D63667">
          <w:rPr>
            <w:noProof/>
            <w:webHidden/>
          </w:rPr>
          <w:tab/>
        </w:r>
        <w:r w:rsidR="00D63667">
          <w:rPr>
            <w:noProof/>
            <w:webHidden/>
          </w:rPr>
          <w:fldChar w:fldCharType="begin"/>
        </w:r>
        <w:r w:rsidR="00D63667">
          <w:rPr>
            <w:noProof/>
            <w:webHidden/>
          </w:rPr>
          <w:instrText xml:space="preserve"> PAGEREF _Toc439939392 \h </w:instrText>
        </w:r>
        <w:r w:rsidR="00D63667">
          <w:rPr>
            <w:noProof/>
            <w:webHidden/>
          </w:rPr>
        </w:r>
        <w:r w:rsidR="00D63667">
          <w:rPr>
            <w:noProof/>
            <w:webHidden/>
          </w:rPr>
          <w:fldChar w:fldCharType="separate"/>
        </w:r>
        <w:r w:rsidR="00D63667">
          <w:rPr>
            <w:noProof/>
            <w:webHidden/>
          </w:rPr>
          <w:t>22</w:t>
        </w:r>
        <w:r w:rsidR="00D63667">
          <w:rPr>
            <w:noProof/>
            <w:webHidden/>
          </w:rPr>
          <w:fldChar w:fldCharType="end"/>
        </w:r>
      </w:hyperlink>
    </w:p>
    <w:p w14:paraId="03001A55" w14:textId="6F14B664" w:rsidR="00D63667" w:rsidRDefault="00796FE4">
      <w:pPr>
        <w:pStyle w:val="TOC3"/>
        <w:rPr>
          <w:rFonts w:asciiTheme="minorHAnsi" w:hAnsiTheme="minorHAnsi"/>
          <w:noProof/>
          <w:lang w:bidi="ar-SA"/>
        </w:rPr>
      </w:pPr>
      <w:hyperlink w:anchor="_Toc439939393" w:history="1">
        <w:r w:rsidR="00D63667" w:rsidRPr="0044775A">
          <w:rPr>
            <w:rStyle w:val="Hyperlink"/>
            <w:noProof/>
          </w:rPr>
          <w:t>Cost-Effectiveness Screening Process</w:t>
        </w:r>
        <w:r w:rsidR="00D63667">
          <w:rPr>
            <w:noProof/>
            <w:webHidden/>
          </w:rPr>
          <w:tab/>
        </w:r>
        <w:r w:rsidR="00D63667">
          <w:rPr>
            <w:noProof/>
            <w:webHidden/>
          </w:rPr>
          <w:fldChar w:fldCharType="begin"/>
        </w:r>
        <w:r w:rsidR="00D63667">
          <w:rPr>
            <w:noProof/>
            <w:webHidden/>
          </w:rPr>
          <w:instrText xml:space="preserve"> PAGEREF _Toc439939393 \h </w:instrText>
        </w:r>
        <w:r w:rsidR="00D63667">
          <w:rPr>
            <w:noProof/>
            <w:webHidden/>
          </w:rPr>
        </w:r>
        <w:r w:rsidR="00D63667">
          <w:rPr>
            <w:noProof/>
            <w:webHidden/>
          </w:rPr>
          <w:fldChar w:fldCharType="separate"/>
        </w:r>
        <w:r w:rsidR="00D63667">
          <w:rPr>
            <w:noProof/>
            <w:webHidden/>
          </w:rPr>
          <w:t>23</w:t>
        </w:r>
        <w:r w:rsidR="00D63667">
          <w:rPr>
            <w:noProof/>
            <w:webHidden/>
          </w:rPr>
          <w:fldChar w:fldCharType="end"/>
        </w:r>
      </w:hyperlink>
    </w:p>
    <w:p w14:paraId="35FEE8A6" w14:textId="1DDF076B" w:rsidR="00D63667" w:rsidRDefault="00796FE4">
      <w:pPr>
        <w:pStyle w:val="TOC2"/>
        <w:rPr>
          <w:rFonts w:asciiTheme="minorHAnsi" w:hAnsiTheme="minorHAnsi" w:cstheme="minorBidi"/>
          <w:smallCaps w:val="0"/>
          <w:szCs w:val="22"/>
        </w:rPr>
      </w:pPr>
      <w:hyperlink w:anchor="_Toc439939394" w:history="1">
        <w:r w:rsidR="00D63667" w:rsidRPr="0044775A">
          <w:rPr>
            <w:rStyle w:val="Hyperlink"/>
            <w:lang w:bidi="en-US"/>
          </w:rPr>
          <w:t>Achievable Potential Methodology</w:t>
        </w:r>
        <w:r w:rsidR="00D63667">
          <w:rPr>
            <w:webHidden/>
          </w:rPr>
          <w:tab/>
        </w:r>
        <w:r w:rsidR="00D63667">
          <w:rPr>
            <w:webHidden/>
          </w:rPr>
          <w:fldChar w:fldCharType="begin"/>
        </w:r>
        <w:r w:rsidR="00D63667">
          <w:rPr>
            <w:webHidden/>
          </w:rPr>
          <w:instrText xml:space="preserve"> PAGEREF _Toc439939394 \h </w:instrText>
        </w:r>
        <w:r w:rsidR="00D63667">
          <w:rPr>
            <w:webHidden/>
          </w:rPr>
        </w:r>
        <w:r w:rsidR="00D63667">
          <w:rPr>
            <w:webHidden/>
          </w:rPr>
          <w:fldChar w:fldCharType="separate"/>
        </w:r>
        <w:r w:rsidR="00D63667">
          <w:rPr>
            <w:webHidden/>
          </w:rPr>
          <w:t>27</w:t>
        </w:r>
        <w:r w:rsidR="00D63667">
          <w:rPr>
            <w:webHidden/>
          </w:rPr>
          <w:fldChar w:fldCharType="end"/>
        </w:r>
      </w:hyperlink>
    </w:p>
    <w:p w14:paraId="0F3003DF" w14:textId="785FF0E9" w:rsidR="00D63667" w:rsidRDefault="00796FE4">
      <w:pPr>
        <w:pStyle w:val="TOC3"/>
        <w:rPr>
          <w:rFonts w:asciiTheme="minorHAnsi" w:hAnsiTheme="minorHAnsi"/>
          <w:noProof/>
          <w:lang w:bidi="ar-SA"/>
        </w:rPr>
      </w:pPr>
      <w:hyperlink w:anchor="_Toc439939395" w:history="1">
        <w:r w:rsidR="00D63667" w:rsidRPr="0044775A">
          <w:rPr>
            <w:rStyle w:val="Hyperlink"/>
            <w:noProof/>
          </w:rPr>
          <w:t>Replacement Schedules</w:t>
        </w:r>
        <w:r w:rsidR="00D63667">
          <w:rPr>
            <w:noProof/>
            <w:webHidden/>
          </w:rPr>
          <w:tab/>
        </w:r>
        <w:r w:rsidR="00D63667">
          <w:rPr>
            <w:noProof/>
            <w:webHidden/>
          </w:rPr>
          <w:fldChar w:fldCharType="begin"/>
        </w:r>
        <w:r w:rsidR="00D63667">
          <w:rPr>
            <w:noProof/>
            <w:webHidden/>
          </w:rPr>
          <w:instrText xml:space="preserve"> PAGEREF _Toc439939395 \h </w:instrText>
        </w:r>
        <w:r w:rsidR="00D63667">
          <w:rPr>
            <w:noProof/>
            <w:webHidden/>
          </w:rPr>
        </w:r>
        <w:r w:rsidR="00D63667">
          <w:rPr>
            <w:noProof/>
            <w:webHidden/>
          </w:rPr>
          <w:fldChar w:fldCharType="separate"/>
        </w:r>
        <w:r w:rsidR="00D63667">
          <w:rPr>
            <w:noProof/>
            <w:webHidden/>
          </w:rPr>
          <w:t>27</w:t>
        </w:r>
        <w:r w:rsidR="00D63667">
          <w:rPr>
            <w:noProof/>
            <w:webHidden/>
          </w:rPr>
          <w:fldChar w:fldCharType="end"/>
        </w:r>
      </w:hyperlink>
    </w:p>
    <w:p w14:paraId="40114B24" w14:textId="2B7A2D50" w:rsidR="00D63667" w:rsidRDefault="00796FE4">
      <w:pPr>
        <w:pStyle w:val="TOC3"/>
        <w:rPr>
          <w:rFonts w:asciiTheme="minorHAnsi" w:hAnsiTheme="minorHAnsi"/>
          <w:noProof/>
          <w:lang w:bidi="ar-SA"/>
        </w:rPr>
      </w:pPr>
      <w:hyperlink w:anchor="_Toc439939396" w:history="1">
        <w:r w:rsidR="00D63667" w:rsidRPr="0044775A">
          <w:rPr>
            <w:rStyle w:val="Hyperlink"/>
            <w:noProof/>
          </w:rPr>
          <w:t>Gradual Market Adoption of Upgrade Measures</w:t>
        </w:r>
        <w:r w:rsidR="00D63667">
          <w:rPr>
            <w:noProof/>
            <w:webHidden/>
          </w:rPr>
          <w:tab/>
        </w:r>
        <w:r w:rsidR="00D63667">
          <w:rPr>
            <w:noProof/>
            <w:webHidden/>
          </w:rPr>
          <w:fldChar w:fldCharType="begin"/>
        </w:r>
        <w:r w:rsidR="00D63667">
          <w:rPr>
            <w:noProof/>
            <w:webHidden/>
          </w:rPr>
          <w:instrText xml:space="preserve"> PAGEREF _Toc439939396 \h </w:instrText>
        </w:r>
        <w:r w:rsidR="00D63667">
          <w:rPr>
            <w:noProof/>
            <w:webHidden/>
          </w:rPr>
        </w:r>
        <w:r w:rsidR="00D63667">
          <w:rPr>
            <w:noProof/>
            <w:webHidden/>
          </w:rPr>
          <w:fldChar w:fldCharType="separate"/>
        </w:r>
        <w:r w:rsidR="00D63667">
          <w:rPr>
            <w:noProof/>
            <w:webHidden/>
          </w:rPr>
          <w:t>27</w:t>
        </w:r>
        <w:r w:rsidR="00D63667">
          <w:rPr>
            <w:noProof/>
            <w:webHidden/>
          </w:rPr>
          <w:fldChar w:fldCharType="end"/>
        </w:r>
      </w:hyperlink>
    </w:p>
    <w:p w14:paraId="727C88B4" w14:textId="71F03AE1" w:rsidR="00D63667" w:rsidRDefault="00796FE4">
      <w:pPr>
        <w:pStyle w:val="TOC2"/>
        <w:rPr>
          <w:rFonts w:asciiTheme="minorHAnsi" w:hAnsiTheme="minorHAnsi" w:cstheme="minorBidi"/>
          <w:smallCaps w:val="0"/>
          <w:szCs w:val="22"/>
        </w:rPr>
      </w:pPr>
      <w:hyperlink w:anchor="_Toc439939397" w:history="1">
        <w:r w:rsidR="00D63667" w:rsidRPr="0044775A">
          <w:rPr>
            <w:rStyle w:val="Hyperlink"/>
            <w:lang w:bidi="en-US"/>
          </w:rPr>
          <w:t>Peak Demand and Coincidence Factors</w:t>
        </w:r>
        <w:r w:rsidR="00D63667">
          <w:rPr>
            <w:webHidden/>
          </w:rPr>
          <w:tab/>
        </w:r>
        <w:r w:rsidR="00D63667">
          <w:rPr>
            <w:webHidden/>
          </w:rPr>
          <w:fldChar w:fldCharType="begin"/>
        </w:r>
        <w:r w:rsidR="00D63667">
          <w:rPr>
            <w:webHidden/>
          </w:rPr>
          <w:instrText xml:space="preserve"> PAGEREF _Toc439939397 \h </w:instrText>
        </w:r>
        <w:r w:rsidR="00D63667">
          <w:rPr>
            <w:webHidden/>
          </w:rPr>
        </w:r>
        <w:r w:rsidR="00D63667">
          <w:rPr>
            <w:webHidden/>
          </w:rPr>
          <w:fldChar w:fldCharType="separate"/>
        </w:r>
        <w:r w:rsidR="00D63667">
          <w:rPr>
            <w:webHidden/>
          </w:rPr>
          <w:t>28</w:t>
        </w:r>
        <w:r w:rsidR="00D63667">
          <w:rPr>
            <w:webHidden/>
          </w:rPr>
          <w:fldChar w:fldCharType="end"/>
        </w:r>
      </w:hyperlink>
    </w:p>
    <w:p w14:paraId="2E955F6C" w14:textId="2B316493" w:rsidR="00D63667" w:rsidRDefault="00796FE4">
      <w:pPr>
        <w:pStyle w:val="TOC2"/>
        <w:rPr>
          <w:rFonts w:asciiTheme="minorHAnsi" w:hAnsiTheme="minorHAnsi" w:cstheme="minorBidi"/>
          <w:smallCaps w:val="0"/>
          <w:szCs w:val="22"/>
        </w:rPr>
      </w:pPr>
      <w:hyperlink w:anchor="_Toc439939398" w:history="1">
        <w:r w:rsidR="00D63667" w:rsidRPr="0044775A">
          <w:rPr>
            <w:rStyle w:val="Hyperlink"/>
            <w:lang w:bidi="en-US"/>
          </w:rPr>
          <w:t>Fuel Switching Methodology</w:t>
        </w:r>
        <w:r w:rsidR="00D63667">
          <w:rPr>
            <w:webHidden/>
          </w:rPr>
          <w:tab/>
        </w:r>
        <w:r w:rsidR="00D63667">
          <w:rPr>
            <w:webHidden/>
          </w:rPr>
          <w:fldChar w:fldCharType="begin"/>
        </w:r>
        <w:r w:rsidR="00D63667">
          <w:rPr>
            <w:webHidden/>
          </w:rPr>
          <w:instrText xml:space="preserve"> PAGEREF _Toc439939398 \h </w:instrText>
        </w:r>
        <w:r w:rsidR="00D63667">
          <w:rPr>
            <w:webHidden/>
          </w:rPr>
        </w:r>
        <w:r w:rsidR="00D63667">
          <w:rPr>
            <w:webHidden/>
          </w:rPr>
          <w:fldChar w:fldCharType="separate"/>
        </w:r>
        <w:r w:rsidR="00D63667">
          <w:rPr>
            <w:webHidden/>
          </w:rPr>
          <w:t>29</w:t>
        </w:r>
        <w:r w:rsidR="00D63667">
          <w:rPr>
            <w:webHidden/>
          </w:rPr>
          <w:fldChar w:fldCharType="end"/>
        </w:r>
      </w:hyperlink>
    </w:p>
    <w:p w14:paraId="337A79CB" w14:textId="7A9D2444" w:rsidR="00D63667" w:rsidRDefault="00796FE4">
      <w:pPr>
        <w:pStyle w:val="TOC1"/>
        <w:rPr>
          <w:rFonts w:asciiTheme="minorHAnsi" w:hAnsiTheme="minorHAnsi"/>
          <w:b w:val="0"/>
          <w:smallCaps w:val="0"/>
        </w:rPr>
      </w:pPr>
      <w:hyperlink w:anchor="_Toc439939399" w:history="1">
        <w:r w:rsidR="00D63667" w:rsidRPr="0044775A">
          <w:rPr>
            <w:rStyle w:val="Hyperlink"/>
          </w:rPr>
          <w:t>Sampling &amp; Weighting</w:t>
        </w:r>
        <w:r w:rsidR="00D63667">
          <w:rPr>
            <w:webHidden/>
          </w:rPr>
          <w:tab/>
        </w:r>
        <w:r w:rsidR="00D63667">
          <w:rPr>
            <w:webHidden/>
          </w:rPr>
          <w:fldChar w:fldCharType="begin"/>
        </w:r>
        <w:r w:rsidR="00D63667">
          <w:rPr>
            <w:webHidden/>
          </w:rPr>
          <w:instrText xml:space="preserve"> PAGEREF _Toc439939399 \h </w:instrText>
        </w:r>
        <w:r w:rsidR="00D63667">
          <w:rPr>
            <w:webHidden/>
          </w:rPr>
        </w:r>
        <w:r w:rsidR="00D63667">
          <w:rPr>
            <w:webHidden/>
          </w:rPr>
          <w:fldChar w:fldCharType="separate"/>
        </w:r>
        <w:r w:rsidR="00D63667">
          <w:rPr>
            <w:webHidden/>
          </w:rPr>
          <w:t>34</w:t>
        </w:r>
        <w:r w:rsidR="00D63667">
          <w:rPr>
            <w:webHidden/>
          </w:rPr>
          <w:fldChar w:fldCharType="end"/>
        </w:r>
      </w:hyperlink>
    </w:p>
    <w:p w14:paraId="7C9F2620" w14:textId="64F49E5B" w:rsidR="00D63667" w:rsidRDefault="00796FE4">
      <w:pPr>
        <w:pStyle w:val="TOC2"/>
        <w:rPr>
          <w:rFonts w:asciiTheme="minorHAnsi" w:hAnsiTheme="minorHAnsi" w:cstheme="minorBidi"/>
          <w:smallCaps w:val="0"/>
          <w:szCs w:val="22"/>
        </w:rPr>
      </w:pPr>
      <w:hyperlink w:anchor="_Toc439939400" w:history="1">
        <w:r w:rsidR="00D63667" w:rsidRPr="0044775A">
          <w:rPr>
            <w:rStyle w:val="Hyperlink"/>
            <w:lang w:bidi="en-US"/>
          </w:rPr>
          <w:t>Weighting</w:t>
        </w:r>
        <w:r w:rsidR="00D63667">
          <w:rPr>
            <w:webHidden/>
          </w:rPr>
          <w:tab/>
        </w:r>
        <w:r w:rsidR="00D63667">
          <w:rPr>
            <w:webHidden/>
          </w:rPr>
          <w:fldChar w:fldCharType="begin"/>
        </w:r>
        <w:r w:rsidR="00D63667">
          <w:rPr>
            <w:webHidden/>
          </w:rPr>
          <w:instrText xml:space="preserve"> PAGEREF _Toc439939400 \h </w:instrText>
        </w:r>
        <w:r w:rsidR="00D63667">
          <w:rPr>
            <w:webHidden/>
          </w:rPr>
        </w:r>
        <w:r w:rsidR="00D63667">
          <w:rPr>
            <w:webHidden/>
          </w:rPr>
          <w:fldChar w:fldCharType="separate"/>
        </w:r>
        <w:r w:rsidR="00D63667">
          <w:rPr>
            <w:webHidden/>
          </w:rPr>
          <w:t>36</w:t>
        </w:r>
        <w:r w:rsidR="00D63667">
          <w:rPr>
            <w:webHidden/>
          </w:rPr>
          <w:fldChar w:fldCharType="end"/>
        </w:r>
      </w:hyperlink>
    </w:p>
    <w:p w14:paraId="0086A179" w14:textId="0FD71B73" w:rsidR="00D63667" w:rsidRDefault="00796FE4">
      <w:pPr>
        <w:pStyle w:val="TOC1"/>
        <w:rPr>
          <w:rFonts w:asciiTheme="minorHAnsi" w:hAnsiTheme="minorHAnsi"/>
          <w:b w:val="0"/>
          <w:smallCaps w:val="0"/>
        </w:rPr>
      </w:pPr>
      <w:hyperlink w:anchor="_Toc439939401" w:history="1">
        <w:r w:rsidR="00D63667" w:rsidRPr="0044775A">
          <w:rPr>
            <w:rStyle w:val="Hyperlink"/>
          </w:rPr>
          <w:t>Technical Potential</w:t>
        </w:r>
        <w:r w:rsidR="00D63667">
          <w:rPr>
            <w:webHidden/>
          </w:rPr>
          <w:tab/>
        </w:r>
        <w:r w:rsidR="00D63667">
          <w:rPr>
            <w:webHidden/>
          </w:rPr>
          <w:fldChar w:fldCharType="begin"/>
        </w:r>
        <w:r w:rsidR="00D63667">
          <w:rPr>
            <w:webHidden/>
          </w:rPr>
          <w:instrText xml:space="preserve"> PAGEREF _Toc439939401 \h </w:instrText>
        </w:r>
        <w:r w:rsidR="00D63667">
          <w:rPr>
            <w:webHidden/>
          </w:rPr>
        </w:r>
        <w:r w:rsidR="00D63667">
          <w:rPr>
            <w:webHidden/>
          </w:rPr>
          <w:fldChar w:fldCharType="separate"/>
        </w:r>
        <w:r w:rsidR="00D63667">
          <w:rPr>
            <w:webHidden/>
          </w:rPr>
          <w:t>37</w:t>
        </w:r>
        <w:r w:rsidR="00D63667">
          <w:rPr>
            <w:webHidden/>
          </w:rPr>
          <w:fldChar w:fldCharType="end"/>
        </w:r>
      </w:hyperlink>
    </w:p>
    <w:p w14:paraId="47ED5E92" w14:textId="71F3C9C0" w:rsidR="00D63667" w:rsidRDefault="00796FE4">
      <w:pPr>
        <w:pStyle w:val="TOC2"/>
        <w:rPr>
          <w:rFonts w:asciiTheme="minorHAnsi" w:hAnsiTheme="minorHAnsi" w:cstheme="minorBidi"/>
          <w:smallCaps w:val="0"/>
          <w:szCs w:val="22"/>
        </w:rPr>
      </w:pPr>
      <w:hyperlink w:anchor="_Toc439939402" w:history="1">
        <w:r w:rsidR="00D63667" w:rsidRPr="0044775A">
          <w:rPr>
            <w:rStyle w:val="Hyperlink"/>
            <w:lang w:bidi="en-US"/>
          </w:rPr>
          <w:t>Results</w:t>
        </w:r>
        <w:r w:rsidR="00D63667">
          <w:rPr>
            <w:webHidden/>
          </w:rPr>
          <w:tab/>
        </w:r>
        <w:r w:rsidR="00D63667">
          <w:rPr>
            <w:webHidden/>
          </w:rPr>
          <w:fldChar w:fldCharType="begin"/>
        </w:r>
        <w:r w:rsidR="00D63667">
          <w:rPr>
            <w:webHidden/>
          </w:rPr>
          <w:instrText xml:space="preserve"> PAGEREF _Toc439939402 \h </w:instrText>
        </w:r>
        <w:r w:rsidR="00D63667">
          <w:rPr>
            <w:webHidden/>
          </w:rPr>
        </w:r>
        <w:r w:rsidR="00D63667">
          <w:rPr>
            <w:webHidden/>
          </w:rPr>
          <w:fldChar w:fldCharType="separate"/>
        </w:r>
        <w:r w:rsidR="00D63667">
          <w:rPr>
            <w:webHidden/>
          </w:rPr>
          <w:t>37</w:t>
        </w:r>
        <w:r w:rsidR="00D63667">
          <w:rPr>
            <w:webHidden/>
          </w:rPr>
          <w:fldChar w:fldCharType="end"/>
        </w:r>
      </w:hyperlink>
    </w:p>
    <w:p w14:paraId="7851E90B" w14:textId="6C26BA9F" w:rsidR="00D63667" w:rsidRDefault="00796FE4">
      <w:pPr>
        <w:pStyle w:val="TOC3"/>
        <w:rPr>
          <w:rFonts w:asciiTheme="minorHAnsi" w:hAnsiTheme="minorHAnsi"/>
          <w:noProof/>
          <w:lang w:bidi="ar-SA"/>
        </w:rPr>
      </w:pPr>
      <w:hyperlink w:anchor="_Toc439939403" w:history="1">
        <w:r w:rsidR="00D63667" w:rsidRPr="0044775A">
          <w:rPr>
            <w:rStyle w:val="Hyperlink"/>
            <w:noProof/>
          </w:rPr>
          <w:t>Comprehensive Model Results (All Applicable Upgrades)</w:t>
        </w:r>
        <w:r w:rsidR="00D63667">
          <w:rPr>
            <w:noProof/>
            <w:webHidden/>
          </w:rPr>
          <w:tab/>
        </w:r>
        <w:r w:rsidR="00D63667">
          <w:rPr>
            <w:noProof/>
            <w:webHidden/>
          </w:rPr>
          <w:fldChar w:fldCharType="begin"/>
        </w:r>
        <w:r w:rsidR="00D63667">
          <w:rPr>
            <w:noProof/>
            <w:webHidden/>
          </w:rPr>
          <w:instrText xml:space="preserve"> PAGEREF _Toc439939403 \h </w:instrText>
        </w:r>
        <w:r w:rsidR="00D63667">
          <w:rPr>
            <w:noProof/>
            <w:webHidden/>
          </w:rPr>
        </w:r>
        <w:r w:rsidR="00D63667">
          <w:rPr>
            <w:noProof/>
            <w:webHidden/>
          </w:rPr>
          <w:fldChar w:fldCharType="separate"/>
        </w:r>
        <w:r w:rsidR="00D63667">
          <w:rPr>
            <w:noProof/>
            <w:webHidden/>
          </w:rPr>
          <w:t>38</w:t>
        </w:r>
        <w:r w:rsidR="00D63667">
          <w:rPr>
            <w:noProof/>
            <w:webHidden/>
          </w:rPr>
          <w:fldChar w:fldCharType="end"/>
        </w:r>
      </w:hyperlink>
    </w:p>
    <w:p w14:paraId="796646C6" w14:textId="1BF4E018" w:rsidR="00D63667" w:rsidRDefault="00796FE4">
      <w:pPr>
        <w:pStyle w:val="TOC3"/>
        <w:rPr>
          <w:rFonts w:asciiTheme="minorHAnsi" w:hAnsiTheme="minorHAnsi"/>
          <w:noProof/>
          <w:lang w:bidi="ar-SA"/>
        </w:rPr>
      </w:pPr>
      <w:hyperlink w:anchor="_Toc439939404" w:history="1">
        <w:r w:rsidR="00D63667" w:rsidRPr="0044775A">
          <w:rPr>
            <w:rStyle w:val="Hyperlink"/>
            <w:noProof/>
          </w:rPr>
          <w:t>Individual Measures</w:t>
        </w:r>
        <w:r w:rsidR="00D63667">
          <w:rPr>
            <w:noProof/>
            <w:webHidden/>
          </w:rPr>
          <w:tab/>
        </w:r>
        <w:r w:rsidR="00D63667">
          <w:rPr>
            <w:noProof/>
            <w:webHidden/>
          </w:rPr>
          <w:fldChar w:fldCharType="begin"/>
        </w:r>
        <w:r w:rsidR="00D63667">
          <w:rPr>
            <w:noProof/>
            <w:webHidden/>
          </w:rPr>
          <w:instrText xml:space="preserve"> PAGEREF _Toc439939404 \h </w:instrText>
        </w:r>
        <w:r w:rsidR="00D63667">
          <w:rPr>
            <w:noProof/>
            <w:webHidden/>
          </w:rPr>
        </w:r>
        <w:r w:rsidR="00D63667">
          <w:rPr>
            <w:noProof/>
            <w:webHidden/>
          </w:rPr>
          <w:fldChar w:fldCharType="separate"/>
        </w:r>
        <w:r w:rsidR="00D63667">
          <w:rPr>
            <w:noProof/>
            <w:webHidden/>
          </w:rPr>
          <w:t>46</w:t>
        </w:r>
        <w:r w:rsidR="00D63667">
          <w:rPr>
            <w:noProof/>
            <w:webHidden/>
          </w:rPr>
          <w:fldChar w:fldCharType="end"/>
        </w:r>
      </w:hyperlink>
    </w:p>
    <w:p w14:paraId="63B61CD4" w14:textId="2BD23260" w:rsidR="00D63667" w:rsidRDefault="00796FE4">
      <w:pPr>
        <w:pStyle w:val="TOC1"/>
        <w:rPr>
          <w:rFonts w:asciiTheme="minorHAnsi" w:hAnsiTheme="minorHAnsi"/>
          <w:b w:val="0"/>
          <w:smallCaps w:val="0"/>
        </w:rPr>
      </w:pPr>
      <w:hyperlink w:anchor="_Toc439939405" w:history="1">
        <w:r w:rsidR="00D63667" w:rsidRPr="0044775A">
          <w:rPr>
            <w:rStyle w:val="Hyperlink"/>
          </w:rPr>
          <w:t>Cost-Effective Potential</w:t>
        </w:r>
        <w:r w:rsidR="00D63667">
          <w:rPr>
            <w:webHidden/>
          </w:rPr>
          <w:tab/>
        </w:r>
        <w:r w:rsidR="00D63667">
          <w:rPr>
            <w:webHidden/>
          </w:rPr>
          <w:fldChar w:fldCharType="begin"/>
        </w:r>
        <w:r w:rsidR="00D63667">
          <w:rPr>
            <w:webHidden/>
          </w:rPr>
          <w:instrText xml:space="preserve"> PAGEREF _Toc439939405 \h </w:instrText>
        </w:r>
        <w:r w:rsidR="00D63667">
          <w:rPr>
            <w:webHidden/>
          </w:rPr>
        </w:r>
        <w:r w:rsidR="00D63667">
          <w:rPr>
            <w:webHidden/>
          </w:rPr>
          <w:fldChar w:fldCharType="separate"/>
        </w:r>
        <w:r w:rsidR="00D63667">
          <w:rPr>
            <w:webHidden/>
          </w:rPr>
          <w:t>53</w:t>
        </w:r>
        <w:r w:rsidR="00D63667">
          <w:rPr>
            <w:webHidden/>
          </w:rPr>
          <w:fldChar w:fldCharType="end"/>
        </w:r>
      </w:hyperlink>
    </w:p>
    <w:p w14:paraId="5C7CD771" w14:textId="64A2447F" w:rsidR="00D63667" w:rsidRDefault="00796FE4">
      <w:pPr>
        <w:pStyle w:val="TOC2"/>
        <w:rPr>
          <w:rFonts w:asciiTheme="minorHAnsi" w:hAnsiTheme="minorHAnsi" w:cstheme="minorBidi"/>
          <w:smallCaps w:val="0"/>
          <w:szCs w:val="22"/>
        </w:rPr>
      </w:pPr>
      <w:hyperlink w:anchor="_Toc439939406" w:history="1">
        <w:r w:rsidR="00D63667" w:rsidRPr="0044775A">
          <w:rPr>
            <w:rStyle w:val="Hyperlink"/>
            <w:lang w:bidi="en-US"/>
          </w:rPr>
          <w:t>Results of Cost-Effectiveness Screening</w:t>
        </w:r>
        <w:r w:rsidR="00D63667">
          <w:rPr>
            <w:webHidden/>
          </w:rPr>
          <w:tab/>
        </w:r>
        <w:r w:rsidR="00D63667">
          <w:rPr>
            <w:webHidden/>
          </w:rPr>
          <w:fldChar w:fldCharType="begin"/>
        </w:r>
        <w:r w:rsidR="00D63667">
          <w:rPr>
            <w:webHidden/>
          </w:rPr>
          <w:instrText xml:space="preserve"> PAGEREF _Toc439939406 \h </w:instrText>
        </w:r>
        <w:r w:rsidR="00D63667">
          <w:rPr>
            <w:webHidden/>
          </w:rPr>
        </w:r>
        <w:r w:rsidR="00D63667">
          <w:rPr>
            <w:webHidden/>
          </w:rPr>
          <w:fldChar w:fldCharType="separate"/>
        </w:r>
        <w:r w:rsidR="00D63667">
          <w:rPr>
            <w:webHidden/>
          </w:rPr>
          <w:t>53</w:t>
        </w:r>
        <w:r w:rsidR="00D63667">
          <w:rPr>
            <w:webHidden/>
          </w:rPr>
          <w:fldChar w:fldCharType="end"/>
        </w:r>
      </w:hyperlink>
    </w:p>
    <w:p w14:paraId="3C61EF81" w14:textId="177F1AB5" w:rsidR="00D63667" w:rsidRDefault="00796FE4">
      <w:pPr>
        <w:pStyle w:val="TOC2"/>
        <w:rPr>
          <w:rFonts w:asciiTheme="minorHAnsi" w:hAnsiTheme="minorHAnsi" w:cstheme="minorBidi"/>
          <w:smallCaps w:val="0"/>
          <w:szCs w:val="22"/>
        </w:rPr>
      </w:pPr>
      <w:hyperlink w:anchor="_Toc439939407" w:history="1">
        <w:r w:rsidR="00D63667" w:rsidRPr="0044775A">
          <w:rPr>
            <w:rStyle w:val="Hyperlink"/>
            <w:lang w:bidi="en-US"/>
          </w:rPr>
          <w:t>Cost-Effective Potential Savings</w:t>
        </w:r>
        <w:r w:rsidR="00D63667">
          <w:rPr>
            <w:webHidden/>
          </w:rPr>
          <w:tab/>
        </w:r>
        <w:r w:rsidR="00D63667">
          <w:rPr>
            <w:webHidden/>
          </w:rPr>
          <w:fldChar w:fldCharType="begin"/>
        </w:r>
        <w:r w:rsidR="00D63667">
          <w:rPr>
            <w:webHidden/>
          </w:rPr>
          <w:instrText xml:space="preserve"> PAGEREF _Toc439939407 \h </w:instrText>
        </w:r>
        <w:r w:rsidR="00D63667">
          <w:rPr>
            <w:webHidden/>
          </w:rPr>
        </w:r>
        <w:r w:rsidR="00D63667">
          <w:rPr>
            <w:webHidden/>
          </w:rPr>
          <w:fldChar w:fldCharType="separate"/>
        </w:r>
        <w:r w:rsidR="00D63667">
          <w:rPr>
            <w:webHidden/>
          </w:rPr>
          <w:t>56</w:t>
        </w:r>
        <w:r w:rsidR="00D63667">
          <w:rPr>
            <w:webHidden/>
          </w:rPr>
          <w:fldChar w:fldCharType="end"/>
        </w:r>
      </w:hyperlink>
    </w:p>
    <w:p w14:paraId="142DFF75" w14:textId="4B9F1163" w:rsidR="00D63667" w:rsidRDefault="00796FE4">
      <w:pPr>
        <w:pStyle w:val="TOC1"/>
        <w:rPr>
          <w:rFonts w:asciiTheme="minorHAnsi" w:hAnsiTheme="minorHAnsi"/>
          <w:b w:val="0"/>
          <w:smallCaps w:val="0"/>
        </w:rPr>
      </w:pPr>
      <w:hyperlink w:anchor="_Toc439939408" w:history="1">
        <w:r w:rsidR="00D63667" w:rsidRPr="0044775A">
          <w:rPr>
            <w:rStyle w:val="Hyperlink"/>
          </w:rPr>
          <w:t>Achievable Potential</w:t>
        </w:r>
        <w:r w:rsidR="00D63667">
          <w:rPr>
            <w:webHidden/>
          </w:rPr>
          <w:tab/>
        </w:r>
        <w:r w:rsidR="00D63667">
          <w:rPr>
            <w:webHidden/>
          </w:rPr>
          <w:fldChar w:fldCharType="begin"/>
        </w:r>
        <w:r w:rsidR="00D63667">
          <w:rPr>
            <w:webHidden/>
          </w:rPr>
          <w:instrText xml:space="preserve"> PAGEREF _Toc439939408 \h </w:instrText>
        </w:r>
        <w:r w:rsidR="00D63667">
          <w:rPr>
            <w:webHidden/>
          </w:rPr>
        </w:r>
        <w:r w:rsidR="00D63667">
          <w:rPr>
            <w:webHidden/>
          </w:rPr>
          <w:fldChar w:fldCharType="separate"/>
        </w:r>
        <w:r w:rsidR="00D63667">
          <w:rPr>
            <w:webHidden/>
          </w:rPr>
          <w:t>62</w:t>
        </w:r>
        <w:r w:rsidR="00D63667">
          <w:rPr>
            <w:webHidden/>
          </w:rPr>
          <w:fldChar w:fldCharType="end"/>
        </w:r>
      </w:hyperlink>
    </w:p>
    <w:p w14:paraId="43ADEBF1" w14:textId="0BED91CB" w:rsidR="00D63667" w:rsidRDefault="00796FE4">
      <w:pPr>
        <w:pStyle w:val="TOC2"/>
        <w:rPr>
          <w:rFonts w:asciiTheme="minorHAnsi" w:hAnsiTheme="minorHAnsi" w:cstheme="minorBidi"/>
          <w:smallCaps w:val="0"/>
          <w:szCs w:val="22"/>
        </w:rPr>
      </w:pPr>
      <w:hyperlink w:anchor="_Toc439939409" w:history="1">
        <w:r w:rsidR="00D63667" w:rsidRPr="0044775A">
          <w:rPr>
            <w:rStyle w:val="Hyperlink"/>
            <w:lang w:bidi="en-US"/>
          </w:rPr>
          <w:t>Comparison to Projected Program Savings</w:t>
        </w:r>
        <w:r w:rsidR="00D63667">
          <w:rPr>
            <w:webHidden/>
          </w:rPr>
          <w:tab/>
        </w:r>
        <w:r w:rsidR="00D63667">
          <w:rPr>
            <w:webHidden/>
          </w:rPr>
          <w:fldChar w:fldCharType="begin"/>
        </w:r>
        <w:r w:rsidR="00D63667">
          <w:rPr>
            <w:webHidden/>
          </w:rPr>
          <w:instrText xml:space="preserve"> PAGEREF _Toc439939409 \h </w:instrText>
        </w:r>
        <w:r w:rsidR="00D63667">
          <w:rPr>
            <w:webHidden/>
          </w:rPr>
        </w:r>
        <w:r w:rsidR="00D63667">
          <w:rPr>
            <w:webHidden/>
          </w:rPr>
          <w:fldChar w:fldCharType="separate"/>
        </w:r>
        <w:r w:rsidR="00D63667">
          <w:rPr>
            <w:webHidden/>
          </w:rPr>
          <w:t>70</w:t>
        </w:r>
        <w:r w:rsidR="00D63667">
          <w:rPr>
            <w:webHidden/>
          </w:rPr>
          <w:fldChar w:fldCharType="end"/>
        </w:r>
      </w:hyperlink>
    </w:p>
    <w:p w14:paraId="02415E7C" w14:textId="732E3092" w:rsidR="00D63667" w:rsidRDefault="00796FE4">
      <w:pPr>
        <w:pStyle w:val="TOC1"/>
        <w:rPr>
          <w:rFonts w:asciiTheme="minorHAnsi" w:hAnsiTheme="minorHAnsi"/>
          <w:b w:val="0"/>
          <w:smallCaps w:val="0"/>
        </w:rPr>
      </w:pPr>
      <w:hyperlink w:anchor="_Toc439939410" w:history="1">
        <w:r w:rsidR="00D63667" w:rsidRPr="0044775A">
          <w:rPr>
            <w:rStyle w:val="Hyperlink"/>
          </w:rPr>
          <w:t>Fuel Switching Potential</w:t>
        </w:r>
        <w:r w:rsidR="00D63667">
          <w:rPr>
            <w:webHidden/>
          </w:rPr>
          <w:tab/>
        </w:r>
        <w:r w:rsidR="00D63667">
          <w:rPr>
            <w:webHidden/>
          </w:rPr>
          <w:fldChar w:fldCharType="begin"/>
        </w:r>
        <w:r w:rsidR="00D63667">
          <w:rPr>
            <w:webHidden/>
          </w:rPr>
          <w:instrText xml:space="preserve"> PAGEREF _Toc439939410 \h </w:instrText>
        </w:r>
        <w:r w:rsidR="00D63667">
          <w:rPr>
            <w:webHidden/>
          </w:rPr>
        </w:r>
        <w:r w:rsidR="00D63667">
          <w:rPr>
            <w:webHidden/>
          </w:rPr>
          <w:fldChar w:fldCharType="separate"/>
        </w:r>
        <w:r w:rsidR="00D63667">
          <w:rPr>
            <w:webHidden/>
          </w:rPr>
          <w:t>71</w:t>
        </w:r>
        <w:r w:rsidR="00D63667">
          <w:rPr>
            <w:webHidden/>
          </w:rPr>
          <w:fldChar w:fldCharType="end"/>
        </w:r>
      </w:hyperlink>
    </w:p>
    <w:p w14:paraId="20D27E09" w14:textId="6767722C" w:rsidR="00D63667" w:rsidRDefault="00796FE4">
      <w:pPr>
        <w:pStyle w:val="TOC2"/>
        <w:rPr>
          <w:rFonts w:asciiTheme="minorHAnsi" w:hAnsiTheme="minorHAnsi" w:cstheme="minorBidi"/>
          <w:smallCaps w:val="0"/>
          <w:szCs w:val="22"/>
        </w:rPr>
      </w:pPr>
      <w:hyperlink w:anchor="_Toc439939411" w:history="1">
        <w:r w:rsidR="00D63667" w:rsidRPr="0044775A">
          <w:rPr>
            <w:rStyle w:val="Hyperlink"/>
            <w:lang w:bidi="en-US"/>
          </w:rPr>
          <w:t>Results</w:t>
        </w:r>
        <w:r w:rsidR="00D63667">
          <w:rPr>
            <w:webHidden/>
          </w:rPr>
          <w:tab/>
        </w:r>
        <w:r w:rsidR="00D63667">
          <w:rPr>
            <w:webHidden/>
          </w:rPr>
          <w:fldChar w:fldCharType="begin"/>
        </w:r>
        <w:r w:rsidR="00D63667">
          <w:rPr>
            <w:webHidden/>
          </w:rPr>
          <w:instrText xml:space="preserve"> PAGEREF _Toc439939411 \h </w:instrText>
        </w:r>
        <w:r w:rsidR="00D63667">
          <w:rPr>
            <w:webHidden/>
          </w:rPr>
        </w:r>
        <w:r w:rsidR="00D63667">
          <w:rPr>
            <w:webHidden/>
          </w:rPr>
          <w:fldChar w:fldCharType="separate"/>
        </w:r>
        <w:r w:rsidR="00D63667">
          <w:rPr>
            <w:webHidden/>
          </w:rPr>
          <w:t>71</w:t>
        </w:r>
        <w:r w:rsidR="00D63667">
          <w:rPr>
            <w:webHidden/>
          </w:rPr>
          <w:fldChar w:fldCharType="end"/>
        </w:r>
      </w:hyperlink>
    </w:p>
    <w:p w14:paraId="4639E195" w14:textId="2ADD7A5A" w:rsidR="00D63667" w:rsidRDefault="00796FE4">
      <w:pPr>
        <w:pStyle w:val="TOC3"/>
        <w:rPr>
          <w:rFonts w:asciiTheme="minorHAnsi" w:hAnsiTheme="minorHAnsi"/>
          <w:noProof/>
          <w:lang w:bidi="ar-SA"/>
        </w:rPr>
      </w:pPr>
      <w:hyperlink w:anchor="_Toc439939412" w:history="1">
        <w:r w:rsidR="00D63667" w:rsidRPr="0044775A">
          <w:rPr>
            <w:rStyle w:val="Hyperlink"/>
            <w:noProof/>
          </w:rPr>
          <w:t>MMBtu Summary</w:t>
        </w:r>
        <w:r w:rsidR="00D63667">
          <w:rPr>
            <w:noProof/>
            <w:webHidden/>
          </w:rPr>
          <w:tab/>
        </w:r>
        <w:r w:rsidR="00D63667">
          <w:rPr>
            <w:noProof/>
            <w:webHidden/>
          </w:rPr>
          <w:fldChar w:fldCharType="begin"/>
        </w:r>
        <w:r w:rsidR="00D63667">
          <w:rPr>
            <w:noProof/>
            <w:webHidden/>
          </w:rPr>
          <w:instrText xml:space="preserve"> PAGEREF _Toc439939412 \h </w:instrText>
        </w:r>
        <w:r w:rsidR="00D63667">
          <w:rPr>
            <w:noProof/>
            <w:webHidden/>
          </w:rPr>
        </w:r>
        <w:r w:rsidR="00D63667">
          <w:rPr>
            <w:noProof/>
            <w:webHidden/>
          </w:rPr>
          <w:fldChar w:fldCharType="separate"/>
        </w:r>
        <w:r w:rsidR="00D63667">
          <w:rPr>
            <w:noProof/>
            <w:webHidden/>
          </w:rPr>
          <w:t>72</w:t>
        </w:r>
        <w:r w:rsidR="00D63667">
          <w:rPr>
            <w:noProof/>
            <w:webHidden/>
          </w:rPr>
          <w:fldChar w:fldCharType="end"/>
        </w:r>
      </w:hyperlink>
    </w:p>
    <w:p w14:paraId="358FF875" w14:textId="70A3193E" w:rsidR="00D63667" w:rsidRDefault="00796FE4">
      <w:pPr>
        <w:pStyle w:val="TOC3"/>
        <w:rPr>
          <w:rFonts w:asciiTheme="minorHAnsi" w:hAnsiTheme="minorHAnsi"/>
          <w:noProof/>
          <w:lang w:bidi="ar-SA"/>
        </w:rPr>
      </w:pPr>
      <w:hyperlink w:anchor="_Toc439939413" w:history="1">
        <w:r w:rsidR="00D63667" w:rsidRPr="0044775A">
          <w:rPr>
            <w:rStyle w:val="Hyperlink"/>
            <w:noProof/>
          </w:rPr>
          <w:t>Results by Fuel</w:t>
        </w:r>
        <w:r w:rsidR="00D63667">
          <w:rPr>
            <w:noProof/>
            <w:webHidden/>
          </w:rPr>
          <w:tab/>
        </w:r>
        <w:r w:rsidR="00D63667">
          <w:rPr>
            <w:noProof/>
            <w:webHidden/>
          </w:rPr>
          <w:fldChar w:fldCharType="begin"/>
        </w:r>
        <w:r w:rsidR="00D63667">
          <w:rPr>
            <w:noProof/>
            <w:webHidden/>
          </w:rPr>
          <w:instrText xml:space="preserve"> PAGEREF _Toc439939413 \h </w:instrText>
        </w:r>
        <w:r w:rsidR="00D63667">
          <w:rPr>
            <w:noProof/>
            <w:webHidden/>
          </w:rPr>
        </w:r>
        <w:r w:rsidR="00D63667">
          <w:rPr>
            <w:noProof/>
            <w:webHidden/>
          </w:rPr>
          <w:fldChar w:fldCharType="separate"/>
        </w:r>
        <w:r w:rsidR="00D63667">
          <w:rPr>
            <w:noProof/>
            <w:webHidden/>
          </w:rPr>
          <w:t>75</w:t>
        </w:r>
        <w:r w:rsidR="00D63667">
          <w:rPr>
            <w:noProof/>
            <w:webHidden/>
          </w:rPr>
          <w:fldChar w:fldCharType="end"/>
        </w:r>
      </w:hyperlink>
    </w:p>
    <w:p w14:paraId="6F3B667C" w14:textId="42CC42E8" w:rsidR="00D63667" w:rsidRDefault="00796FE4">
      <w:pPr>
        <w:pStyle w:val="TOC3"/>
        <w:rPr>
          <w:rFonts w:asciiTheme="minorHAnsi" w:hAnsiTheme="minorHAnsi"/>
          <w:noProof/>
          <w:lang w:bidi="ar-SA"/>
        </w:rPr>
      </w:pPr>
      <w:hyperlink w:anchor="_Toc439939414" w:history="1">
        <w:r w:rsidR="00D63667" w:rsidRPr="0044775A">
          <w:rPr>
            <w:rStyle w:val="Hyperlink"/>
            <w:noProof/>
          </w:rPr>
          <w:t>Base Case Scenario (No Utility Incentive)</w:t>
        </w:r>
        <w:r w:rsidR="00D63667">
          <w:rPr>
            <w:noProof/>
            <w:webHidden/>
          </w:rPr>
          <w:tab/>
        </w:r>
        <w:r w:rsidR="00D63667">
          <w:rPr>
            <w:noProof/>
            <w:webHidden/>
          </w:rPr>
          <w:fldChar w:fldCharType="begin"/>
        </w:r>
        <w:r w:rsidR="00D63667">
          <w:rPr>
            <w:noProof/>
            <w:webHidden/>
          </w:rPr>
          <w:instrText xml:space="preserve"> PAGEREF _Toc439939414 \h </w:instrText>
        </w:r>
        <w:r w:rsidR="00D63667">
          <w:rPr>
            <w:noProof/>
            <w:webHidden/>
          </w:rPr>
        </w:r>
        <w:r w:rsidR="00D63667">
          <w:rPr>
            <w:noProof/>
            <w:webHidden/>
          </w:rPr>
          <w:fldChar w:fldCharType="separate"/>
        </w:r>
        <w:r w:rsidR="00D63667">
          <w:rPr>
            <w:noProof/>
            <w:webHidden/>
          </w:rPr>
          <w:t>79</w:t>
        </w:r>
        <w:r w:rsidR="00D63667">
          <w:rPr>
            <w:noProof/>
            <w:webHidden/>
          </w:rPr>
          <w:fldChar w:fldCharType="end"/>
        </w:r>
      </w:hyperlink>
    </w:p>
    <w:p w14:paraId="54D795E9" w14:textId="43514EFF" w:rsidR="00D63667" w:rsidRDefault="00796FE4">
      <w:pPr>
        <w:pStyle w:val="TOC3"/>
        <w:rPr>
          <w:rFonts w:asciiTheme="minorHAnsi" w:hAnsiTheme="minorHAnsi"/>
          <w:noProof/>
          <w:lang w:bidi="ar-SA"/>
        </w:rPr>
      </w:pPr>
      <w:hyperlink w:anchor="_Toc439939415" w:history="1">
        <w:r w:rsidR="00D63667" w:rsidRPr="0044775A">
          <w:rPr>
            <w:rStyle w:val="Hyperlink"/>
            <w:noProof/>
          </w:rPr>
          <w:t>Upgrade Case Scenario (Program Incentive Impact)</w:t>
        </w:r>
        <w:r w:rsidR="00D63667">
          <w:rPr>
            <w:noProof/>
            <w:webHidden/>
          </w:rPr>
          <w:tab/>
        </w:r>
        <w:r w:rsidR="00D63667">
          <w:rPr>
            <w:noProof/>
            <w:webHidden/>
          </w:rPr>
          <w:fldChar w:fldCharType="begin"/>
        </w:r>
        <w:r w:rsidR="00D63667">
          <w:rPr>
            <w:noProof/>
            <w:webHidden/>
          </w:rPr>
          <w:instrText xml:space="preserve"> PAGEREF _Toc439939415 \h </w:instrText>
        </w:r>
        <w:r w:rsidR="00D63667">
          <w:rPr>
            <w:noProof/>
            <w:webHidden/>
          </w:rPr>
        </w:r>
        <w:r w:rsidR="00D63667">
          <w:rPr>
            <w:noProof/>
            <w:webHidden/>
          </w:rPr>
          <w:fldChar w:fldCharType="separate"/>
        </w:r>
        <w:r w:rsidR="00D63667">
          <w:rPr>
            <w:noProof/>
            <w:webHidden/>
          </w:rPr>
          <w:t>84</w:t>
        </w:r>
        <w:r w:rsidR="00D63667">
          <w:rPr>
            <w:noProof/>
            <w:webHidden/>
          </w:rPr>
          <w:fldChar w:fldCharType="end"/>
        </w:r>
      </w:hyperlink>
    </w:p>
    <w:p w14:paraId="6D9EF704" w14:textId="0B220B0E" w:rsidR="00D63667" w:rsidRDefault="00796FE4">
      <w:pPr>
        <w:pStyle w:val="TOC3"/>
        <w:rPr>
          <w:rFonts w:asciiTheme="minorHAnsi" w:hAnsiTheme="minorHAnsi"/>
          <w:noProof/>
          <w:lang w:bidi="ar-SA"/>
        </w:rPr>
      </w:pPr>
      <w:hyperlink w:anchor="_Toc439939416" w:history="1">
        <w:r w:rsidR="00D63667" w:rsidRPr="0044775A">
          <w:rPr>
            <w:rStyle w:val="Hyperlink"/>
            <w:noProof/>
          </w:rPr>
          <w:t>Fuel Switching Impact by End Use</w:t>
        </w:r>
        <w:r w:rsidR="00D63667">
          <w:rPr>
            <w:noProof/>
            <w:webHidden/>
          </w:rPr>
          <w:tab/>
        </w:r>
        <w:r w:rsidR="00D63667">
          <w:rPr>
            <w:noProof/>
            <w:webHidden/>
          </w:rPr>
          <w:fldChar w:fldCharType="begin"/>
        </w:r>
        <w:r w:rsidR="00D63667">
          <w:rPr>
            <w:noProof/>
            <w:webHidden/>
          </w:rPr>
          <w:instrText xml:space="preserve"> PAGEREF _Toc439939416 \h </w:instrText>
        </w:r>
        <w:r w:rsidR="00D63667">
          <w:rPr>
            <w:noProof/>
            <w:webHidden/>
          </w:rPr>
        </w:r>
        <w:r w:rsidR="00D63667">
          <w:rPr>
            <w:noProof/>
            <w:webHidden/>
          </w:rPr>
          <w:fldChar w:fldCharType="separate"/>
        </w:r>
        <w:r w:rsidR="00D63667">
          <w:rPr>
            <w:noProof/>
            <w:webHidden/>
          </w:rPr>
          <w:t>90</w:t>
        </w:r>
        <w:r w:rsidR="00D63667">
          <w:rPr>
            <w:noProof/>
            <w:webHidden/>
          </w:rPr>
          <w:fldChar w:fldCharType="end"/>
        </w:r>
      </w:hyperlink>
    </w:p>
    <w:p w14:paraId="06773976" w14:textId="0FBF109E" w:rsidR="00D63667" w:rsidRDefault="00796FE4">
      <w:pPr>
        <w:pStyle w:val="TOC1"/>
        <w:rPr>
          <w:rFonts w:asciiTheme="minorHAnsi" w:hAnsiTheme="minorHAnsi"/>
          <w:b w:val="0"/>
          <w:smallCaps w:val="0"/>
        </w:rPr>
      </w:pPr>
      <w:hyperlink w:anchor="_Toc439939417" w:history="1">
        <w:r w:rsidR="00D63667" w:rsidRPr="0044775A">
          <w:rPr>
            <w:rStyle w:val="Hyperlink"/>
            <w:rFonts w:cs="Arial"/>
            <w:snapToGrid w:val="0"/>
            <w:w w:val="0"/>
          </w:rPr>
          <w:t>Appendix A</w:t>
        </w:r>
        <w:r w:rsidR="00D63667">
          <w:rPr>
            <w:rFonts w:asciiTheme="minorHAnsi" w:hAnsiTheme="minorHAnsi"/>
            <w:b w:val="0"/>
            <w:smallCaps w:val="0"/>
          </w:rPr>
          <w:t xml:space="preserve">       </w:t>
        </w:r>
        <w:r w:rsidR="00D63667" w:rsidRPr="0044775A">
          <w:rPr>
            <w:rStyle w:val="Hyperlink"/>
          </w:rPr>
          <w:t>Major Changes from Original Draft</w:t>
        </w:r>
        <w:r w:rsidR="00D63667">
          <w:rPr>
            <w:webHidden/>
          </w:rPr>
          <w:tab/>
          <w:t>A-</w:t>
        </w:r>
        <w:r w:rsidR="00D63667">
          <w:rPr>
            <w:webHidden/>
          </w:rPr>
          <w:fldChar w:fldCharType="begin"/>
        </w:r>
        <w:r w:rsidR="00D63667">
          <w:rPr>
            <w:webHidden/>
          </w:rPr>
          <w:instrText xml:space="preserve"> PAGEREF _Toc439939417 \h </w:instrText>
        </w:r>
        <w:r w:rsidR="00D63667">
          <w:rPr>
            <w:webHidden/>
          </w:rPr>
        </w:r>
        <w:r w:rsidR="00D63667">
          <w:rPr>
            <w:webHidden/>
          </w:rPr>
          <w:fldChar w:fldCharType="separate"/>
        </w:r>
        <w:r w:rsidR="00D63667">
          <w:rPr>
            <w:webHidden/>
          </w:rPr>
          <w:t>1</w:t>
        </w:r>
        <w:r w:rsidR="00D63667">
          <w:rPr>
            <w:webHidden/>
          </w:rPr>
          <w:fldChar w:fldCharType="end"/>
        </w:r>
      </w:hyperlink>
    </w:p>
    <w:p w14:paraId="26E411A6" w14:textId="4B957790" w:rsidR="00D63667" w:rsidRDefault="00796FE4">
      <w:pPr>
        <w:pStyle w:val="TOC2"/>
        <w:rPr>
          <w:rFonts w:asciiTheme="minorHAnsi" w:hAnsiTheme="minorHAnsi" w:cstheme="minorBidi"/>
          <w:smallCaps w:val="0"/>
          <w:szCs w:val="22"/>
        </w:rPr>
      </w:pPr>
      <w:hyperlink w:anchor="_Toc439939418" w:history="1">
        <w:r w:rsidR="00D63667" w:rsidRPr="0044775A">
          <w:rPr>
            <w:rStyle w:val="Hyperlink"/>
          </w:rPr>
          <w:t>Ductless Mini-Splits</w:t>
        </w:r>
        <w:r w:rsidR="00D63667">
          <w:rPr>
            <w:webHidden/>
          </w:rPr>
          <w:tab/>
        </w:r>
        <w:r w:rsidR="00D63667" w:rsidRPr="00D63667">
          <w:rPr>
            <w:webHidden/>
          </w:rPr>
          <w:t>A-</w:t>
        </w:r>
        <w:r w:rsidR="00D63667">
          <w:rPr>
            <w:webHidden/>
          </w:rPr>
          <w:fldChar w:fldCharType="begin"/>
        </w:r>
        <w:r w:rsidR="00D63667">
          <w:rPr>
            <w:webHidden/>
          </w:rPr>
          <w:instrText xml:space="preserve"> PAGEREF _Toc439939418 \h </w:instrText>
        </w:r>
        <w:r w:rsidR="00D63667">
          <w:rPr>
            <w:webHidden/>
          </w:rPr>
        </w:r>
        <w:r w:rsidR="00D63667">
          <w:rPr>
            <w:webHidden/>
          </w:rPr>
          <w:fldChar w:fldCharType="separate"/>
        </w:r>
        <w:r w:rsidR="00D63667">
          <w:rPr>
            <w:webHidden/>
          </w:rPr>
          <w:t>1</w:t>
        </w:r>
        <w:r w:rsidR="00D63667">
          <w:rPr>
            <w:webHidden/>
          </w:rPr>
          <w:fldChar w:fldCharType="end"/>
        </w:r>
      </w:hyperlink>
    </w:p>
    <w:p w14:paraId="1685E679" w14:textId="3D0EC8ED" w:rsidR="00D63667" w:rsidRDefault="00796FE4">
      <w:pPr>
        <w:pStyle w:val="TOC2"/>
        <w:rPr>
          <w:rFonts w:asciiTheme="minorHAnsi" w:hAnsiTheme="minorHAnsi" w:cstheme="minorBidi"/>
          <w:smallCaps w:val="0"/>
          <w:szCs w:val="22"/>
        </w:rPr>
      </w:pPr>
      <w:hyperlink w:anchor="_Toc439939419" w:history="1">
        <w:r w:rsidR="00D63667" w:rsidRPr="0044775A">
          <w:rPr>
            <w:rStyle w:val="Hyperlink"/>
          </w:rPr>
          <w:t>Appliances</w:t>
        </w:r>
        <w:r w:rsidR="00D63667">
          <w:rPr>
            <w:webHidden/>
          </w:rPr>
          <w:tab/>
        </w:r>
        <w:r w:rsidR="00D63667" w:rsidRPr="00D63667">
          <w:rPr>
            <w:webHidden/>
          </w:rPr>
          <w:t>A-</w:t>
        </w:r>
        <w:r w:rsidR="00D63667">
          <w:rPr>
            <w:webHidden/>
          </w:rPr>
          <w:fldChar w:fldCharType="begin"/>
        </w:r>
        <w:r w:rsidR="00D63667">
          <w:rPr>
            <w:webHidden/>
          </w:rPr>
          <w:instrText xml:space="preserve"> PAGEREF _Toc439939419 \h </w:instrText>
        </w:r>
        <w:r w:rsidR="00D63667">
          <w:rPr>
            <w:webHidden/>
          </w:rPr>
        </w:r>
        <w:r w:rsidR="00D63667">
          <w:rPr>
            <w:webHidden/>
          </w:rPr>
          <w:fldChar w:fldCharType="separate"/>
        </w:r>
        <w:r w:rsidR="00D63667">
          <w:rPr>
            <w:webHidden/>
          </w:rPr>
          <w:t>2</w:t>
        </w:r>
        <w:r w:rsidR="00D63667">
          <w:rPr>
            <w:webHidden/>
          </w:rPr>
          <w:fldChar w:fldCharType="end"/>
        </w:r>
      </w:hyperlink>
    </w:p>
    <w:p w14:paraId="29E76947" w14:textId="1500DF61" w:rsidR="00D63667" w:rsidRDefault="00796FE4">
      <w:pPr>
        <w:pStyle w:val="TOC1"/>
        <w:rPr>
          <w:rFonts w:asciiTheme="minorHAnsi" w:hAnsiTheme="minorHAnsi"/>
          <w:b w:val="0"/>
          <w:smallCaps w:val="0"/>
        </w:rPr>
      </w:pPr>
      <w:hyperlink w:anchor="_Toc439939420" w:history="1">
        <w:r w:rsidR="00D63667" w:rsidRPr="0044775A">
          <w:rPr>
            <w:rStyle w:val="Hyperlink"/>
            <w:rFonts w:cs="Arial"/>
            <w:snapToGrid w:val="0"/>
            <w:w w:val="0"/>
          </w:rPr>
          <w:t>Appendix B</w:t>
        </w:r>
        <w:r w:rsidR="00D63667">
          <w:rPr>
            <w:rFonts w:asciiTheme="minorHAnsi" w:hAnsiTheme="minorHAnsi"/>
            <w:b w:val="0"/>
            <w:smallCaps w:val="0"/>
          </w:rPr>
          <w:tab/>
        </w:r>
        <w:r w:rsidR="00D63667" w:rsidRPr="0044775A">
          <w:rPr>
            <w:rStyle w:val="Hyperlink"/>
          </w:rPr>
          <w:t>Potential Upgrade Measures</w:t>
        </w:r>
        <w:r w:rsidR="00D63667">
          <w:rPr>
            <w:webHidden/>
          </w:rPr>
          <w:tab/>
          <w:t>B-</w:t>
        </w:r>
        <w:r w:rsidR="00D63667">
          <w:rPr>
            <w:webHidden/>
          </w:rPr>
          <w:fldChar w:fldCharType="begin"/>
        </w:r>
        <w:r w:rsidR="00D63667">
          <w:rPr>
            <w:webHidden/>
          </w:rPr>
          <w:instrText xml:space="preserve"> PAGEREF _Toc439939420 \h </w:instrText>
        </w:r>
        <w:r w:rsidR="00D63667">
          <w:rPr>
            <w:webHidden/>
          </w:rPr>
        </w:r>
        <w:r w:rsidR="00D63667">
          <w:rPr>
            <w:webHidden/>
          </w:rPr>
          <w:fldChar w:fldCharType="separate"/>
        </w:r>
        <w:r w:rsidR="00D63667">
          <w:rPr>
            <w:webHidden/>
          </w:rPr>
          <w:t>1</w:t>
        </w:r>
        <w:r w:rsidR="00D63667">
          <w:rPr>
            <w:webHidden/>
          </w:rPr>
          <w:fldChar w:fldCharType="end"/>
        </w:r>
      </w:hyperlink>
    </w:p>
    <w:p w14:paraId="2DBEA0E9" w14:textId="68F4F444" w:rsidR="00D63667" w:rsidRDefault="00796FE4">
      <w:pPr>
        <w:pStyle w:val="TOC2"/>
        <w:rPr>
          <w:rFonts w:asciiTheme="minorHAnsi" w:hAnsiTheme="minorHAnsi" w:cstheme="minorBidi"/>
          <w:smallCaps w:val="0"/>
          <w:szCs w:val="22"/>
        </w:rPr>
      </w:pPr>
      <w:hyperlink w:anchor="_Toc439939421" w:history="1">
        <w:r w:rsidR="00D63667" w:rsidRPr="0044775A">
          <w:rPr>
            <w:rStyle w:val="Hyperlink"/>
          </w:rPr>
          <w:t>Maximum R-value Achievable by Framing</w:t>
        </w:r>
        <w:r w:rsidR="00D63667">
          <w:rPr>
            <w:webHidden/>
          </w:rPr>
          <w:tab/>
        </w:r>
        <w:r w:rsidR="00D63667" w:rsidRPr="00D63667">
          <w:rPr>
            <w:webHidden/>
          </w:rPr>
          <w:t>B-</w:t>
        </w:r>
        <w:r w:rsidR="00D63667">
          <w:rPr>
            <w:webHidden/>
          </w:rPr>
          <w:fldChar w:fldCharType="begin"/>
        </w:r>
        <w:r w:rsidR="00D63667">
          <w:rPr>
            <w:webHidden/>
          </w:rPr>
          <w:instrText xml:space="preserve"> PAGEREF _Toc439939421 \h </w:instrText>
        </w:r>
        <w:r w:rsidR="00D63667">
          <w:rPr>
            <w:webHidden/>
          </w:rPr>
        </w:r>
        <w:r w:rsidR="00D63667">
          <w:rPr>
            <w:webHidden/>
          </w:rPr>
          <w:fldChar w:fldCharType="separate"/>
        </w:r>
        <w:r w:rsidR="00D63667">
          <w:rPr>
            <w:webHidden/>
          </w:rPr>
          <w:t>3</w:t>
        </w:r>
        <w:r w:rsidR="00D63667">
          <w:rPr>
            <w:webHidden/>
          </w:rPr>
          <w:fldChar w:fldCharType="end"/>
        </w:r>
      </w:hyperlink>
    </w:p>
    <w:p w14:paraId="052FD580" w14:textId="20E248F6" w:rsidR="00D63667" w:rsidRDefault="00796FE4">
      <w:pPr>
        <w:pStyle w:val="TOC1"/>
        <w:rPr>
          <w:rFonts w:asciiTheme="minorHAnsi" w:hAnsiTheme="minorHAnsi"/>
          <w:b w:val="0"/>
          <w:smallCaps w:val="0"/>
        </w:rPr>
      </w:pPr>
      <w:hyperlink w:anchor="_Toc439939422" w:history="1">
        <w:r w:rsidR="00D63667" w:rsidRPr="0044775A">
          <w:rPr>
            <w:rStyle w:val="Hyperlink"/>
            <w:rFonts w:cs="Arial"/>
            <w:snapToGrid w:val="0"/>
            <w:w w:val="0"/>
          </w:rPr>
          <w:t>Appendix C</w:t>
        </w:r>
        <w:r w:rsidR="00D63667">
          <w:rPr>
            <w:rFonts w:asciiTheme="minorHAnsi" w:hAnsiTheme="minorHAnsi"/>
            <w:b w:val="0"/>
            <w:smallCaps w:val="0"/>
          </w:rPr>
          <w:tab/>
        </w:r>
        <w:r w:rsidR="00D63667" w:rsidRPr="0044775A">
          <w:rPr>
            <w:rStyle w:val="Hyperlink"/>
          </w:rPr>
          <w:t>Modeling Assumptions and Other Details</w:t>
        </w:r>
        <w:r w:rsidR="00D63667">
          <w:rPr>
            <w:webHidden/>
          </w:rPr>
          <w:tab/>
          <w:t>C-</w:t>
        </w:r>
        <w:r w:rsidR="00D63667">
          <w:rPr>
            <w:webHidden/>
          </w:rPr>
          <w:fldChar w:fldCharType="begin"/>
        </w:r>
        <w:r w:rsidR="00D63667">
          <w:rPr>
            <w:webHidden/>
          </w:rPr>
          <w:instrText xml:space="preserve"> PAGEREF _Toc439939422 \h </w:instrText>
        </w:r>
        <w:r w:rsidR="00D63667">
          <w:rPr>
            <w:webHidden/>
          </w:rPr>
        </w:r>
        <w:r w:rsidR="00D63667">
          <w:rPr>
            <w:webHidden/>
          </w:rPr>
          <w:fldChar w:fldCharType="separate"/>
        </w:r>
        <w:r w:rsidR="00D63667">
          <w:rPr>
            <w:webHidden/>
          </w:rPr>
          <w:t>1</w:t>
        </w:r>
        <w:r w:rsidR="00D63667">
          <w:rPr>
            <w:webHidden/>
          </w:rPr>
          <w:fldChar w:fldCharType="end"/>
        </w:r>
      </w:hyperlink>
    </w:p>
    <w:p w14:paraId="171E5496" w14:textId="413F6267" w:rsidR="00D63667" w:rsidRDefault="00796FE4">
      <w:pPr>
        <w:pStyle w:val="TOC2"/>
        <w:rPr>
          <w:rFonts w:asciiTheme="minorHAnsi" w:hAnsiTheme="minorHAnsi" w:cstheme="minorBidi"/>
          <w:smallCaps w:val="0"/>
          <w:szCs w:val="22"/>
        </w:rPr>
      </w:pPr>
      <w:hyperlink w:anchor="_Toc439939423" w:history="1">
        <w:r w:rsidR="00D63667" w:rsidRPr="0044775A">
          <w:rPr>
            <w:rStyle w:val="Hyperlink"/>
          </w:rPr>
          <w:t>Technical Feasibility for Advanced Measures</w:t>
        </w:r>
        <w:r w:rsidR="00D63667">
          <w:rPr>
            <w:webHidden/>
          </w:rPr>
          <w:tab/>
        </w:r>
        <w:r w:rsidR="00D63667" w:rsidRPr="00D63667">
          <w:rPr>
            <w:webHidden/>
          </w:rPr>
          <w:t>C-</w:t>
        </w:r>
        <w:r w:rsidR="00D63667">
          <w:rPr>
            <w:webHidden/>
          </w:rPr>
          <w:fldChar w:fldCharType="begin"/>
        </w:r>
        <w:r w:rsidR="00D63667">
          <w:rPr>
            <w:webHidden/>
          </w:rPr>
          <w:instrText xml:space="preserve"> PAGEREF _Toc439939423 \h </w:instrText>
        </w:r>
        <w:r w:rsidR="00D63667">
          <w:rPr>
            <w:webHidden/>
          </w:rPr>
        </w:r>
        <w:r w:rsidR="00D63667">
          <w:rPr>
            <w:webHidden/>
          </w:rPr>
          <w:fldChar w:fldCharType="separate"/>
        </w:r>
        <w:r w:rsidR="00D63667">
          <w:rPr>
            <w:webHidden/>
          </w:rPr>
          <w:t>1</w:t>
        </w:r>
        <w:r w:rsidR="00D63667">
          <w:rPr>
            <w:webHidden/>
          </w:rPr>
          <w:fldChar w:fldCharType="end"/>
        </w:r>
      </w:hyperlink>
    </w:p>
    <w:p w14:paraId="019FC41B" w14:textId="1F960A66" w:rsidR="00D63667" w:rsidRDefault="00796FE4">
      <w:pPr>
        <w:pStyle w:val="TOC2"/>
        <w:rPr>
          <w:rFonts w:asciiTheme="minorHAnsi" w:hAnsiTheme="minorHAnsi" w:cstheme="minorBidi"/>
          <w:smallCaps w:val="0"/>
          <w:szCs w:val="22"/>
        </w:rPr>
      </w:pPr>
      <w:hyperlink w:anchor="_Toc439939424" w:history="1">
        <w:r w:rsidR="00D63667" w:rsidRPr="0044775A">
          <w:rPr>
            <w:rStyle w:val="Hyperlink"/>
          </w:rPr>
          <w:t>Baseline Assessment for Measures Not Inventoried During Site Visits</w:t>
        </w:r>
        <w:r w:rsidR="00D63667">
          <w:rPr>
            <w:webHidden/>
          </w:rPr>
          <w:tab/>
        </w:r>
        <w:r w:rsidR="00D63667" w:rsidRPr="00D63667">
          <w:rPr>
            <w:webHidden/>
          </w:rPr>
          <w:t>C-</w:t>
        </w:r>
        <w:r w:rsidR="00D63667">
          <w:rPr>
            <w:webHidden/>
          </w:rPr>
          <w:fldChar w:fldCharType="begin"/>
        </w:r>
        <w:r w:rsidR="00D63667">
          <w:rPr>
            <w:webHidden/>
          </w:rPr>
          <w:instrText xml:space="preserve"> PAGEREF _Toc439939424 \h </w:instrText>
        </w:r>
        <w:r w:rsidR="00D63667">
          <w:rPr>
            <w:webHidden/>
          </w:rPr>
        </w:r>
        <w:r w:rsidR="00D63667">
          <w:rPr>
            <w:webHidden/>
          </w:rPr>
          <w:fldChar w:fldCharType="separate"/>
        </w:r>
        <w:r w:rsidR="00D63667">
          <w:rPr>
            <w:webHidden/>
          </w:rPr>
          <w:t>2</w:t>
        </w:r>
        <w:r w:rsidR="00D63667">
          <w:rPr>
            <w:webHidden/>
          </w:rPr>
          <w:fldChar w:fldCharType="end"/>
        </w:r>
      </w:hyperlink>
    </w:p>
    <w:p w14:paraId="6932E977" w14:textId="35EBD376" w:rsidR="00D63667" w:rsidRDefault="00796FE4">
      <w:pPr>
        <w:pStyle w:val="TOC1"/>
        <w:rPr>
          <w:rFonts w:asciiTheme="minorHAnsi" w:hAnsiTheme="minorHAnsi"/>
          <w:b w:val="0"/>
          <w:smallCaps w:val="0"/>
        </w:rPr>
      </w:pPr>
      <w:hyperlink w:anchor="_Toc439939425" w:history="1">
        <w:r w:rsidR="00D63667" w:rsidRPr="0044775A">
          <w:rPr>
            <w:rStyle w:val="Hyperlink"/>
            <w:rFonts w:cs="Arial"/>
            <w:snapToGrid w:val="0"/>
            <w:w w:val="0"/>
          </w:rPr>
          <w:t>Appendix D</w:t>
        </w:r>
        <w:r w:rsidR="00D63667">
          <w:rPr>
            <w:rFonts w:asciiTheme="minorHAnsi" w:hAnsiTheme="minorHAnsi"/>
            <w:b w:val="0"/>
            <w:smallCaps w:val="0"/>
          </w:rPr>
          <w:tab/>
        </w:r>
        <w:r w:rsidR="00D63667" w:rsidRPr="0044775A">
          <w:rPr>
            <w:rStyle w:val="Hyperlink"/>
          </w:rPr>
          <w:t>Detailed Fuel Switching Impact Tables</w:t>
        </w:r>
        <w:r w:rsidR="00D63667">
          <w:rPr>
            <w:webHidden/>
          </w:rPr>
          <w:tab/>
          <w:t>D-</w:t>
        </w:r>
        <w:r w:rsidR="00D63667">
          <w:rPr>
            <w:webHidden/>
          </w:rPr>
          <w:fldChar w:fldCharType="begin"/>
        </w:r>
        <w:r w:rsidR="00D63667">
          <w:rPr>
            <w:webHidden/>
          </w:rPr>
          <w:instrText xml:space="preserve"> PAGEREF _Toc439939425 \h </w:instrText>
        </w:r>
        <w:r w:rsidR="00D63667">
          <w:rPr>
            <w:webHidden/>
          </w:rPr>
        </w:r>
        <w:r w:rsidR="00D63667">
          <w:rPr>
            <w:webHidden/>
          </w:rPr>
          <w:fldChar w:fldCharType="separate"/>
        </w:r>
        <w:r w:rsidR="00D63667">
          <w:rPr>
            <w:webHidden/>
          </w:rPr>
          <w:t>1</w:t>
        </w:r>
        <w:r w:rsidR="00D63667">
          <w:rPr>
            <w:webHidden/>
          </w:rPr>
          <w:fldChar w:fldCharType="end"/>
        </w:r>
      </w:hyperlink>
    </w:p>
    <w:p w14:paraId="61337A22" w14:textId="3A075B00" w:rsidR="00D63667" w:rsidRDefault="00796FE4">
      <w:pPr>
        <w:pStyle w:val="TOC1"/>
        <w:rPr>
          <w:rFonts w:asciiTheme="minorHAnsi" w:hAnsiTheme="minorHAnsi"/>
          <w:b w:val="0"/>
          <w:smallCaps w:val="0"/>
        </w:rPr>
      </w:pPr>
      <w:hyperlink w:anchor="_Toc439939426" w:history="1">
        <w:r w:rsidR="00D63667" w:rsidRPr="0044775A">
          <w:rPr>
            <w:rStyle w:val="Hyperlink"/>
            <w:rFonts w:cs="Arial"/>
            <w:snapToGrid w:val="0"/>
            <w:w w:val="0"/>
          </w:rPr>
          <w:t>Appendix E</w:t>
        </w:r>
        <w:r w:rsidR="00D63667">
          <w:rPr>
            <w:rFonts w:asciiTheme="minorHAnsi" w:hAnsiTheme="minorHAnsi"/>
            <w:b w:val="0"/>
            <w:smallCaps w:val="0"/>
          </w:rPr>
          <w:tab/>
        </w:r>
        <w:r w:rsidR="00D63667" w:rsidRPr="0044775A">
          <w:rPr>
            <w:rStyle w:val="Hyperlink"/>
          </w:rPr>
          <w:t>Sources of Growth Rates</w:t>
        </w:r>
        <w:r w:rsidR="00D63667">
          <w:rPr>
            <w:webHidden/>
          </w:rPr>
          <w:tab/>
          <w:t>E-</w:t>
        </w:r>
        <w:r w:rsidR="00D63667">
          <w:rPr>
            <w:webHidden/>
          </w:rPr>
          <w:fldChar w:fldCharType="begin"/>
        </w:r>
        <w:r w:rsidR="00D63667">
          <w:rPr>
            <w:webHidden/>
          </w:rPr>
          <w:instrText xml:space="preserve"> PAGEREF _Toc439939426 \h </w:instrText>
        </w:r>
        <w:r w:rsidR="00D63667">
          <w:rPr>
            <w:webHidden/>
          </w:rPr>
        </w:r>
        <w:r w:rsidR="00D63667">
          <w:rPr>
            <w:webHidden/>
          </w:rPr>
          <w:fldChar w:fldCharType="separate"/>
        </w:r>
        <w:r w:rsidR="00D63667">
          <w:rPr>
            <w:webHidden/>
          </w:rPr>
          <w:t>1</w:t>
        </w:r>
        <w:r w:rsidR="00D63667">
          <w:rPr>
            <w:webHidden/>
          </w:rPr>
          <w:fldChar w:fldCharType="end"/>
        </w:r>
      </w:hyperlink>
    </w:p>
    <w:p w14:paraId="0EE151FB" w14:textId="548021EA" w:rsidR="00D63667" w:rsidRDefault="00796FE4">
      <w:pPr>
        <w:pStyle w:val="TOC1"/>
        <w:rPr>
          <w:rFonts w:asciiTheme="minorHAnsi" w:hAnsiTheme="minorHAnsi"/>
          <w:b w:val="0"/>
          <w:smallCaps w:val="0"/>
        </w:rPr>
      </w:pPr>
      <w:hyperlink w:anchor="_Toc439939427" w:history="1">
        <w:r w:rsidR="00D63667" w:rsidRPr="0044775A">
          <w:rPr>
            <w:rStyle w:val="Hyperlink"/>
            <w:rFonts w:cs="Arial"/>
            <w:snapToGrid w:val="0"/>
            <w:w w:val="0"/>
          </w:rPr>
          <w:t>Appendix F</w:t>
        </w:r>
        <w:r w:rsidR="00D63667">
          <w:rPr>
            <w:rFonts w:asciiTheme="minorHAnsi" w:hAnsiTheme="minorHAnsi"/>
            <w:b w:val="0"/>
            <w:smallCaps w:val="0"/>
          </w:rPr>
          <w:tab/>
        </w:r>
        <w:r w:rsidR="00D63667" w:rsidRPr="0044775A">
          <w:rPr>
            <w:rStyle w:val="Hyperlink"/>
          </w:rPr>
          <w:t>Achievable Potential Assumptions</w:t>
        </w:r>
        <w:r w:rsidR="00D63667">
          <w:rPr>
            <w:webHidden/>
          </w:rPr>
          <w:tab/>
          <w:t>F-</w:t>
        </w:r>
        <w:r w:rsidR="00D63667">
          <w:rPr>
            <w:webHidden/>
          </w:rPr>
          <w:fldChar w:fldCharType="begin"/>
        </w:r>
        <w:r w:rsidR="00D63667">
          <w:rPr>
            <w:webHidden/>
          </w:rPr>
          <w:instrText xml:space="preserve"> PAGEREF _Toc439939427 \h </w:instrText>
        </w:r>
        <w:r w:rsidR="00D63667">
          <w:rPr>
            <w:webHidden/>
          </w:rPr>
        </w:r>
        <w:r w:rsidR="00D63667">
          <w:rPr>
            <w:webHidden/>
          </w:rPr>
          <w:fldChar w:fldCharType="separate"/>
        </w:r>
        <w:r w:rsidR="00D63667">
          <w:rPr>
            <w:webHidden/>
          </w:rPr>
          <w:t>1</w:t>
        </w:r>
        <w:r w:rsidR="00D63667">
          <w:rPr>
            <w:webHidden/>
          </w:rPr>
          <w:fldChar w:fldCharType="end"/>
        </w:r>
      </w:hyperlink>
    </w:p>
    <w:p w14:paraId="7512C5AC" w14:textId="1F808B7C" w:rsidR="00D63667" w:rsidRDefault="00796FE4">
      <w:pPr>
        <w:pStyle w:val="TOC2"/>
        <w:rPr>
          <w:rFonts w:asciiTheme="minorHAnsi" w:hAnsiTheme="minorHAnsi" w:cstheme="minorBidi"/>
          <w:smallCaps w:val="0"/>
          <w:szCs w:val="22"/>
        </w:rPr>
      </w:pPr>
      <w:hyperlink w:anchor="_Toc439939428" w:history="1">
        <w:r w:rsidR="00D63667" w:rsidRPr="0044775A">
          <w:rPr>
            <w:rStyle w:val="Hyperlink"/>
          </w:rPr>
          <w:t>Federal Standards</w:t>
        </w:r>
        <w:r w:rsidR="00D63667">
          <w:rPr>
            <w:webHidden/>
          </w:rPr>
          <w:tab/>
        </w:r>
        <w:r w:rsidR="00D63667" w:rsidRPr="00D63667">
          <w:rPr>
            <w:webHidden/>
          </w:rPr>
          <w:t>F-</w:t>
        </w:r>
        <w:r w:rsidR="00D63667">
          <w:rPr>
            <w:webHidden/>
          </w:rPr>
          <w:fldChar w:fldCharType="begin"/>
        </w:r>
        <w:r w:rsidR="00D63667">
          <w:rPr>
            <w:webHidden/>
          </w:rPr>
          <w:instrText xml:space="preserve"> PAGEREF _Toc439939428 \h </w:instrText>
        </w:r>
        <w:r w:rsidR="00D63667">
          <w:rPr>
            <w:webHidden/>
          </w:rPr>
        </w:r>
        <w:r w:rsidR="00D63667">
          <w:rPr>
            <w:webHidden/>
          </w:rPr>
          <w:fldChar w:fldCharType="separate"/>
        </w:r>
        <w:r w:rsidR="00D63667">
          <w:rPr>
            <w:webHidden/>
          </w:rPr>
          <w:t>1</w:t>
        </w:r>
        <w:r w:rsidR="00D63667">
          <w:rPr>
            <w:webHidden/>
          </w:rPr>
          <w:fldChar w:fldCharType="end"/>
        </w:r>
      </w:hyperlink>
    </w:p>
    <w:p w14:paraId="6C36603A" w14:textId="24B2EAD1" w:rsidR="00D63667" w:rsidRDefault="00796FE4">
      <w:pPr>
        <w:pStyle w:val="TOC2"/>
        <w:rPr>
          <w:rFonts w:asciiTheme="minorHAnsi" w:hAnsiTheme="minorHAnsi" w:cstheme="minorBidi"/>
          <w:smallCaps w:val="0"/>
          <w:szCs w:val="22"/>
        </w:rPr>
      </w:pPr>
      <w:hyperlink w:anchor="_Toc439939429" w:history="1">
        <w:r w:rsidR="00D63667" w:rsidRPr="0044775A">
          <w:rPr>
            <w:rStyle w:val="Hyperlink"/>
          </w:rPr>
          <w:t>Market Adoption Assumptions</w:t>
        </w:r>
        <w:r w:rsidR="00D63667">
          <w:rPr>
            <w:webHidden/>
          </w:rPr>
          <w:tab/>
        </w:r>
        <w:r w:rsidR="00D63667" w:rsidRPr="00D63667">
          <w:rPr>
            <w:webHidden/>
          </w:rPr>
          <w:t>F-</w:t>
        </w:r>
        <w:r w:rsidR="00D63667">
          <w:rPr>
            <w:webHidden/>
          </w:rPr>
          <w:fldChar w:fldCharType="begin"/>
        </w:r>
        <w:r w:rsidR="00D63667">
          <w:rPr>
            <w:webHidden/>
          </w:rPr>
          <w:instrText xml:space="preserve"> PAGEREF _Toc439939429 \h </w:instrText>
        </w:r>
        <w:r w:rsidR="00D63667">
          <w:rPr>
            <w:webHidden/>
          </w:rPr>
        </w:r>
        <w:r w:rsidR="00D63667">
          <w:rPr>
            <w:webHidden/>
          </w:rPr>
          <w:fldChar w:fldCharType="separate"/>
        </w:r>
        <w:r w:rsidR="00D63667">
          <w:rPr>
            <w:webHidden/>
          </w:rPr>
          <w:t>3</w:t>
        </w:r>
        <w:r w:rsidR="00D63667">
          <w:rPr>
            <w:webHidden/>
          </w:rPr>
          <w:fldChar w:fldCharType="end"/>
        </w:r>
      </w:hyperlink>
    </w:p>
    <w:p w14:paraId="0B574F2D" w14:textId="70B40B13" w:rsidR="003E3087" w:rsidRDefault="00866098" w:rsidP="00303AE1">
      <w:pPr>
        <w:pStyle w:val="TOCTitle"/>
      </w:pPr>
      <w:r w:rsidRPr="00F6205B">
        <w:fldChar w:fldCharType="end"/>
      </w:r>
    </w:p>
    <w:p w14:paraId="1773E501" w14:textId="334F7C10" w:rsidR="00B42F1F" w:rsidRPr="00F6205B" w:rsidRDefault="00252FE7" w:rsidP="00303AE1">
      <w:pPr>
        <w:pStyle w:val="TOCTitle"/>
      </w:pPr>
      <w:r w:rsidRPr="00F6205B">
        <w:t>Figures</w:t>
      </w:r>
    </w:p>
    <w:p w14:paraId="3D3B18D9" w14:textId="58A85AB3" w:rsidR="00FA26A9" w:rsidRDefault="00B42F1F">
      <w:pPr>
        <w:pStyle w:val="TableofFigures"/>
        <w:tabs>
          <w:tab w:val="right" w:leader="dot" w:pos="8918"/>
        </w:tabs>
        <w:rPr>
          <w:rFonts w:asciiTheme="minorHAnsi" w:hAnsiTheme="minorHAnsi"/>
          <w:b w:val="0"/>
          <w:smallCaps w:val="0"/>
          <w:noProof/>
          <w:lang w:bidi="ar-SA"/>
        </w:rPr>
      </w:pPr>
      <w:r w:rsidRPr="00F6205B">
        <w:rPr>
          <w:rFonts w:ascii="Arial Bold" w:hAnsi="Arial Bold" w:cs="Arial"/>
          <w:b w:val="0"/>
          <w:color w:val="0F673B"/>
          <w:sz w:val="28"/>
          <w:szCs w:val="28"/>
        </w:rPr>
        <w:fldChar w:fldCharType="begin"/>
      </w:r>
      <w:r w:rsidRPr="00F6205B">
        <w:rPr>
          <w:rFonts w:ascii="Arial Bold" w:hAnsi="Arial Bold" w:cs="Arial"/>
          <w:b w:val="0"/>
          <w:color w:val="0F673B"/>
          <w:sz w:val="28"/>
          <w:szCs w:val="28"/>
        </w:rPr>
        <w:instrText xml:space="preserve"> TOC \h \z \c "Figure" </w:instrText>
      </w:r>
      <w:r w:rsidRPr="00F6205B">
        <w:rPr>
          <w:rFonts w:ascii="Arial Bold" w:hAnsi="Arial Bold" w:cs="Arial"/>
          <w:b w:val="0"/>
          <w:color w:val="0F673B"/>
          <w:sz w:val="28"/>
          <w:szCs w:val="28"/>
        </w:rPr>
        <w:fldChar w:fldCharType="separate"/>
      </w:r>
      <w:hyperlink w:anchor="_Toc439931794" w:history="1">
        <w:r w:rsidR="00FA26A9" w:rsidRPr="00235C8F">
          <w:rPr>
            <w:rStyle w:val="Hyperlink"/>
            <w:noProof/>
          </w:rPr>
          <w:t>Figure 1: Ten-Year (2016-2025) Aggregate Savings by Fuel Type*</w:t>
        </w:r>
        <w:r w:rsidR="00FA26A9">
          <w:rPr>
            <w:noProof/>
            <w:webHidden/>
          </w:rPr>
          <w:tab/>
        </w:r>
        <w:r w:rsidR="00FA26A9">
          <w:rPr>
            <w:noProof/>
            <w:webHidden/>
          </w:rPr>
          <w:fldChar w:fldCharType="begin"/>
        </w:r>
        <w:r w:rsidR="00FA26A9">
          <w:rPr>
            <w:noProof/>
            <w:webHidden/>
          </w:rPr>
          <w:instrText xml:space="preserve"> PAGEREF _Toc439931794 \h </w:instrText>
        </w:r>
        <w:r w:rsidR="00FA26A9">
          <w:rPr>
            <w:noProof/>
            <w:webHidden/>
          </w:rPr>
        </w:r>
        <w:r w:rsidR="00FA26A9">
          <w:rPr>
            <w:noProof/>
            <w:webHidden/>
          </w:rPr>
          <w:fldChar w:fldCharType="separate"/>
        </w:r>
        <w:r w:rsidR="00D63667">
          <w:rPr>
            <w:noProof/>
            <w:webHidden/>
          </w:rPr>
          <w:t>II</w:t>
        </w:r>
        <w:r w:rsidR="00FA26A9">
          <w:rPr>
            <w:noProof/>
            <w:webHidden/>
          </w:rPr>
          <w:fldChar w:fldCharType="end"/>
        </w:r>
      </w:hyperlink>
    </w:p>
    <w:p w14:paraId="1F35013E" w14:textId="1D9AE379" w:rsidR="00FA26A9" w:rsidRDefault="00796FE4">
      <w:pPr>
        <w:pStyle w:val="TableofFigures"/>
        <w:tabs>
          <w:tab w:val="right" w:leader="dot" w:pos="8918"/>
        </w:tabs>
        <w:rPr>
          <w:rFonts w:asciiTheme="minorHAnsi" w:hAnsiTheme="minorHAnsi"/>
          <w:b w:val="0"/>
          <w:smallCaps w:val="0"/>
          <w:noProof/>
          <w:lang w:bidi="ar-SA"/>
        </w:rPr>
      </w:pPr>
      <w:hyperlink w:anchor="_Toc439931795" w:history="1">
        <w:r w:rsidR="00FA26A9" w:rsidRPr="00235C8F">
          <w:rPr>
            <w:rStyle w:val="Hyperlink"/>
            <w:noProof/>
          </w:rPr>
          <w:t>Figure 2: First Year (2016) and Tenth Year (2025) Potential Savings</w:t>
        </w:r>
        <w:r w:rsidR="00FA26A9">
          <w:rPr>
            <w:noProof/>
            <w:webHidden/>
          </w:rPr>
          <w:tab/>
        </w:r>
        <w:r w:rsidR="00FA26A9">
          <w:rPr>
            <w:noProof/>
            <w:webHidden/>
          </w:rPr>
          <w:fldChar w:fldCharType="begin"/>
        </w:r>
        <w:r w:rsidR="00FA26A9">
          <w:rPr>
            <w:noProof/>
            <w:webHidden/>
          </w:rPr>
          <w:instrText xml:space="preserve"> PAGEREF _Toc439931795 \h </w:instrText>
        </w:r>
        <w:r w:rsidR="00FA26A9">
          <w:rPr>
            <w:noProof/>
            <w:webHidden/>
          </w:rPr>
        </w:r>
        <w:r w:rsidR="00FA26A9">
          <w:rPr>
            <w:noProof/>
            <w:webHidden/>
          </w:rPr>
          <w:fldChar w:fldCharType="separate"/>
        </w:r>
        <w:r w:rsidR="00D63667">
          <w:rPr>
            <w:noProof/>
            <w:webHidden/>
          </w:rPr>
          <w:t>III</w:t>
        </w:r>
        <w:r w:rsidR="00FA26A9">
          <w:rPr>
            <w:noProof/>
            <w:webHidden/>
          </w:rPr>
          <w:fldChar w:fldCharType="end"/>
        </w:r>
      </w:hyperlink>
    </w:p>
    <w:p w14:paraId="4F7D7B25" w14:textId="269D054A" w:rsidR="00FA26A9" w:rsidRDefault="00796FE4">
      <w:pPr>
        <w:pStyle w:val="TableofFigures"/>
        <w:tabs>
          <w:tab w:val="right" w:leader="dot" w:pos="8918"/>
        </w:tabs>
        <w:rPr>
          <w:rFonts w:asciiTheme="minorHAnsi" w:hAnsiTheme="minorHAnsi"/>
          <w:b w:val="0"/>
          <w:smallCaps w:val="0"/>
          <w:noProof/>
          <w:lang w:bidi="ar-SA"/>
        </w:rPr>
      </w:pPr>
      <w:hyperlink w:anchor="_Toc439931796" w:history="1">
        <w:r w:rsidR="00FA26A9" w:rsidRPr="00235C8F">
          <w:rPr>
            <w:rStyle w:val="Hyperlink"/>
            <w:noProof/>
          </w:rPr>
          <w:t>Figure 3: Ten-Year (2016-2025) Aggregate Savings for All Homes</w:t>
        </w:r>
        <w:r w:rsidR="00FA26A9">
          <w:rPr>
            <w:noProof/>
            <w:webHidden/>
          </w:rPr>
          <w:tab/>
        </w:r>
        <w:r w:rsidR="00FA26A9">
          <w:rPr>
            <w:noProof/>
            <w:webHidden/>
          </w:rPr>
          <w:fldChar w:fldCharType="begin"/>
        </w:r>
        <w:r w:rsidR="00FA26A9">
          <w:rPr>
            <w:noProof/>
            <w:webHidden/>
          </w:rPr>
          <w:instrText xml:space="preserve"> PAGEREF _Toc439931796 \h </w:instrText>
        </w:r>
        <w:r w:rsidR="00FA26A9">
          <w:rPr>
            <w:noProof/>
            <w:webHidden/>
          </w:rPr>
        </w:r>
        <w:r w:rsidR="00FA26A9">
          <w:rPr>
            <w:noProof/>
            <w:webHidden/>
          </w:rPr>
          <w:fldChar w:fldCharType="separate"/>
        </w:r>
        <w:r w:rsidR="00D63667">
          <w:rPr>
            <w:noProof/>
            <w:webHidden/>
          </w:rPr>
          <w:t>IV</w:t>
        </w:r>
        <w:r w:rsidR="00FA26A9">
          <w:rPr>
            <w:noProof/>
            <w:webHidden/>
          </w:rPr>
          <w:fldChar w:fldCharType="end"/>
        </w:r>
      </w:hyperlink>
    </w:p>
    <w:p w14:paraId="1BEA0932" w14:textId="78078E93" w:rsidR="00FA26A9" w:rsidRDefault="00796FE4">
      <w:pPr>
        <w:pStyle w:val="TableofFigures"/>
        <w:tabs>
          <w:tab w:val="right" w:leader="dot" w:pos="8918"/>
        </w:tabs>
        <w:rPr>
          <w:rFonts w:asciiTheme="minorHAnsi" w:hAnsiTheme="minorHAnsi"/>
          <w:b w:val="0"/>
          <w:smallCaps w:val="0"/>
          <w:noProof/>
          <w:lang w:bidi="ar-SA"/>
        </w:rPr>
      </w:pPr>
      <w:hyperlink w:anchor="_Toc439931797" w:history="1">
        <w:r w:rsidR="00FA26A9" w:rsidRPr="00235C8F">
          <w:rPr>
            <w:rStyle w:val="Hyperlink"/>
            <w:noProof/>
          </w:rPr>
          <w:t>Figure 4: Ten-Year Aggregate Savings by Fuel Type (2016 to 2025)</w:t>
        </w:r>
        <w:r w:rsidR="00FA26A9">
          <w:rPr>
            <w:noProof/>
            <w:webHidden/>
          </w:rPr>
          <w:tab/>
        </w:r>
        <w:r w:rsidR="00FA26A9">
          <w:rPr>
            <w:noProof/>
            <w:webHidden/>
          </w:rPr>
          <w:fldChar w:fldCharType="begin"/>
        </w:r>
        <w:r w:rsidR="00FA26A9">
          <w:rPr>
            <w:noProof/>
            <w:webHidden/>
          </w:rPr>
          <w:instrText xml:space="preserve"> PAGEREF _Toc439931797 \h </w:instrText>
        </w:r>
        <w:r w:rsidR="00FA26A9">
          <w:rPr>
            <w:noProof/>
            <w:webHidden/>
          </w:rPr>
        </w:r>
        <w:r w:rsidR="00FA26A9">
          <w:rPr>
            <w:noProof/>
            <w:webHidden/>
          </w:rPr>
          <w:fldChar w:fldCharType="separate"/>
        </w:r>
        <w:r w:rsidR="00D63667">
          <w:rPr>
            <w:noProof/>
            <w:webHidden/>
          </w:rPr>
          <w:t>V</w:t>
        </w:r>
        <w:r w:rsidR="00FA26A9">
          <w:rPr>
            <w:noProof/>
            <w:webHidden/>
          </w:rPr>
          <w:fldChar w:fldCharType="end"/>
        </w:r>
      </w:hyperlink>
    </w:p>
    <w:p w14:paraId="7C6F72F7" w14:textId="20E58C73" w:rsidR="00FA26A9" w:rsidRDefault="00796FE4">
      <w:pPr>
        <w:pStyle w:val="TableofFigures"/>
        <w:tabs>
          <w:tab w:val="right" w:leader="dot" w:pos="8918"/>
        </w:tabs>
        <w:rPr>
          <w:rFonts w:asciiTheme="minorHAnsi" w:hAnsiTheme="minorHAnsi"/>
          <w:b w:val="0"/>
          <w:smallCaps w:val="0"/>
          <w:noProof/>
          <w:lang w:bidi="ar-SA"/>
        </w:rPr>
      </w:pPr>
      <w:hyperlink w:anchor="_Toc439931798" w:history="1">
        <w:r w:rsidR="00FA26A9" w:rsidRPr="00235C8F">
          <w:rPr>
            <w:rStyle w:val="Hyperlink"/>
            <w:noProof/>
          </w:rPr>
          <w:t>Figure 5: Ten-Year Aggregate Peak Electric Demand Savings</w:t>
        </w:r>
        <w:r w:rsidR="00FA26A9">
          <w:rPr>
            <w:noProof/>
            <w:webHidden/>
          </w:rPr>
          <w:tab/>
        </w:r>
        <w:r w:rsidR="00FA26A9">
          <w:rPr>
            <w:noProof/>
            <w:webHidden/>
          </w:rPr>
          <w:fldChar w:fldCharType="begin"/>
        </w:r>
        <w:r w:rsidR="00FA26A9">
          <w:rPr>
            <w:noProof/>
            <w:webHidden/>
          </w:rPr>
          <w:instrText xml:space="preserve"> PAGEREF _Toc439931798 \h </w:instrText>
        </w:r>
        <w:r w:rsidR="00FA26A9">
          <w:rPr>
            <w:noProof/>
            <w:webHidden/>
          </w:rPr>
        </w:r>
        <w:r w:rsidR="00FA26A9">
          <w:rPr>
            <w:noProof/>
            <w:webHidden/>
          </w:rPr>
          <w:fldChar w:fldCharType="separate"/>
        </w:r>
        <w:r w:rsidR="00D63667">
          <w:rPr>
            <w:noProof/>
            <w:webHidden/>
          </w:rPr>
          <w:t>VII</w:t>
        </w:r>
        <w:r w:rsidR="00FA26A9">
          <w:rPr>
            <w:noProof/>
            <w:webHidden/>
          </w:rPr>
          <w:fldChar w:fldCharType="end"/>
        </w:r>
      </w:hyperlink>
    </w:p>
    <w:p w14:paraId="5A9A6996" w14:textId="7525D0AC" w:rsidR="00FA26A9" w:rsidRDefault="00796FE4">
      <w:pPr>
        <w:pStyle w:val="TableofFigures"/>
        <w:tabs>
          <w:tab w:val="right" w:leader="dot" w:pos="8918"/>
        </w:tabs>
        <w:rPr>
          <w:rFonts w:asciiTheme="minorHAnsi" w:hAnsiTheme="minorHAnsi"/>
          <w:b w:val="0"/>
          <w:smallCaps w:val="0"/>
          <w:noProof/>
          <w:lang w:bidi="ar-SA"/>
        </w:rPr>
      </w:pPr>
      <w:hyperlink w:anchor="_Toc439931799" w:history="1">
        <w:r w:rsidR="00FA26A9" w:rsidRPr="00235C8F">
          <w:rPr>
            <w:rStyle w:val="Hyperlink"/>
            <w:noProof/>
          </w:rPr>
          <w:t>Figure 6: Fuel Switching - Change in Overall Consumption Under the Base Case Scenario (MMBtu)</w:t>
        </w:r>
        <w:r w:rsidR="00FA26A9">
          <w:rPr>
            <w:noProof/>
            <w:webHidden/>
          </w:rPr>
          <w:tab/>
        </w:r>
        <w:r w:rsidR="00FA26A9">
          <w:rPr>
            <w:noProof/>
            <w:webHidden/>
          </w:rPr>
          <w:fldChar w:fldCharType="begin"/>
        </w:r>
        <w:r w:rsidR="00FA26A9">
          <w:rPr>
            <w:noProof/>
            <w:webHidden/>
          </w:rPr>
          <w:instrText xml:space="preserve"> PAGEREF _Toc439931799 \h </w:instrText>
        </w:r>
        <w:r w:rsidR="00FA26A9">
          <w:rPr>
            <w:noProof/>
            <w:webHidden/>
          </w:rPr>
        </w:r>
        <w:r w:rsidR="00FA26A9">
          <w:rPr>
            <w:noProof/>
            <w:webHidden/>
          </w:rPr>
          <w:fldChar w:fldCharType="separate"/>
        </w:r>
        <w:r w:rsidR="00D63667">
          <w:rPr>
            <w:noProof/>
            <w:webHidden/>
          </w:rPr>
          <w:t>IX</w:t>
        </w:r>
        <w:r w:rsidR="00FA26A9">
          <w:rPr>
            <w:noProof/>
            <w:webHidden/>
          </w:rPr>
          <w:fldChar w:fldCharType="end"/>
        </w:r>
      </w:hyperlink>
    </w:p>
    <w:p w14:paraId="70D18312" w14:textId="33AFC3C4" w:rsidR="00FA26A9" w:rsidRDefault="00796FE4">
      <w:pPr>
        <w:pStyle w:val="TableofFigures"/>
        <w:tabs>
          <w:tab w:val="right" w:leader="dot" w:pos="8918"/>
        </w:tabs>
        <w:rPr>
          <w:rFonts w:asciiTheme="minorHAnsi" w:hAnsiTheme="minorHAnsi"/>
          <w:b w:val="0"/>
          <w:smallCaps w:val="0"/>
          <w:noProof/>
          <w:lang w:bidi="ar-SA"/>
        </w:rPr>
      </w:pPr>
      <w:hyperlink w:anchor="_Toc439931800" w:history="1">
        <w:r w:rsidR="00FA26A9" w:rsidRPr="00235C8F">
          <w:rPr>
            <w:rStyle w:val="Hyperlink"/>
            <w:noProof/>
          </w:rPr>
          <w:t>Figure 7: Fuel Switching - Percent Change in Energy Consumption by Fuel Type Under the 100% Conversion Rate Base Case Scenario</w:t>
        </w:r>
        <w:r w:rsidR="00FA26A9">
          <w:rPr>
            <w:noProof/>
            <w:webHidden/>
          </w:rPr>
          <w:tab/>
        </w:r>
        <w:r w:rsidR="00FA26A9">
          <w:rPr>
            <w:noProof/>
            <w:webHidden/>
          </w:rPr>
          <w:fldChar w:fldCharType="begin"/>
        </w:r>
        <w:r w:rsidR="00FA26A9">
          <w:rPr>
            <w:noProof/>
            <w:webHidden/>
          </w:rPr>
          <w:instrText xml:space="preserve"> PAGEREF _Toc439931800 \h </w:instrText>
        </w:r>
        <w:r w:rsidR="00FA26A9">
          <w:rPr>
            <w:noProof/>
            <w:webHidden/>
          </w:rPr>
        </w:r>
        <w:r w:rsidR="00FA26A9">
          <w:rPr>
            <w:noProof/>
            <w:webHidden/>
          </w:rPr>
          <w:fldChar w:fldCharType="separate"/>
        </w:r>
        <w:r w:rsidR="00D63667">
          <w:rPr>
            <w:noProof/>
            <w:webHidden/>
          </w:rPr>
          <w:t>X</w:t>
        </w:r>
        <w:r w:rsidR="00FA26A9">
          <w:rPr>
            <w:noProof/>
            <w:webHidden/>
          </w:rPr>
          <w:fldChar w:fldCharType="end"/>
        </w:r>
      </w:hyperlink>
    </w:p>
    <w:p w14:paraId="309E32BD" w14:textId="464F38F7" w:rsidR="00FA26A9" w:rsidRDefault="00796FE4">
      <w:pPr>
        <w:pStyle w:val="TableofFigures"/>
        <w:tabs>
          <w:tab w:val="right" w:leader="dot" w:pos="8918"/>
        </w:tabs>
        <w:rPr>
          <w:rFonts w:asciiTheme="minorHAnsi" w:hAnsiTheme="minorHAnsi"/>
          <w:b w:val="0"/>
          <w:smallCaps w:val="0"/>
          <w:noProof/>
          <w:lang w:bidi="ar-SA"/>
        </w:rPr>
      </w:pPr>
      <w:hyperlink w:anchor="_Toc439931801" w:history="1">
        <w:r w:rsidR="00FA26A9" w:rsidRPr="00235C8F">
          <w:rPr>
            <w:rStyle w:val="Hyperlink"/>
            <w:noProof/>
          </w:rPr>
          <w:t>Figure 8: Fuel Switching - Incentive Impact on Overall Consumption in Upgrade Case Scenario (MMBtu)*</w:t>
        </w:r>
        <w:r w:rsidR="00FA26A9">
          <w:rPr>
            <w:noProof/>
            <w:webHidden/>
          </w:rPr>
          <w:tab/>
        </w:r>
        <w:r w:rsidR="00FA26A9">
          <w:rPr>
            <w:noProof/>
            <w:webHidden/>
          </w:rPr>
          <w:fldChar w:fldCharType="begin"/>
        </w:r>
        <w:r w:rsidR="00FA26A9">
          <w:rPr>
            <w:noProof/>
            <w:webHidden/>
          </w:rPr>
          <w:instrText xml:space="preserve"> PAGEREF _Toc439931801 \h </w:instrText>
        </w:r>
        <w:r w:rsidR="00FA26A9">
          <w:rPr>
            <w:noProof/>
            <w:webHidden/>
          </w:rPr>
        </w:r>
        <w:r w:rsidR="00FA26A9">
          <w:rPr>
            <w:noProof/>
            <w:webHidden/>
          </w:rPr>
          <w:fldChar w:fldCharType="separate"/>
        </w:r>
        <w:r w:rsidR="00D63667">
          <w:rPr>
            <w:noProof/>
            <w:webHidden/>
          </w:rPr>
          <w:t>XI</w:t>
        </w:r>
        <w:r w:rsidR="00FA26A9">
          <w:rPr>
            <w:noProof/>
            <w:webHidden/>
          </w:rPr>
          <w:fldChar w:fldCharType="end"/>
        </w:r>
      </w:hyperlink>
    </w:p>
    <w:p w14:paraId="400D5766" w14:textId="1B9E2FCF" w:rsidR="00FA26A9" w:rsidRDefault="00796FE4">
      <w:pPr>
        <w:pStyle w:val="TableofFigures"/>
        <w:tabs>
          <w:tab w:val="right" w:leader="dot" w:pos="8918"/>
        </w:tabs>
        <w:rPr>
          <w:rFonts w:asciiTheme="minorHAnsi" w:hAnsiTheme="minorHAnsi"/>
          <w:b w:val="0"/>
          <w:smallCaps w:val="0"/>
          <w:noProof/>
          <w:lang w:bidi="ar-SA"/>
        </w:rPr>
      </w:pPr>
      <w:hyperlink w:anchor="_Toc439931802" w:history="1">
        <w:r w:rsidR="00FA26A9" w:rsidRPr="00235C8F">
          <w:rPr>
            <w:rStyle w:val="Hyperlink"/>
            <w:noProof/>
          </w:rPr>
          <w:t>Figure 9: Fuel Switching - Percent Change From Base Case,  in Energy Consumption, by Fuel Type Under the 100% Conversion Rate</w:t>
        </w:r>
        <w:r w:rsidR="00FA26A9">
          <w:rPr>
            <w:noProof/>
            <w:webHidden/>
          </w:rPr>
          <w:tab/>
        </w:r>
        <w:r w:rsidR="00FA26A9">
          <w:rPr>
            <w:noProof/>
            <w:webHidden/>
          </w:rPr>
          <w:fldChar w:fldCharType="begin"/>
        </w:r>
        <w:r w:rsidR="00FA26A9">
          <w:rPr>
            <w:noProof/>
            <w:webHidden/>
          </w:rPr>
          <w:instrText xml:space="preserve"> PAGEREF _Toc439931802 \h </w:instrText>
        </w:r>
        <w:r w:rsidR="00FA26A9">
          <w:rPr>
            <w:noProof/>
            <w:webHidden/>
          </w:rPr>
        </w:r>
        <w:r w:rsidR="00FA26A9">
          <w:rPr>
            <w:noProof/>
            <w:webHidden/>
          </w:rPr>
          <w:fldChar w:fldCharType="separate"/>
        </w:r>
        <w:r w:rsidR="00D63667">
          <w:rPr>
            <w:noProof/>
            <w:webHidden/>
          </w:rPr>
          <w:t>XII</w:t>
        </w:r>
        <w:r w:rsidR="00FA26A9">
          <w:rPr>
            <w:noProof/>
            <w:webHidden/>
          </w:rPr>
          <w:fldChar w:fldCharType="end"/>
        </w:r>
      </w:hyperlink>
    </w:p>
    <w:p w14:paraId="5ADEBC9E" w14:textId="50E30225" w:rsidR="00FA26A9" w:rsidRDefault="00796FE4">
      <w:pPr>
        <w:pStyle w:val="TableofFigures"/>
        <w:tabs>
          <w:tab w:val="right" w:leader="dot" w:pos="8918"/>
        </w:tabs>
        <w:rPr>
          <w:rFonts w:asciiTheme="minorHAnsi" w:hAnsiTheme="minorHAnsi"/>
          <w:b w:val="0"/>
          <w:smallCaps w:val="0"/>
          <w:noProof/>
          <w:lang w:bidi="ar-SA"/>
        </w:rPr>
      </w:pPr>
      <w:hyperlink w:anchor="_Toc439931803" w:history="1">
        <w:r w:rsidR="00FA26A9" w:rsidRPr="00235C8F">
          <w:rPr>
            <w:rStyle w:val="Hyperlink"/>
            <w:noProof/>
          </w:rPr>
          <w:t>Figure 10: Baseline Consumption by Fuel Type and End Use* Base: all single-family homes (population-weighted)</w:t>
        </w:r>
        <w:r w:rsidR="00FA26A9">
          <w:rPr>
            <w:noProof/>
            <w:webHidden/>
          </w:rPr>
          <w:tab/>
        </w:r>
        <w:r w:rsidR="00FA26A9">
          <w:rPr>
            <w:noProof/>
            <w:webHidden/>
          </w:rPr>
          <w:fldChar w:fldCharType="begin"/>
        </w:r>
        <w:r w:rsidR="00FA26A9">
          <w:rPr>
            <w:noProof/>
            <w:webHidden/>
          </w:rPr>
          <w:instrText xml:space="preserve"> PAGEREF _Toc439931803 \h </w:instrText>
        </w:r>
        <w:r w:rsidR="00FA26A9">
          <w:rPr>
            <w:noProof/>
            <w:webHidden/>
          </w:rPr>
        </w:r>
        <w:r w:rsidR="00FA26A9">
          <w:rPr>
            <w:noProof/>
            <w:webHidden/>
          </w:rPr>
          <w:fldChar w:fldCharType="separate"/>
        </w:r>
        <w:r w:rsidR="00D63667">
          <w:rPr>
            <w:noProof/>
            <w:webHidden/>
          </w:rPr>
          <w:t>39</w:t>
        </w:r>
        <w:r w:rsidR="00FA26A9">
          <w:rPr>
            <w:noProof/>
            <w:webHidden/>
          </w:rPr>
          <w:fldChar w:fldCharType="end"/>
        </w:r>
      </w:hyperlink>
    </w:p>
    <w:p w14:paraId="2DF6EE10" w14:textId="305D0AC4" w:rsidR="00FA26A9" w:rsidRDefault="00796FE4">
      <w:pPr>
        <w:pStyle w:val="TableofFigures"/>
        <w:tabs>
          <w:tab w:val="right" w:leader="dot" w:pos="8918"/>
        </w:tabs>
        <w:rPr>
          <w:rFonts w:asciiTheme="minorHAnsi" w:hAnsiTheme="minorHAnsi"/>
          <w:b w:val="0"/>
          <w:smallCaps w:val="0"/>
          <w:noProof/>
          <w:lang w:bidi="ar-SA"/>
        </w:rPr>
      </w:pPr>
      <w:hyperlink w:anchor="_Toc439931804" w:history="1">
        <w:r w:rsidR="00FA26A9" w:rsidRPr="00235C8F">
          <w:rPr>
            <w:rStyle w:val="Hyperlink"/>
            <w:noProof/>
          </w:rPr>
          <w:t>Figure 11: Total Technical Potential Savings by End Use—% MMBtu Savings*</w:t>
        </w:r>
        <w:r w:rsidR="00FA26A9">
          <w:rPr>
            <w:noProof/>
            <w:webHidden/>
          </w:rPr>
          <w:tab/>
        </w:r>
        <w:r w:rsidR="00FA26A9">
          <w:rPr>
            <w:noProof/>
            <w:webHidden/>
          </w:rPr>
          <w:fldChar w:fldCharType="begin"/>
        </w:r>
        <w:r w:rsidR="00FA26A9">
          <w:rPr>
            <w:noProof/>
            <w:webHidden/>
          </w:rPr>
          <w:instrText xml:space="preserve"> PAGEREF _Toc439931804 \h </w:instrText>
        </w:r>
        <w:r w:rsidR="00FA26A9">
          <w:rPr>
            <w:noProof/>
            <w:webHidden/>
          </w:rPr>
        </w:r>
        <w:r w:rsidR="00FA26A9">
          <w:rPr>
            <w:noProof/>
            <w:webHidden/>
          </w:rPr>
          <w:fldChar w:fldCharType="separate"/>
        </w:r>
        <w:r w:rsidR="00D63667">
          <w:rPr>
            <w:noProof/>
            <w:webHidden/>
          </w:rPr>
          <w:t>43</w:t>
        </w:r>
        <w:r w:rsidR="00FA26A9">
          <w:rPr>
            <w:noProof/>
            <w:webHidden/>
          </w:rPr>
          <w:fldChar w:fldCharType="end"/>
        </w:r>
      </w:hyperlink>
    </w:p>
    <w:p w14:paraId="7517AE88" w14:textId="688C67A0" w:rsidR="00FA26A9" w:rsidRDefault="00796FE4">
      <w:pPr>
        <w:pStyle w:val="TableofFigures"/>
        <w:tabs>
          <w:tab w:val="right" w:leader="dot" w:pos="8918"/>
        </w:tabs>
        <w:rPr>
          <w:rFonts w:asciiTheme="minorHAnsi" w:hAnsiTheme="minorHAnsi"/>
          <w:b w:val="0"/>
          <w:smallCaps w:val="0"/>
          <w:noProof/>
          <w:lang w:bidi="ar-SA"/>
        </w:rPr>
      </w:pPr>
      <w:hyperlink w:anchor="_Toc439931805" w:history="1">
        <w:r w:rsidR="00FA26A9" w:rsidRPr="00235C8F">
          <w:rPr>
            <w:rStyle w:val="Hyperlink"/>
            <w:noProof/>
          </w:rPr>
          <w:t>Figure 12: Total Technical Potential Savings by Fuel Type—% MMBtu Savings</w:t>
        </w:r>
        <w:r w:rsidR="00FA26A9">
          <w:rPr>
            <w:noProof/>
            <w:webHidden/>
          </w:rPr>
          <w:tab/>
        </w:r>
        <w:r w:rsidR="00FA26A9">
          <w:rPr>
            <w:noProof/>
            <w:webHidden/>
          </w:rPr>
          <w:fldChar w:fldCharType="begin"/>
        </w:r>
        <w:r w:rsidR="00FA26A9">
          <w:rPr>
            <w:noProof/>
            <w:webHidden/>
          </w:rPr>
          <w:instrText xml:space="preserve"> PAGEREF _Toc439931805 \h </w:instrText>
        </w:r>
        <w:r w:rsidR="00FA26A9">
          <w:rPr>
            <w:noProof/>
            <w:webHidden/>
          </w:rPr>
        </w:r>
        <w:r w:rsidR="00FA26A9">
          <w:rPr>
            <w:noProof/>
            <w:webHidden/>
          </w:rPr>
          <w:fldChar w:fldCharType="separate"/>
        </w:r>
        <w:r w:rsidR="00D63667">
          <w:rPr>
            <w:noProof/>
            <w:webHidden/>
          </w:rPr>
          <w:t>45</w:t>
        </w:r>
        <w:r w:rsidR="00FA26A9">
          <w:rPr>
            <w:noProof/>
            <w:webHidden/>
          </w:rPr>
          <w:fldChar w:fldCharType="end"/>
        </w:r>
      </w:hyperlink>
    </w:p>
    <w:p w14:paraId="288F85A1" w14:textId="726A02E7" w:rsidR="00FA26A9" w:rsidRDefault="00796FE4">
      <w:pPr>
        <w:pStyle w:val="TableofFigures"/>
        <w:tabs>
          <w:tab w:val="right" w:leader="dot" w:pos="8918"/>
        </w:tabs>
        <w:rPr>
          <w:rFonts w:asciiTheme="minorHAnsi" w:hAnsiTheme="minorHAnsi"/>
          <w:b w:val="0"/>
          <w:smallCaps w:val="0"/>
          <w:noProof/>
          <w:lang w:bidi="ar-SA"/>
        </w:rPr>
      </w:pPr>
      <w:hyperlink w:anchor="_Toc439931806" w:history="1">
        <w:r w:rsidR="00FA26A9" w:rsidRPr="00235C8F">
          <w:rPr>
            <w:rStyle w:val="Hyperlink"/>
            <w:noProof/>
          </w:rPr>
          <w:t>Figure 13: Ten-Year (2016-2025) Aggregate Savings for Technical and Cost-Effective Potential (MMBtu)</w:t>
        </w:r>
        <w:r w:rsidR="00FA26A9">
          <w:rPr>
            <w:noProof/>
            <w:webHidden/>
          </w:rPr>
          <w:tab/>
        </w:r>
        <w:r w:rsidR="00FA26A9">
          <w:rPr>
            <w:noProof/>
            <w:webHidden/>
          </w:rPr>
          <w:fldChar w:fldCharType="begin"/>
        </w:r>
        <w:r w:rsidR="00FA26A9">
          <w:rPr>
            <w:noProof/>
            <w:webHidden/>
          </w:rPr>
          <w:instrText xml:space="preserve"> PAGEREF _Toc439931806 \h </w:instrText>
        </w:r>
        <w:r w:rsidR="00FA26A9">
          <w:rPr>
            <w:noProof/>
            <w:webHidden/>
          </w:rPr>
        </w:r>
        <w:r w:rsidR="00FA26A9">
          <w:rPr>
            <w:noProof/>
            <w:webHidden/>
          </w:rPr>
          <w:fldChar w:fldCharType="separate"/>
        </w:r>
        <w:r w:rsidR="00D63667">
          <w:rPr>
            <w:noProof/>
            <w:webHidden/>
          </w:rPr>
          <w:t>56</w:t>
        </w:r>
        <w:r w:rsidR="00FA26A9">
          <w:rPr>
            <w:noProof/>
            <w:webHidden/>
          </w:rPr>
          <w:fldChar w:fldCharType="end"/>
        </w:r>
      </w:hyperlink>
    </w:p>
    <w:p w14:paraId="25062C75" w14:textId="617181CC" w:rsidR="00FA26A9" w:rsidRDefault="00796FE4">
      <w:pPr>
        <w:pStyle w:val="TableofFigures"/>
        <w:tabs>
          <w:tab w:val="right" w:leader="dot" w:pos="8918"/>
        </w:tabs>
        <w:rPr>
          <w:rFonts w:asciiTheme="minorHAnsi" w:hAnsiTheme="minorHAnsi"/>
          <w:b w:val="0"/>
          <w:smallCaps w:val="0"/>
          <w:noProof/>
          <w:lang w:bidi="ar-SA"/>
        </w:rPr>
      </w:pPr>
      <w:hyperlink w:anchor="_Toc439931807" w:history="1">
        <w:r w:rsidR="00FA26A9" w:rsidRPr="00235C8F">
          <w:rPr>
            <w:rStyle w:val="Hyperlink"/>
            <w:noProof/>
          </w:rPr>
          <w:t>Figure 14: Fuel Type Percent of Cost-Effective Savings (MMBtu)</w:t>
        </w:r>
        <w:r w:rsidR="00FA26A9">
          <w:rPr>
            <w:noProof/>
            <w:webHidden/>
          </w:rPr>
          <w:tab/>
        </w:r>
        <w:r w:rsidR="00FA26A9">
          <w:rPr>
            <w:noProof/>
            <w:webHidden/>
          </w:rPr>
          <w:fldChar w:fldCharType="begin"/>
        </w:r>
        <w:r w:rsidR="00FA26A9">
          <w:rPr>
            <w:noProof/>
            <w:webHidden/>
          </w:rPr>
          <w:instrText xml:space="preserve"> PAGEREF _Toc439931807 \h </w:instrText>
        </w:r>
        <w:r w:rsidR="00FA26A9">
          <w:rPr>
            <w:noProof/>
            <w:webHidden/>
          </w:rPr>
        </w:r>
        <w:r w:rsidR="00FA26A9">
          <w:rPr>
            <w:noProof/>
            <w:webHidden/>
          </w:rPr>
          <w:fldChar w:fldCharType="separate"/>
        </w:r>
        <w:r w:rsidR="00D63667">
          <w:rPr>
            <w:noProof/>
            <w:webHidden/>
          </w:rPr>
          <w:t>58</w:t>
        </w:r>
        <w:r w:rsidR="00FA26A9">
          <w:rPr>
            <w:noProof/>
            <w:webHidden/>
          </w:rPr>
          <w:fldChar w:fldCharType="end"/>
        </w:r>
      </w:hyperlink>
    </w:p>
    <w:p w14:paraId="78E45C77" w14:textId="55AF2EF5" w:rsidR="00FA26A9" w:rsidRDefault="00796FE4">
      <w:pPr>
        <w:pStyle w:val="TableofFigures"/>
        <w:tabs>
          <w:tab w:val="right" w:leader="dot" w:pos="8918"/>
        </w:tabs>
        <w:rPr>
          <w:rFonts w:asciiTheme="minorHAnsi" w:hAnsiTheme="minorHAnsi"/>
          <w:b w:val="0"/>
          <w:smallCaps w:val="0"/>
          <w:noProof/>
          <w:lang w:bidi="ar-SA"/>
        </w:rPr>
      </w:pPr>
      <w:hyperlink w:anchor="_Toc439931808" w:history="1">
        <w:r w:rsidR="00FA26A9" w:rsidRPr="00235C8F">
          <w:rPr>
            <w:rStyle w:val="Hyperlink"/>
            <w:noProof/>
          </w:rPr>
          <w:t>Figure 15: Cost-Effective Potential Savings by End Use &amp; Fuel Type</w:t>
        </w:r>
        <w:r w:rsidR="00FA26A9">
          <w:rPr>
            <w:noProof/>
            <w:webHidden/>
          </w:rPr>
          <w:tab/>
        </w:r>
        <w:r w:rsidR="00FA26A9">
          <w:rPr>
            <w:noProof/>
            <w:webHidden/>
          </w:rPr>
          <w:fldChar w:fldCharType="begin"/>
        </w:r>
        <w:r w:rsidR="00FA26A9">
          <w:rPr>
            <w:noProof/>
            <w:webHidden/>
          </w:rPr>
          <w:instrText xml:space="preserve"> PAGEREF _Toc439931808 \h </w:instrText>
        </w:r>
        <w:r w:rsidR="00FA26A9">
          <w:rPr>
            <w:noProof/>
            <w:webHidden/>
          </w:rPr>
        </w:r>
        <w:r w:rsidR="00FA26A9">
          <w:rPr>
            <w:noProof/>
            <w:webHidden/>
          </w:rPr>
          <w:fldChar w:fldCharType="separate"/>
        </w:r>
        <w:r w:rsidR="00D63667">
          <w:rPr>
            <w:noProof/>
            <w:webHidden/>
          </w:rPr>
          <w:t>60</w:t>
        </w:r>
        <w:r w:rsidR="00FA26A9">
          <w:rPr>
            <w:noProof/>
            <w:webHidden/>
          </w:rPr>
          <w:fldChar w:fldCharType="end"/>
        </w:r>
      </w:hyperlink>
    </w:p>
    <w:p w14:paraId="6BBC4ADF" w14:textId="2E0326BB" w:rsidR="00FA26A9" w:rsidRDefault="00796FE4">
      <w:pPr>
        <w:pStyle w:val="TableofFigures"/>
        <w:tabs>
          <w:tab w:val="right" w:leader="dot" w:pos="8918"/>
        </w:tabs>
        <w:rPr>
          <w:rFonts w:asciiTheme="minorHAnsi" w:hAnsiTheme="minorHAnsi"/>
          <w:b w:val="0"/>
          <w:smallCaps w:val="0"/>
          <w:noProof/>
          <w:lang w:bidi="ar-SA"/>
        </w:rPr>
      </w:pPr>
      <w:hyperlink w:anchor="_Toc439931809" w:history="1">
        <w:r w:rsidR="00FA26A9" w:rsidRPr="00235C8F">
          <w:rPr>
            <w:rStyle w:val="Hyperlink"/>
            <w:noProof/>
          </w:rPr>
          <w:t>Figure 16: First Year and Tenth Year Cost-Effective and Achievable Potential Fossil Fuel Savings</w:t>
        </w:r>
        <w:r w:rsidR="00FA26A9">
          <w:rPr>
            <w:noProof/>
            <w:webHidden/>
          </w:rPr>
          <w:tab/>
        </w:r>
        <w:r w:rsidR="00FA26A9">
          <w:rPr>
            <w:noProof/>
            <w:webHidden/>
          </w:rPr>
          <w:fldChar w:fldCharType="begin"/>
        </w:r>
        <w:r w:rsidR="00FA26A9">
          <w:rPr>
            <w:noProof/>
            <w:webHidden/>
          </w:rPr>
          <w:instrText xml:space="preserve"> PAGEREF _Toc439931809 \h </w:instrText>
        </w:r>
        <w:r w:rsidR="00FA26A9">
          <w:rPr>
            <w:noProof/>
            <w:webHidden/>
          </w:rPr>
        </w:r>
        <w:r w:rsidR="00FA26A9">
          <w:rPr>
            <w:noProof/>
            <w:webHidden/>
          </w:rPr>
          <w:fldChar w:fldCharType="separate"/>
        </w:r>
        <w:r w:rsidR="00D63667">
          <w:rPr>
            <w:noProof/>
            <w:webHidden/>
          </w:rPr>
          <w:t>62</w:t>
        </w:r>
        <w:r w:rsidR="00FA26A9">
          <w:rPr>
            <w:noProof/>
            <w:webHidden/>
          </w:rPr>
          <w:fldChar w:fldCharType="end"/>
        </w:r>
      </w:hyperlink>
    </w:p>
    <w:p w14:paraId="319140C7" w14:textId="41904187" w:rsidR="00FA26A9" w:rsidRDefault="00796FE4">
      <w:pPr>
        <w:pStyle w:val="TableofFigures"/>
        <w:tabs>
          <w:tab w:val="right" w:leader="dot" w:pos="8918"/>
        </w:tabs>
        <w:rPr>
          <w:rFonts w:asciiTheme="minorHAnsi" w:hAnsiTheme="minorHAnsi"/>
          <w:b w:val="0"/>
          <w:smallCaps w:val="0"/>
          <w:noProof/>
          <w:lang w:bidi="ar-SA"/>
        </w:rPr>
      </w:pPr>
      <w:hyperlink w:anchor="_Toc439931810" w:history="1">
        <w:r w:rsidR="00FA26A9" w:rsidRPr="00235C8F">
          <w:rPr>
            <w:rStyle w:val="Hyperlink"/>
            <w:noProof/>
          </w:rPr>
          <w:t>Figure 17: First Year and Tenth Year Cost-Effective and Achievable Potential Electric Savings</w:t>
        </w:r>
        <w:r w:rsidR="00FA26A9">
          <w:rPr>
            <w:noProof/>
            <w:webHidden/>
          </w:rPr>
          <w:tab/>
        </w:r>
        <w:r w:rsidR="00FA26A9">
          <w:rPr>
            <w:noProof/>
            <w:webHidden/>
          </w:rPr>
          <w:fldChar w:fldCharType="begin"/>
        </w:r>
        <w:r w:rsidR="00FA26A9">
          <w:rPr>
            <w:noProof/>
            <w:webHidden/>
          </w:rPr>
          <w:instrText xml:space="preserve"> PAGEREF _Toc439931810 \h </w:instrText>
        </w:r>
        <w:r w:rsidR="00FA26A9">
          <w:rPr>
            <w:noProof/>
            <w:webHidden/>
          </w:rPr>
        </w:r>
        <w:r w:rsidR="00FA26A9">
          <w:rPr>
            <w:noProof/>
            <w:webHidden/>
          </w:rPr>
          <w:fldChar w:fldCharType="separate"/>
        </w:r>
        <w:r w:rsidR="00D63667">
          <w:rPr>
            <w:noProof/>
            <w:webHidden/>
          </w:rPr>
          <w:t>63</w:t>
        </w:r>
        <w:r w:rsidR="00FA26A9">
          <w:rPr>
            <w:noProof/>
            <w:webHidden/>
          </w:rPr>
          <w:fldChar w:fldCharType="end"/>
        </w:r>
      </w:hyperlink>
    </w:p>
    <w:p w14:paraId="2C6EDE32" w14:textId="1412BB48" w:rsidR="00FA26A9" w:rsidRDefault="00796FE4">
      <w:pPr>
        <w:pStyle w:val="TableofFigures"/>
        <w:tabs>
          <w:tab w:val="right" w:leader="dot" w:pos="8918"/>
        </w:tabs>
        <w:rPr>
          <w:rFonts w:asciiTheme="minorHAnsi" w:hAnsiTheme="minorHAnsi"/>
          <w:b w:val="0"/>
          <w:smallCaps w:val="0"/>
          <w:noProof/>
          <w:lang w:bidi="ar-SA"/>
        </w:rPr>
      </w:pPr>
      <w:hyperlink w:anchor="_Toc439931811" w:history="1">
        <w:r w:rsidR="00FA26A9" w:rsidRPr="00235C8F">
          <w:rPr>
            <w:rStyle w:val="Hyperlink"/>
            <w:noProof/>
          </w:rPr>
          <w:t>Figure 18: Achievable Potential Savings Growth Rendered in MMBtu</w:t>
        </w:r>
        <w:r w:rsidR="00FA26A9">
          <w:rPr>
            <w:noProof/>
            <w:webHidden/>
          </w:rPr>
          <w:tab/>
        </w:r>
        <w:r w:rsidR="00FA26A9">
          <w:rPr>
            <w:noProof/>
            <w:webHidden/>
          </w:rPr>
          <w:fldChar w:fldCharType="begin"/>
        </w:r>
        <w:r w:rsidR="00FA26A9">
          <w:rPr>
            <w:noProof/>
            <w:webHidden/>
          </w:rPr>
          <w:instrText xml:space="preserve"> PAGEREF _Toc439931811 \h </w:instrText>
        </w:r>
        <w:r w:rsidR="00FA26A9">
          <w:rPr>
            <w:noProof/>
            <w:webHidden/>
          </w:rPr>
        </w:r>
        <w:r w:rsidR="00FA26A9">
          <w:rPr>
            <w:noProof/>
            <w:webHidden/>
          </w:rPr>
          <w:fldChar w:fldCharType="separate"/>
        </w:r>
        <w:r w:rsidR="00D63667">
          <w:rPr>
            <w:noProof/>
            <w:webHidden/>
          </w:rPr>
          <w:t>64</w:t>
        </w:r>
        <w:r w:rsidR="00FA26A9">
          <w:rPr>
            <w:noProof/>
            <w:webHidden/>
          </w:rPr>
          <w:fldChar w:fldCharType="end"/>
        </w:r>
      </w:hyperlink>
    </w:p>
    <w:p w14:paraId="344EFE14" w14:textId="3D60FEDE" w:rsidR="00FA26A9" w:rsidRDefault="00796FE4">
      <w:pPr>
        <w:pStyle w:val="TableofFigures"/>
        <w:tabs>
          <w:tab w:val="right" w:leader="dot" w:pos="8918"/>
        </w:tabs>
        <w:rPr>
          <w:rFonts w:asciiTheme="minorHAnsi" w:hAnsiTheme="minorHAnsi"/>
          <w:b w:val="0"/>
          <w:smallCaps w:val="0"/>
          <w:noProof/>
          <w:lang w:bidi="ar-SA"/>
        </w:rPr>
      </w:pPr>
      <w:hyperlink w:anchor="_Toc439931812" w:history="1">
        <w:r w:rsidR="00FA26A9" w:rsidRPr="00235C8F">
          <w:rPr>
            <w:rStyle w:val="Hyperlink"/>
            <w:noProof/>
          </w:rPr>
          <w:t>Figure 19: Achievable Potential Savings by End Use (MMBtu)</w:t>
        </w:r>
        <w:r w:rsidR="00FA26A9">
          <w:rPr>
            <w:noProof/>
            <w:webHidden/>
          </w:rPr>
          <w:tab/>
        </w:r>
        <w:r w:rsidR="00FA26A9">
          <w:rPr>
            <w:noProof/>
            <w:webHidden/>
          </w:rPr>
          <w:fldChar w:fldCharType="begin"/>
        </w:r>
        <w:r w:rsidR="00FA26A9">
          <w:rPr>
            <w:noProof/>
            <w:webHidden/>
          </w:rPr>
          <w:instrText xml:space="preserve"> PAGEREF _Toc439931812 \h </w:instrText>
        </w:r>
        <w:r w:rsidR="00FA26A9">
          <w:rPr>
            <w:noProof/>
            <w:webHidden/>
          </w:rPr>
        </w:r>
        <w:r w:rsidR="00FA26A9">
          <w:rPr>
            <w:noProof/>
            <w:webHidden/>
          </w:rPr>
          <w:fldChar w:fldCharType="separate"/>
        </w:r>
        <w:r w:rsidR="00D63667">
          <w:rPr>
            <w:noProof/>
            <w:webHidden/>
          </w:rPr>
          <w:t>68</w:t>
        </w:r>
        <w:r w:rsidR="00FA26A9">
          <w:rPr>
            <w:noProof/>
            <w:webHidden/>
          </w:rPr>
          <w:fldChar w:fldCharType="end"/>
        </w:r>
      </w:hyperlink>
    </w:p>
    <w:p w14:paraId="55761DE8" w14:textId="29A35EF4" w:rsidR="00FA26A9" w:rsidRDefault="00796FE4">
      <w:pPr>
        <w:pStyle w:val="TableofFigures"/>
        <w:tabs>
          <w:tab w:val="right" w:leader="dot" w:pos="8918"/>
        </w:tabs>
        <w:rPr>
          <w:rFonts w:asciiTheme="minorHAnsi" w:hAnsiTheme="minorHAnsi"/>
          <w:b w:val="0"/>
          <w:smallCaps w:val="0"/>
          <w:noProof/>
          <w:lang w:bidi="ar-SA"/>
        </w:rPr>
      </w:pPr>
      <w:hyperlink w:anchor="_Toc439931813" w:history="1">
        <w:r w:rsidR="00FA26A9" w:rsidRPr="00235C8F">
          <w:rPr>
            <w:rStyle w:val="Hyperlink"/>
            <w:noProof/>
          </w:rPr>
          <w:t>Figure 20: Fuel Type Share of Achievable Potential Savings (MMBtu)</w:t>
        </w:r>
        <w:r w:rsidR="00FA26A9">
          <w:rPr>
            <w:noProof/>
            <w:webHidden/>
          </w:rPr>
          <w:tab/>
        </w:r>
        <w:r w:rsidR="00FA26A9">
          <w:rPr>
            <w:noProof/>
            <w:webHidden/>
          </w:rPr>
          <w:fldChar w:fldCharType="begin"/>
        </w:r>
        <w:r w:rsidR="00FA26A9">
          <w:rPr>
            <w:noProof/>
            <w:webHidden/>
          </w:rPr>
          <w:instrText xml:space="preserve"> PAGEREF _Toc439931813 \h </w:instrText>
        </w:r>
        <w:r w:rsidR="00FA26A9">
          <w:rPr>
            <w:noProof/>
            <w:webHidden/>
          </w:rPr>
        </w:r>
        <w:r w:rsidR="00FA26A9">
          <w:rPr>
            <w:noProof/>
            <w:webHidden/>
          </w:rPr>
          <w:fldChar w:fldCharType="separate"/>
        </w:r>
        <w:r w:rsidR="00D63667">
          <w:rPr>
            <w:noProof/>
            <w:webHidden/>
          </w:rPr>
          <w:t>69</w:t>
        </w:r>
        <w:r w:rsidR="00FA26A9">
          <w:rPr>
            <w:noProof/>
            <w:webHidden/>
          </w:rPr>
          <w:fldChar w:fldCharType="end"/>
        </w:r>
      </w:hyperlink>
    </w:p>
    <w:p w14:paraId="2F66228D" w14:textId="564EA628" w:rsidR="00FA26A9" w:rsidRDefault="00796FE4">
      <w:pPr>
        <w:pStyle w:val="TableofFigures"/>
        <w:tabs>
          <w:tab w:val="right" w:leader="dot" w:pos="8918"/>
        </w:tabs>
        <w:rPr>
          <w:rFonts w:asciiTheme="minorHAnsi" w:hAnsiTheme="minorHAnsi"/>
          <w:b w:val="0"/>
          <w:smallCaps w:val="0"/>
          <w:noProof/>
          <w:lang w:bidi="ar-SA"/>
        </w:rPr>
      </w:pPr>
      <w:hyperlink w:anchor="_Toc439931814" w:history="1">
        <w:r w:rsidR="00FA26A9" w:rsidRPr="00235C8F">
          <w:rPr>
            <w:rStyle w:val="Hyperlink"/>
            <w:noProof/>
          </w:rPr>
          <w:t>Figure 21: Fuel Switching—Change in Total Consumption in MMBtu, Base Case Scenario</w:t>
        </w:r>
        <w:r w:rsidR="00FA26A9">
          <w:rPr>
            <w:noProof/>
            <w:webHidden/>
          </w:rPr>
          <w:tab/>
        </w:r>
        <w:r w:rsidR="00FA26A9">
          <w:rPr>
            <w:noProof/>
            <w:webHidden/>
          </w:rPr>
          <w:fldChar w:fldCharType="begin"/>
        </w:r>
        <w:r w:rsidR="00FA26A9">
          <w:rPr>
            <w:noProof/>
            <w:webHidden/>
          </w:rPr>
          <w:instrText xml:space="preserve"> PAGEREF _Toc439931814 \h </w:instrText>
        </w:r>
        <w:r w:rsidR="00FA26A9">
          <w:rPr>
            <w:noProof/>
            <w:webHidden/>
          </w:rPr>
        </w:r>
        <w:r w:rsidR="00FA26A9">
          <w:rPr>
            <w:noProof/>
            <w:webHidden/>
          </w:rPr>
          <w:fldChar w:fldCharType="separate"/>
        </w:r>
        <w:r w:rsidR="00D63667">
          <w:rPr>
            <w:noProof/>
            <w:webHidden/>
          </w:rPr>
          <w:t>74</w:t>
        </w:r>
        <w:r w:rsidR="00FA26A9">
          <w:rPr>
            <w:noProof/>
            <w:webHidden/>
          </w:rPr>
          <w:fldChar w:fldCharType="end"/>
        </w:r>
      </w:hyperlink>
    </w:p>
    <w:p w14:paraId="7C4849D2" w14:textId="2468FB76" w:rsidR="00FA26A9" w:rsidRDefault="00796FE4">
      <w:pPr>
        <w:pStyle w:val="TableofFigures"/>
        <w:tabs>
          <w:tab w:val="right" w:leader="dot" w:pos="8918"/>
        </w:tabs>
        <w:rPr>
          <w:rFonts w:asciiTheme="minorHAnsi" w:hAnsiTheme="minorHAnsi"/>
          <w:b w:val="0"/>
          <w:smallCaps w:val="0"/>
          <w:noProof/>
          <w:lang w:bidi="ar-SA"/>
        </w:rPr>
      </w:pPr>
      <w:hyperlink w:anchor="_Toc439931815" w:history="1">
        <w:r w:rsidR="00FA26A9" w:rsidRPr="00235C8F">
          <w:rPr>
            <w:rStyle w:val="Hyperlink"/>
            <w:noProof/>
          </w:rPr>
          <w:t>Figure 22: Fuel Switching—Change in Total Consumption in MMBtu, Upgrade Case Scenario</w:t>
        </w:r>
        <w:r w:rsidR="00FA26A9">
          <w:rPr>
            <w:noProof/>
            <w:webHidden/>
          </w:rPr>
          <w:tab/>
        </w:r>
        <w:r w:rsidR="00FA26A9">
          <w:rPr>
            <w:noProof/>
            <w:webHidden/>
          </w:rPr>
          <w:fldChar w:fldCharType="begin"/>
        </w:r>
        <w:r w:rsidR="00FA26A9">
          <w:rPr>
            <w:noProof/>
            <w:webHidden/>
          </w:rPr>
          <w:instrText xml:space="preserve"> PAGEREF _Toc439931815 \h </w:instrText>
        </w:r>
        <w:r w:rsidR="00FA26A9">
          <w:rPr>
            <w:noProof/>
            <w:webHidden/>
          </w:rPr>
        </w:r>
        <w:r w:rsidR="00FA26A9">
          <w:rPr>
            <w:noProof/>
            <w:webHidden/>
          </w:rPr>
          <w:fldChar w:fldCharType="separate"/>
        </w:r>
        <w:r w:rsidR="00D63667">
          <w:rPr>
            <w:noProof/>
            <w:webHidden/>
          </w:rPr>
          <w:t>74</w:t>
        </w:r>
        <w:r w:rsidR="00FA26A9">
          <w:rPr>
            <w:noProof/>
            <w:webHidden/>
          </w:rPr>
          <w:fldChar w:fldCharType="end"/>
        </w:r>
      </w:hyperlink>
    </w:p>
    <w:p w14:paraId="7C44EBE1" w14:textId="617ECCD8" w:rsidR="00FA26A9" w:rsidRDefault="00796FE4">
      <w:pPr>
        <w:pStyle w:val="TableofFigures"/>
        <w:tabs>
          <w:tab w:val="right" w:leader="dot" w:pos="8918"/>
        </w:tabs>
        <w:rPr>
          <w:rFonts w:asciiTheme="minorHAnsi" w:hAnsiTheme="minorHAnsi"/>
          <w:b w:val="0"/>
          <w:smallCaps w:val="0"/>
          <w:noProof/>
          <w:lang w:bidi="ar-SA"/>
        </w:rPr>
      </w:pPr>
      <w:hyperlink w:anchor="_Toc439931816" w:history="1">
        <w:r w:rsidR="00FA26A9" w:rsidRPr="00235C8F">
          <w:rPr>
            <w:rStyle w:val="Hyperlink"/>
            <w:noProof/>
          </w:rPr>
          <w:t>Figure 23: Fuel Switching—Impact on Fuel Oil Consumption (100% Conversion Rate)</w:t>
        </w:r>
        <w:r w:rsidR="00FA26A9">
          <w:rPr>
            <w:noProof/>
            <w:webHidden/>
          </w:rPr>
          <w:tab/>
        </w:r>
        <w:r w:rsidR="00FA26A9">
          <w:rPr>
            <w:noProof/>
            <w:webHidden/>
          </w:rPr>
          <w:fldChar w:fldCharType="begin"/>
        </w:r>
        <w:r w:rsidR="00FA26A9">
          <w:rPr>
            <w:noProof/>
            <w:webHidden/>
          </w:rPr>
          <w:instrText xml:space="preserve"> PAGEREF _Toc439931816 \h </w:instrText>
        </w:r>
        <w:r w:rsidR="00FA26A9">
          <w:rPr>
            <w:noProof/>
            <w:webHidden/>
          </w:rPr>
        </w:r>
        <w:r w:rsidR="00FA26A9">
          <w:rPr>
            <w:noProof/>
            <w:webHidden/>
          </w:rPr>
          <w:fldChar w:fldCharType="separate"/>
        </w:r>
        <w:r w:rsidR="00D63667">
          <w:rPr>
            <w:noProof/>
            <w:webHidden/>
          </w:rPr>
          <w:t>76</w:t>
        </w:r>
        <w:r w:rsidR="00FA26A9">
          <w:rPr>
            <w:noProof/>
            <w:webHidden/>
          </w:rPr>
          <w:fldChar w:fldCharType="end"/>
        </w:r>
      </w:hyperlink>
    </w:p>
    <w:p w14:paraId="7B1A1AD5" w14:textId="1014C63D" w:rsidR="00FA26A9" w:rsidRDefault="00796FE4">
      <w:pPr>
        <w:pStyle w:val="TableofFigures"/>
        <w:tabs>
          <w:tab w:val="right" w:leader="dot" w:pos="8918"/>
        </w:tabs>
        <w:rPr>
          <w:rFonts w:asciiTheme="minorHAnsi" w:hAnsiTheme="minorHAnsi"/>
          <w:b w:val="0"/>
          <w:smallCaps w:val="0"/>
          <w:noProof/>
          <w:lang w:bidi="ar-SA"/>
        </w:rPr>
      </w:pPr>
      <w:hyperlink w:anchor="_Toc439931817" w:history="1">
        <w:r w:rsidR="00FA26A9" w:rsidRPr="00235C8F">
          <w:rPr>
            <w:rStyle w:val="Hyperlink"/>
            <w:noProof/>
          </w:rPr>
          <w:t>Figure 24: Fuel Switching—Impact on Propane Consumption (100% Conversion Rate)</w:t>
        </w:r>
        <w:r w:rsidR="00FA26A9">
          <w:rPr>
            <w:noProof/>
            <w:webHidden/>
          </w:rPr>
          <w:tab/>
        </w:r>
        <w:r w:rsidR="00FA26A9">
          <w:rPr>
            <w:noProof/>
            <w:webHidden/>
          </w:rPr>
          <w:fldChar w:fldCharType="begin"/>
        </w:r>
        <w:r w:rsidR="00FA26A9">
          <w:rPr>
            <w:noProof/>
            <w:webHidden/>
          </w:rPr>
          <w:instrText xml:space="preserve"> PAGEREF _Toc439931817 \h </w:instrText>
        </w:r>
        <w:r w:rsidR="00FA26A9">
          <w:rPr>
            <w:noProof/>
            <w:webHidden/>
          </w:rPr>
        </w:r>
        <w:r w:rsidR="00FA26A9">
          <w:rPr>
            <w:noProof/>
            <w:webHidden/>
          </w:rPr>
          <w:fldChar w:fldCharType="separate"/>
        </w:r>
        <w:r w:rsidR="00D63667">
          <w:rPr>
            <w:noProof/>
            <w:webHidden/>
          </w:rPr>
          <w:t>77</w:t>
        </w:r>
        <w:r w:rsidR="00FA26A9">
          <w:rPr>
            <w:noProof/>
            <w:webHidden/>
          </w:rPr>
          <w:fldChar w:fldCharType="end"/>
        </w:r>
      </w:hyperlink>
    </w:p>
    <w:p w14:paraId="33846693" w14:textId="7155B172" w:rsidR="00FA26A9" w:rsidRDefault="00796FE4">
      <w:pPr>
        <w:pStyle w:val="TableofFigures"/>
        <w:tabs>
          <w:tab w:val="right" w:leader="dot" w:pos="8918"/>
        </w:tabs>
        <w:rPr>
          <w:rFonts w:asciiTheme="minorHAnsi" w:hAnsiTheme="minorHAnsi"/>
          <w:b w:val="0"/>
          <w:smallCaps w:val="0"/>
          <w:noProof/>
          <w:lang w:bidi="ar-SA"/>
        </w:rPr>
      </w:pPr>
      <w:hyperlink w:anchor="_Toc439931818" w:history="1">
        <w:r w:rsidR="00FA26A9" w:rsidRPr="00235C8F">
          <w:rPr>
            <w:rStyle w:val="Hyperlink"/>
            <w:noProof/>
          </w:rPr>
          <w:t>Figure 25: Fuel Switching—Impact on Natural Gas Consumption (100% Conversion Rate)</w:t>
        </w:r>
        <w:r w:rsidR="00FA26A9">
          <w:rPr>
            <w:noProof/>
            <w:webHidden/>
          </w:rPr>
          <w:tab/>
        </w:r>
        <w:r w:rsidR="00FA26A9">
          <w:rPr>
            <w:noProof/>
            <w:webHidden/>
          </w:rPr>
          <w:fldChar w:fldCharType="begin"/>
        </w:r>
        <w:r w:rsidR="00FA26A9">
          <w:rPr>
            <w:noProof/>
            <w:webHidden/>
          </w:rPr>
          <w:instrText xml:space="preserve"> PAGEREF _Toc439931818 \h </w:instrText>
        </w:r>
        <w:r w:rsidR="00FA26A9">
          <w:rPr>
            <w:noProof/>
            <w:webHidden/>
          </w:rPr>
        </w:r>
        <w:r w:rsidR="00FA26A9">
          <w:rPr>
            <w:noProof/>
            <w:webHidden/>
          </w:rPr>
          <w:fldChar w:fldCharType="separate"/>
        </w:r>
        <w:r w:rsidR="00D63667">
          <w:rPr>
            <w:noProof/>
            <w:webHidden/>
          </w:rPr>
          <w:t>77</w:t>
        </w:r>
        <w:r w:rsidR="00FA26A9">
          <w:rPr>
            <w:noProof/>
            <w:webHidden/>
          </w:rPr>
          <w:fldChar w:fldCharType="end"/>
        </w:r>
      </w:hyperlink>
    </w:p>
    <w:p w14:paraId="795FDF5A" w14:textId="5EE066A7" w:rsidR="00FA26A9" w:rsidRDefault="00796FE4">
      <w:pPr>
        <w:pStyle w:val="TableofFigures"/>
        <w:tabs>
          <w:tab w:val="right" w:leader="dot" w:pos="8918"/>
        </w:tabs>
        <w:rPr>
          <w:rFonts w:asciiTheme="minorHAnsi" w:hAnsiTheme="minorHAnsi"/>
          <w:b w:val="0"/>
          <w:smallCaps w:val="0"/>
          <w:noProof/>
          <w:lang w:bidi="ar-SA"/>
        </w:rPr>
      </w:pPr>
      <w:hyperlink w:anchor="_Toc439931819" w:history="1">
        <w:r w:rsidR="00FA26A9" w:rsidRPr="00235C8F">
          <w:rPr>
            <w:rStyle w:val="Hyperlink"/>
            <w:noProof/>
          </w:rPr>
          <w:t>Figure 26: Fuel Switching—Impact on Electricity Consumption (100% Conversion Rate)</w:t>
        </w:r>
        <w:r w:rsidR="00FA26A9">
          <w:rPr>
            <w:noProof/>
            <w:webHidden/>
          </w:rPr>
          <w:tab/>
        </w:r>
        <w:r w:rsidR="00FA26A9">
          <w:rPr>
            <w:noProof/>
            <w:webHidden/>
          </w:rPr>
          <w:fldChar w:fldCharType="begin"/>
        </w:r>
        <w:r w:rsidR="00FA26A9">
          <w:rPr>
            <w:noProof/>
            <w:webHidden/>
          </w:rPr>
          <w:instrText xml:space="preserve"> PAGEREF _Toc439931819 \h </w:instrText>
        </w:r>
        <w:r w:rsidR="00FA26A9">
          <w:rPr>
            <w:noProof/>
            <w:webHidden/>
          </w:rPr>
        </w:r>
        <w:r w:rsidR="00FA26A9">
          <w:rPr>
            <w:noProof/>
            <w:webHidden/>
          </w:rPr>
          <w:fldChar w:fldCharType="separate"/>
        </w:r>
        <w:r w:rsidR="00D63667">
          <w:rPr>
            <w:noProof/>
            <w:webHidden/>
          </w:rPr>
          <w:t>78</w:t>
        </w:r>
        <w:r w:rsidR="00FA26A9">
          <w:rPr>
            <w:noProof/>
            <w:webHidden/>
          </w:rPr>
          <w:fldChar w:fldCharType="end"/>
        </w:r>
      </w:hyperlink>
    </w:p>
    <w:p w14:paraId="6E088A9C" w14:textId="5C68E35E" w:rsidR="00FA26A9" w:rsidRDefault="00796FE4">
      <w:pPr>
        <w:pStyle w:val="TableofFigures"/>
        <w:tabs>
          <w:tab w:val="right" w:leader="dot" w:pos="8918"/>
        </w:tabs>
        <w:rPr>
          <w:rFonts w:asciiTheme="minorHAnsi" w:hAnsiTheme="minorHAnsi"/>
          <w:b w:val="0"/>
          <w:smallCaps w:val="0"/>
          <w:noProof/>
          <w:lang w:bidi="ar-SA"/>
        </w:rPr>
      </w:pPr>
      <w:hyperlink w:anchor="_Toc439931820" w:history="1">
        <w:r w:rsidR="00FA26A9" w:rsidRPr="00235C8F">
          <w:rPr>
            <w:rStyle w:val="Hyperlink"/>
            <w:noProof/>
          </w:rPr>
          <w:t>Figure 27: Fuel Switching—Impact on Overall Consumption in MMBtu (100% Conversion Rate)</w:t>
        </w:r>
        <w:r w:rsidR="00FA26A9">
          <w:rPr>
            <w:noProof/>
            <w:webHidden/>
          </w:rPr>
          <w:tab/>
        </w:r>
        <w:r w:rsidR="00FA26A9">
          <w:rPr>
            <w:noProof/>
            <w:webHidden/>
          </w:rPr>
          <w:fldChar w:fldCharType="begin"/>
        </w:r>
        <w:r w:rsidR="00FA26A9">
          <w:rPr>
            <w:noProof/>
            <w:webHidden/>
          </w:rPr>
          <w:instrText xml:space="preserve"> PAGEREF _Toc439931820 \h </w:instrText>
        </w:r>
        <w:r w:rsidR="00FA26A9">
          <w:rPr>
            <w:noProof/>
            <w:webHidden/>
          </w:rPr>
        </w:r>
        <w:r w:rsidR="00FA26A9">
          <w:rPr>
            <w:noProof/>
            <w:webHidden/>
          </w:rPr>
          <w:fldChar w:fldCharType="separate"/>
        </w:r>
        <w:r w:rsidR="00D63667">
          <w:rPr>
            <w:noProof/>
            <w:webHidden/>
          </w:rPr>
          <w:t>78</w:t>
        </w:r>
        <w:r w:rsidR="00FA26A9">
          <w:rPr>
            <w:noProof/>
            <w:webHidden/>
          </w:rPr>
          <w:fldChar w:fldCharType="end"/>
        </w:r>
      </w:hyperlink>
    </w:p>
    <w:p w14:paraId="58BA79E2" w14:textId="6BD18F95" w:rsidR="00FA26A9" w:rsidRDefault="00796FE4">
      <w:pPr>
        <w:pStyle w:val="TableofFigures"/>
        <w:tabs>
          <w:tab w:val="right" w:leader="dot" w:pos="8918"/>
        </w:tabs>
        <w:rPr>
          <w:rFonts w:asciiTheme="minorHAnsi" w:hAnsiTheme="minorHAnsi"/>
          <w:b w:val="0"/>
          <w:smallCaps w:val="0"/>
          <w:noProof/>
          <w:lang w:bidi="ar-SA"/>
        </w:rPr>
      </w:pPr>
      <w:hyperlink w:anchor="_Toc439931821" w:history="1">
        <w:r w:rsidR="00FA26A9" w:rsidRPr="00235C8F">
          <w:rPr>
            <w:rStyle w:val="Hyperlink"/>
            <w:noProof/>
          </w:rPr>
          <w:t>Figure 28: Fuel Switching—Change in Fuel Oil Consumption Under the Base Case Scenario</w:t>
        </w:r>
        <w:r w:rsidR="00FA26A9">
          <w:rPr>
            <w:noProof/>
            <w:webHidden/>
          </w:rPr>
          <w:tab/>
        </w:r>
        <w:r w:rsidR="00FA26A9">
          <w:rPr>
            <w:noProof/>
            <w:webHidden/>
          </w:rPr>
          <w:fldChar w:fldCharType="begin"/>
        </w:r>
        <w:r w:rsidR="00FA26A9">
          <w:rPr>
            <w:noProof/>
            <w:webHidden/>
          </w:rPr>
          <w:instrText xml:space="preserve"> PAGEREF _Toc439931821 \h </w:instrText>
        </w:r>
        <w:r w:rsidR="00FA26A9">
          <w:rPr>
            <w:noProof/>
            <w:webHidden/>
          </w:rPr>
        </w:r>
        <w:r w:rsidR="00FA26A9">
          <w:rPr>
            <w:noProof/>
            <w:webHidden/>
          </w:rPr>
          <w:fldChar w:fldCharType="separate"/>
        </w:r>
        <w:r w:rsidR="00D63667">
          <w:rPr>
            <w:noProof/>
            <w:webHidden/>
          </w:rPr>
          <w:t>81</w:t>
        </w:r>
        <w:r w:rsidR="00FA26A9">
          <w:rPr>
            <w:noProof/>
            <w:webHidden/>
          </w:rPr>
          <w:fldChar w:fldCharType="end"/>
        </w:r>
      </w:hyperlink>
    </w:p>
    <w:p w14:paraId="04E2ACA5" w14:textId="0E203BE0" w:rsidR="00FA26A9" w:rsidRDefault="00796FE4">
      <w:pPr>
        <w:pStyle w:val="TableofFigures"/>
        <w:tabs>
          <w:tab w:val="right" w:leader="dot" w:pos="8918"/>
        </w:tabs>
        <w:rPr>
          <w:rFonts w:asciiTheme="minorHAnsi" w:hAnsiTheme="minorHAnsi"/>
          <w:b w:val="0"/>
          <w:smallCaps w:val="0"/>
          <w:noProof/>
          <w:lang w:bidi="ar-SA"/>
        </w:rPr>
      </w:pPr>
      <w:hyperlink w:anchor="_Toc439931822" w:history="1">
        <w:r w:rsidR="00FA26A9" w:rsidRPr="00235C8F">
          <w:rPr>
            <w:rStyle w:val="Hyperlink"/>
            <w:noProof/>
          </w:rPr>
          <w:t>Figure 29: Fuel Switching—Change in Propane Consumption Under the Base Case Scenario</w:t>
        </w:r>
        <w:r w:rsidR="00FA26A9">
          <w:rPr>
            <w:noProof/>
            <w:webHidden/>
          </w:rPr>
          <w:tab/>
        </w:r>
        <w:r w:rsidR="00FA26A9">
          <w:rPr>
            <w:noProof/>
            <w:webHidden/>
          </w:rPr>
          <w:fldChar w:fldCharType="begin"/>
        </w:r>
        <w:r w:rsidR="00FA26A9">
          <w:rPr>
            <w:noProof/>
            <w:webHidden/>
          </w:rPr>
          <w:instrText xml:space="preserve"> PAGEREF _Toc439931822 \h </w:instrText>
        </w:r>
        <w:r w:rsidR="00FA26A9">
          <w:rPr>
            <w:noProof/>
            <w:webHidden/>
          </w:rPr>
        </w:r>
        <w:r w:rsidR="00FA26A9">
          <w:rPr>
            <w:noProof/>
            <w:webHidden/>
          </w:rPr>
          <w:fldChar w:fldCharType="separate"/>
        </w:r>
        <w:r w:rsidR="00D63667">
          <w:rPr>
            <w:noProof/>
            <w:webHidden/>
          </w:rPr>
          <w:t>82</w:t>
        </w:r>
        <w:r w:rsidR="00FA26A9">
          <w:rPr>
            <w:noProof/>
            <w:webHidden/>
          </w:rPr>
          <w:fldChar w:fldCharType="end"/>
        </w:r>
      </w:hyperlink>
    </w:p>
    <w:p w14:paraId="0705EBBE" w14:textId="31B6C552" w:rsidR="00FA26A9" w:rsidRDefault="00796FE4">
      <w:pPr>
        <w:pStyle w:val="TableofFigures"/>
        <w:tabs>
          <w:tab w:val="right" w:leader="dot" w:pos="8918"/>
        </w:tabs>
        <w:rPr>
          <w:rFonts w:asciiTheme="minorHAnsi" w:hAnsiTheme="minorHAnsi"/>
          <w:b w:val="0"/>
          <w:smallCaps w:val="0"/>
          <w:noProof/>
          <w:lang w:bidi="ar-SA"/>
        </w:rPr>
      </w:pPr>
      <w:hyperlink w:anchor="_Toc439931823" w:history="1">
        <w:r w:rsidR="00FA26A9" w:rsidRPr="00235C8F">
          <w:rPr>
            <w:rStyle w:val="Hyperlink"/>
            <w:noProof/>
          </w:rPr>
          <w:t>Figure 30: Fuel Switching—Change in Natural Gas Consumption Under the Base Case Scenario</w:t>
        </w:r>
        <w:r w:rsidR="00FA26A9">
          <w:rPr>
            <w:noProof/>
            <w:webHidden/>
          </w:rPr>
          <w:tab/>
        </w:r>
        <w:r w:rsidR="00FA26A9">
          <w:rPr>
            <w:noProof/>
            <w:webHidden/>
          </w:rPr>
          <w:fldChar w:fldCharType="begin"/>
        </w:r>
        <w:r w:rsidR="00FA26A9">
          <w:rPr>
            <w:noProof/>
            <w:webHidden/>
          </w:rPr>
          <w:instrText xml:space="preserve"> PAGEREF _Toc439931823 \h </w:instrText>
        </w:r>
        <w:r w:rsidR="00FA26A9">
          <w:rPr>
            <w:noProof/>
            <w:webHidden/>
          </w:rPr>
        </w:r>
        <w:r w:rsidR="00FA26A9">
          <w:rPr>
            <w:noProof/>
            <w:webHidden/>
          </w:rPr>
          <w:fldChar w:fldCharType="separate"/>
        </w:r>
        <w:r w:rsidR="00D63667">
          <w:rPr>
            <w:noProof/>
            <w:webHidden/>
          </w:rPr>
          <w:t>83</w:t>
        </w:r>
        <w:r w:rsidR="00FA26A9">
          <w:rPr>
            <w:noProof/>
            <w:webHidden/>
          </w:rPr>
          <w:fldChar w:fldCharType="end"/>
        </w:r>
      </w:hyperlink>
    </w:p>
    <w:p w14:paraId="09319B8A" w14:textId="7D9870A4" w:rsidR="00FA26A9" w:rsidRDefault="00796FE4">
      <w:pPr>
        <w:pStyle w:val="TableofFigures"/>
        <w:tabs>
          <w:tab w:val="right" w:leader="dot" w:pos="8918"/>
        </w:tabs>
        <w:rPr>
          <w:rFonts w:asciiTheme="minorHAnsi" w:hAnsiTheme="minorHAnsi"/>
          <w:b w:val="0"/>
          <w:smallCaps w:val="0"/>
          <w:noProof/>
          <w:lang w:bidi="ar-SA"/>
        </w:rPr>
      </w:pPr>
      <w:hyperlink w:anchor="_Toc439931824" w:history="1">
        <w:r w:rsidR="00FA26A9" w:rsidRPr="00235C8F">
          <w:rPr>
            <w:rStyle w:val="Hyperlink"/>
            <w:noProof/>
          </w:rPr>
          <w:t>Figure 31: Fuel Switching—Change in Electricity Consumption Under the Base Case Scenario</w:t>
        </w:r>
        <w:r w:rsidR="00FA26A9">
          <w:rPr>
            <w:noProof/>
            <w:webHidden/>
          </w:rPr>
          <w:tab/>
        </w:r>
        <w:r w:rsidR="00FA26A9">
          <w:rPr>
            <w:noProof/>
            <w:webHidden/>
          </w:rPr>
          <w:fldChar w:fldCharType="begin"/>
        </w:r>
        <w:r w:rsidR="00FA26A9">
          <w:rPr>
            <w:noProof/>
            <w:webHidden/>
          </w:rPr>
          <w:instrText xml:space="preserve"> PAGEREF _Toc439931824 \h </w:instrText>
        </w:r>
        <w:r w:rsidR="00FA26A9">
          <w:rPr>
            <w:noProof/>
            <w:webHidden/>
          </w:rPr>
        </w:r>
        <w:r w:rsidR="00FA26A9">
          <w:rPr>
            <w:noProof/>
            <w:webHidden/>
          </w:rPr>
          <w:fldChar w:fldCharType="separate"/>
        </w:r>
        <w:r w:rsidR="00D63667">
          <w:rPr>
            <w:noProof/>
            <w:webHidden/>
          </w:rPr>
          <w:t>84</w:t>
        </w:r>
        <w:r w:rsidR="00FA26A9">
          <w:rPr>
            <w:noProof/>
            <w:webHidden/>
          </w:rPr>
          <w:fldChar w:fldCharType="end"/>
        </w:r>
      </w:hyperlink>
    </w:p>
    <w:p w14:paraId="4F28A37F" w14:textId="74243585" w:rsidR="00FA26A9" w:rsidRDefault="00796FE4">
      <w:pPr>
        <w:pStyle w:val="TableofFigures"/>
        <w:tabs>
          <w:tab w:val="right" w:leader="dot" w:pos="8918"/>
        </w:tabs>
        <w:rPr>
          <w:rFonts w:asciiTheme="minorHAnsi" w:hAnsiTheme="minorHAnsi"/>
          <w:b w:val="0"/>
          <w:smallCaps w:val="0"/>
          <w:noProof/>
          <w:lang w:bidi="ar-SA"/>
        </w:rPr>
      </w:pPr>
      <w:hyperlink w:anchor="_Toc439931825" w:history="1">
        <w:r w:rsidR="00FA26A9" w:rsidRPr="00235C8F">
          <w:rPr>
            <w:rStyle w:val="Hyperlink"/>
            <w:noProof/>
          </w:rPr>
          <w:t>Figure 32: Fuel Switching—Change in Total Consumption in MMBtu, Base to Upgrade Comparison*</w:t>
        </w:r>
        <w:r w:rsidR="00FA26A9">
          <w:rPr>
            <w:noProof/>
            <w:webHidden/>
          </w:rPr>
          <w:tab/>
        </w:r>
        <w:r w:rsidR="00FA26A9">
          <w:rPr>
            <w:noProof/>
            <w:webHidden/>
          </w:rPr>
          <w:fldChar w:fldCharType="begin"/>
        </w:r>
        <w:r w:rsidR="00FA26A9">
          <w:rPr>
            <w:noProof/>
            <w:webHidden/>
          </w:rPr>
          <w:instrText xml:space="preserve"> PAGEREF _Toc439931825 \h </w:instrText>
        </w:r>
        <w:r w:rsidR="00FA26A9">
          <w:rPr>
            <w:noProof/>
            <w:webHidden/>
          </w:rPr>
        </w:r>
        <w:r w:rsidR="00FA26A9">
          <w:rPr>
            <w:noProof/>
            <w:webHidden/>
          </w:rPr>
          <w:fldChar w:fldCharType="separate"/>
        </w:r>
        <w:r w:rsidR="00D63667">
          <w:rPr>
            <w:noProof/>
            <w:webHidden/>
          </w:rPr>
          <w:t>86</w:t>
        </w:r>
        <w:r w:rsidR="00FA26A9">
          <w:rPr>
            <w:noProof/>
            <w:webHidden/>
          </w:rPr>
          <w:fldChar w:fldCharType="end"/>
        </w:r>
      </w:hyperlink>
    </w:p>
    <w:p w14:paraId="651518F9" w14:textId="072E63E4" w:rsidR="00FA26A9" w:rsidRDefault="00796FE4">
      <w:pPr>
        <w:pStyle w:val="TableofFigures"/>
        <w:tabs>
          <w:tab w:val="right" w:leader="dot" w:pos="8918"/>
        </w:tabs>
        <w:rPr>
          <w:rFonts w:asciiTheme="minorHAnsi" w:hAnsiTheme="minorHAnsi"/>
          <w:b w:val="0"/>
          <w:smallCaps w:val="0"/>
          <w:noProof/>
          <w:lang w:bidi="ar-SA"/>
        </w:rPr>
      </w:pPr>
      <w:hyperlink w:anchor="_Toc439931826" w:history="1">
        <w:r w:rsidR="00FA26A9" w:rsidRPr="00235C8F">
          <w:rPr>
            <w:rStyle w:val="Hyperlink"/>
            <w:noProof/>
          </w:rPr>
          <w:t>Figure 33: Fuel Switching—Change in Fuel Oil Consumption, Base to Upgrade Comparison*</w:t>
        </w:r>
        <w:r w:rsidR="00FA26A9">
          <w:rPr>
            <w:noProof/>
            <w:webHidden/>
          </w:rPr>
          <w:tab/>
        </w:r>
        <w:r w:rsidR="00FA26A9">
          <w:rPr>
            <w:noProof/>
            <w:webHidden/>
          </w:rPr>
          <w:fldChar w:fldCharType="begin"/>
        </w:r>
        <w:r w:rsidR="00FA26A9">
          <w:rPr>
            <w:noProof/>
            <w:webHidden/>
          </w:rPr>
          <w:instrText xml:space="preserve"> PAGEREF _Toc439931826 \h </w:instrText>
        </w:r>
        <w:r w:rsidR="00FA26A9">
          <w:rPr>
            <w:noProof/>
            <w:webHidden/>
          </w:rPr>
        </w:r>
        <w:r w:rsidR="00FA26A9">
          <w:rPr>
            <w:noProof/>
            <w:webHidden/>
          </w:rPr>
          <w:fldChar w:fldCharType="separate"/>
        </w:r>
        <w:r w:rsidR="00D63667">
          <w:rPr>
            <w:noProof/>
            <w:webHidden/>
          </w:rPr>
          <w:t>87</w:t>
        </w:r>
        <w:r w:rsidR="00FA26A9">
          <w:rPr>
            <w:noProof/>
            <w:webHidden/>
          </w:rPr>
          <w:fldChar w:fldCharType="end"/>
        </w:r>
      </w:hyperlink>
    </w:p>
    <w:p w14:paraId="756C007D" w14:textId="287CD9AC" w:rsidR="00FA26A9" w:rsidRDefault="00796FE4">
      <w:pPr>
        <w:pStyle w:val="TableofFigures"/>
        <w:tabs>
          <w:tab w:val="right" w:leader="dot" w:pos="8918"/>
        </w:tabs>
        <w:rPr>
          <w:rFonts w:asciiTheme="minorHAnsi" w:hAnsiTheme="minorHAnsi"/>
          <w:b w:val="0"/>
          <w:smallCaps w:val="0"/>
          <w:noProof/>
          <w:lang w:bidi="ar-SA"/>
        </w:rPr>
      </w:pPr>
      <w:hyperlink w:anchor="_Toc439931827" w:history="1">
        <w:r w:rsidR="00FA26A9" w:rsidRPr="00235C8F">
          <w:rPr>
            <w:rStyle w:val="Hyperlink"/>
            <w:noProof/>
          </w:rPr>
          <w:t>Figure 34: Fuel Switching—Change in Propane Consumption, Base to Upgrade Comparison*</w:t>
        </w:r>
        <w:r w:rsidR="00FA26A9">
          <w:rPr>
            <w:noProof/>
            <w:webHidden/>
          </w:rPr>
          <w:tab/>
        </w:r>
        <w:r w:rsidR="00FA26A9">
          <w:rPr>
            <w:noProof/>
            <w:webHidden/>
          </w:rPr>
          <w:fldChar w:fldCharType="begin"/>
        </w:r>
        <w:r w:rsidR="00FA26A9">
          <w:rPr>
            <w:noProof/>
            <w:webHidden/>
          </w:rPr>
          <w:instrText xml:space="preserve"> PAGEREF _Toc439931827 \h </w:instrText>
        </w:r>
        <w:r w:rsidR="00FA26A9">
          <w:rPr>
            <w:noProof/>
            <w:webHidden/>
          </w:rPr>
        </w:r>
        <w:r w:rsidR="00FA26A9">
          <w:rPr>
            <w:noProof/>
            <w:webHidden/>
          </w:rPr>
          <w:fldChar w:fldCharType="separate"/>
        </w:r>
        <w:r w:rsidR="00D63667">
          <w:rPr>
            <w:noProof/>
            <w:webHidden/>
          </w:rPr>
          <w:t>88</w:t>
        </w:r>
        <w:r w:rsidR="00FA26A9">
          <w:rPr>
            <w:noProof/>
            <w:webHidden/>
          </w:rPr>
          <w:fldChar w:fldCharType="end"/>
        </w:r>
      </w:hyperlink>
    </w:p>
    <w:p w14:paraId="4B5BBB2A" w14:textId="01E393CF" w:rsidR="00FA26A9" w:rsidRDefault="00796FE4">
      <w:pPr>
        <w:pStyle w:val="TableofFigures"/>
        <w:tabs>
          <w:tab w:val="right" w:leader="dot" w:pos="8918"/>
        </w:tabs>
        <w:rPr>
          <w:rFonts w:asciiTheme="minorHAnsi" w:hAnsiTheme="minorHAnsi"/>
          <w:b w:val="0"/>
          <w:smallCaps w:val="0"/>
          <w:noProof/>
          <w:lang w:bidi="ar-SA"/>
        </w:rPr>
      </w:pPr>
      <w:hyperlink w:anchor="_Toc439931828" w:history="1">
        <w:r w:rsidR="00FA26A9" w:rsidRPr="00235C8F">
          <w:rPr>
            <w:rStyle w:val="Hyperlink"/>
            <w:noProof/>
          </w:rPr>
          <w:t>Figure 35: Fuel Switching—Change in Natural Gas Consumption, Base to Upgrade Comparison*</w:t>
        </w:r>
        <w:r w:rsidR="00FA26A9">
          <w:rPr>
            <w:noProof/>
            <w:webHidden/>
          </w:rPr>
          <w:tab/>
        </w:r>
        <w:r w:rsidR="00FA26A9">
          <w:rPr>
            <w:noProof/>
            <w:webHidden/>
          </w:rPr>
          <w:fldChar w:fldCharType="begin"/>
        </w:r>
        <w:r w:rsidR="00FA26A9">
          <w:rPr>
            <w:noProof/>
            <w:webHidden/>
          </w:rPr>
          <w:instrText xml:space="preserve"> PAGEREF _Toc439931828 \h </w:instrText>
        </w:r>
        <w:r w:rsidR="00FA26A9">
          <w:rPr>
            <w:noProof/>
            <w:webHidden/>
          </w:rPr>
        </w:r>
        <w:r w:rsidR="00FA26A9">
          <w:rPr>
            <w:noProof/>
            <w:webHidden/>
          </w:rPr>
          <w:fldChar w:fldCharType="separate"/>
        </w:r>
        <w:r w:rsidR="00D63667">
          <w:rPr>
            <w:noProof/>
            <w:webHidden/>
          </w:rPr>
          <w:t>89</w:t>
        </w:r>
        <w:r w:rsidR="00FA26A9">
          <w:rPr>
            <w:noProof/>
            <w:webHidden/>
          </w:rPr>
          <w:fldChar w:fldCharType="end"/>
        </w:r>
      </w:hyperlink>
    </w:p>
    <w:p w14:paraId="19280890" w14:textId="766A0F7D" w:rsidR="00FA26A9" w:rsidRDefault="00796FE4">
      <w:pPr>
        <w:pStyle w:val="TableofFigures"/>
        <w:tabs>
          <w:tab w:val="right" w:leader="dot" w:pos="8918"/>
        </w:tabs>
        <w:rPr>
          <w:rFonts w:asciiTheme="minorHAnsi" w:hAnsiTheme="minorHAnsi"/>
          <w:b w:val="0"/>
          <w:smallCaps w:val="0"/>
          <w:noProof/>
          <w:lang w:bidi="ar-SA"/>
        </w:rPr>
      </w:pPr>
      <w:hyperlink w:anchor="_Toc439931829" w:history="1">
        <w:r w:rsidR="00FA26A9" w:rsidRPr="00235C8F">
          <w:rPr>
            <w:rStyle w:val="Hyperlink"/>
            <w:noProof/>
          </w:rPr>
          <w:t>Figure 36: Fuel Switching—Change in Electricity Consumption, Base to Upgrade Comparison*</w:t>
        </w:r>
        <w:r w:rsidR="00FA26A9">
          <w:rPr>
            <w:noProof/>
            <w:webHidden/>
          </w:rPr>
          <w:tab/>
        </w:r>
        <w:r w:rsidR="00FA26A9">
          <w:rPr>
            <w:noProof/>
            <w:webHidden/>
          </w:rPr>
          <w:fldChar w:fldCharType="begin"/>
        </w:r>
        <w:r w:rsidR="00FA26A9">
          <w:rPr>
            <w:noProof/>
            <w:webHidden/>
          </w:rPr>
          <w:instrText xml:space="preserve"> PAGEREF _Toc439931829 \h </w:instrText>
        </w:r>
        <w:r w:rsidR="00FA26A9">
          <w:rPr>
            <w:noProof/>
            <w:webHidden/>
          </w:rPr>
        </w:r>
        <w:r w:rsidR="00FA26A9">
          <w:rPr>
            <w:noProof/>
            <w:webHidden/>
          </w:rPr>
          <w:fldChar w:fldCharType="separate"/>
        </w:r>
        <w:r w:rsidR="00D63667">
          <w:rPr>
            <w:noProof/>
            <w:webHidden/>
          </w:rPr>
          <w:t>90</w:t>
        </w:r>
        <w:r w:rsidR="00FA26A9">
          <w:rPr>
            <w:noProof/>
            <w:webHidden/>
          </w:rPr>
          <w:fldChar w:fldCharType="end"/>
        </w:r>
      </w:hyperlink>
    </w:p>
    <w:p w14:paraId="2FDD28AC" w14:textId="0E07E81A" w:rsidR="00FA26A9" w:rsidRDefault="00796FE4">
      <w:pPr>
        <w:pStyle w:val="TableofFigures"/>
        <w:tabs>
          <w:tab w:val="right" w:leader="dot" w:pos="8918"/>
        </w:tabs>
        <w:rPr>
          <w:rFonts w:asciiTheme="minorHAnsi" w:hAnsiTheme="minorHAnsi"/>
          <w:b w:val="0"/>
          <w:smallCaps w:val="0"/>
          <w:noProof/>
          <w:lang w:bidi="ar-SA"/>
        </w:rPr>
      </w:pPr>
      <w:hyperlink w:anchor="_Toc439931830" w:history="1">
        <w:r w:rsidR="00FA26A9" w:rsidRPr="00235C8F">
          <w:rPr>
            <w:rStyle w:val="Hyperlink"/>
            <w:noProof/>
          </w:rPr>
          <w:t>Figure 37: Fuel Switching—Base Case Annual Savings in MMBtu at Year Ten, by End Use* (100% Conversion Rate)</w:t>
        </w:r>
        <w:r w:rsidR="00FA26A9">
          <w:rPr>
            <w:noProof/>
            <w:webHidden/>
          </w:rPr>
          <w:tab/>
        </w:r>
        <w:r w:rsidR="00FA26A9">
          <w:rPr>
            <w:noProof/>
            <w:webHidden/>
          </w:rPr>
          <w:fldChar w:fldCharType="begin"/>
        </w:r>
        <w:r w:rsidR="00FA26A9">
          <w:rPr>
            <w:noProof/>
            <w:webHidden/>
          </w:rPr>
          <w:instrText xml:space="preserve"> PAGEREF _Toc439931830 \h </w:instrText>
        </w:r>
        <w:r w:rsidR="00FA26A9">
          <w:rPr>
            <w:noProof/>
            <w:webHidden/>
          </w:rPr>
        </w:r>
        <w:r w:rsidR="00FA26A9">
          <w:rPr>
            <w:noProof/>
            <w:webHidden/>
          </w:rPr>
          <w:fldChar w:fldCharType="separate"/>
        </w:r>
        <w:r w:rsidR="00D63667">
          <w:rPr>
            <w:noProof/>
            <w:webHidden/>
          </w:rPr>
          <w:t>92</w:t>
        </w:r>
        <w:r w:rsidR="00FA26A9">
          <w:rPr>
            <w:noProof/>
            <w:webHidden/>
          </w:rPr>
          <w:fldChar w:fldCharType="end"/>
        </w:r>
      </w:hyperlink>
    </w:p>
    <w:p w14:paraId="526E1657" w14:textId="7D24BA9B" w:rsidR="00FA26A9" w:rsidRDefault="00796FE4">
      <w:pPr>
        <w:pStyle w:val="TableofFigures"/>
        <w:tabs>
          <w:tab w:val="right" w:leader="dot" w:pos="8918"/>
        </w:tabs>
        <w:rPr>
          <w:rFonts w:asciiTheme="minorHAnsi" w:hAnsiTheme="minorHAnsi"/>
          <w:b w:val="0"/>
          <w:smallCaps w:val="0"/>
          <w:noProof/>
          <w:lang w:bidi="ar-SA"/>
        </w:rPr>
      </w:pPr>
      <w:hyperlink w:anchor="_Toc439931831" w:history="1">
        <w:r w:rsidR="00FA26A9" w:rsidRPr="00235C8F">
          <w:rPr>
            <w:rStyle w:val="Hyperlink"/>
            <w:noProof/>
          </w:rPr>
          <w:t>Figure 38: Fuel Switching—Upgrade Case Annual Savings from Base Case in MMBtu at Year Ten, by End Use (100% Conversion Rate)</w:t>
        </w:r>
        <w:r w:rsidR="00FA26A9">
          <w:rPr>
            <w:noProof/>
            <w:webHidden/>
          </w:rPr>
          <w:tab/>
        </w:r>
        <w:r w:rsidR="00FA26A9">
          <w:rPr>
            <w:noProof/>
            <w:webHidden/>
          </w:rPr>
          <w:fldChar w:fldCharType="begin"/>
        </w:r>
        <w:r w:rsidR="00FA26A9">
          <w:rPr>
            <w:noProof/>
            <w:webHidden/>
          </w:rPr>
          <w:instrText xml:space="preserve"> PAGEREF _Toc439931831 \h </w:instrText>
        </w:r>
        <w:r w:rsidR="00FA26A9">
          <w:rPr>
            <w:noProof/>
            <w:webHidden/>
          </w:rPr>
        </w:r>
        <w:r w:rsidR="00FA26A9">
          <w:rPr>
            <w:noProof/>
            <w:webHidden/>
          </w:rPr>
          <w:fldChar w:fldCharType="separate"/>
        </w:r>
        <w:r w:rsidR="00D63667">
          <w:rPr>
            <w:noProof/>
            <w:webHidden/>
          </w:rPr>
          <w:t>93</w:t>
        </w:r>
        <w:r w:rsidR="00FA26A9">
          <w:rPr>
            <w:noProof/>
            <w:webHidden/>
          </w:rPr>
          <w:fldChar w:fldCharType="end"/>
        </w:r>
      </w:hyperlink>
    </w:p>
    <w:p w14:paraId="766C7A05" w14:textId="3B754E0A" w:rsidR="006431E2" w:rsidRPr="00F6205B" w:rsidRDefault="00B42F1F" w:rsidP="007C3F25">
      <w:r w:rsidRPr="00F6205B">
        <w:rPr>
          <w:rFonts w:ascii="Arial Bold" w:hAnsi="Arial Bold" w:cs="Arial"/>
          <w:b/>
          <w:color w:val="0F673B"/>
          <w:sz w:val="28"/>
          <w:szCs w:val="28"/>
        </w:rPr>
        <w:fldChar w:fldCharType="end"/>
      </w:r>
    </w:p>
    <w:p w14:paraId="3A91F6BF" w14:textId="77777777" w:rsidR="00252FE7" w:rsidRPr="00F6205B" w:rsidRDefault="00252FE7" w:rsidP="00303AE1">
      <w:pPr>
        <w:pStyle w:val="TOCTitle"/>
      </w:pPr>
      <w:r w:rsidRPr="00F6205B">
        <w:t>Tables</w:t>
      </w:r>
    </w:p>
    <w:p w14:paraId="4CDFBA3D" w14:textId="1CD26D19" w:rsidR="00FA26A9" w:rsidRDefault="00866098">
      <w:pPr>
        <w:pStyle w:val="TableofFigures"/>
        <w:tabs>
          <w:tab w:val="right" w:leader="dot" w:pos="8918"/>
        </w:tabs>
        <w:rPr>
          <w:rFonts w:asciiTheme="minorHAnsi" w:hAnsiTheme="minorHAnsi"/>
          <w:b w:val="0"/>
          <w:smallCaps w:val="0"/>
          <w:noProof/>
          <w:lang w:bidi="ar-SA"/>
        </w:rPr>
      </w:pPr>
      <w:r w:rsidRPr="00F6205B">
        <w:fldChar w:fldCharType="begin"/>
      </w:r>
      <w:r w:rsidR="00252FE7" w:rsidRPr="00F6205B">
        <w:instrText xml:space="preserve"> TOC \h \z \c "Table" </w:instrText>
      </w:r>
      <w:r w:rsidRPr="00F6205B">
        <w:fldChar w:fldCharType="separate"/>
      </w:r>
      <w:hyperlink w:anchor="_Toc439931832" w:history="1">
        <w:r w:rsidR="00FA26A9" w:rsidRPr="00B20392">
          <w:rPr>
            <w:rStyle w:val="Hyperlink"/>
            <w:noProof/>
          </w:rPr>
          <w:t>Table 1: Savings from All Applicable Measures by Fuel—Ten-Year Aggregate</w:t>
        </w:r>
        <w:r w:rsidR="00FA26A9">
          <w:rPr>
            <w:noProof/>
            <w:webHidden/>
          </w:rPr>
          <w:tab/>
        </w:r>
        <w:r w:rsidR="00FA26A9">
          <w:rPr>
            <w:noProof/>
            <w:webHidden/>
          </w:rPr>
          <w:fldChar w:fldCharType="begin"/>
        </w:r>
        <w:r w:rsidR="00FA26A9">
          <w:rPr>
            <w:noProof/>
            <w:webHidden/>
          </w:rPr>
          <w:instrText xml:space="preserve"> PAGEREF _Toc439931832 \h </w:instrText>
        </w:r>
        <w:r w:rsidR="00FA26A9">
          <w:rPr>
            <w:noProof/>
            <w:webHidden/>
          </w:rPr>
        </w:r>
        <w:r w:rsidR="00FA26A9">
          <w:rPr>
            <w:noProof/>
            <w:webHidden/>
          </w:rPr>
          <w:fldChar w:fldCharType="separate"/>
        </w:r>
        <w:r w:rsidR="00D63667">
          <w:rPr>
            <w:noProof/>
            <w:webHidden/>
          </w:rPr>
          <w:t>VI</w:t>
        </w:r>
        <w:r w:rsidR="00FA26A9">
          <w:rPr>
            <w:noProof/>
            <w:webHidden/>
          </w:rPr>
          <w:fldChar w:fldCharType="end"/>
        </w:r>
      </w:hyperlink>
    </w:p>
    <w:p w14:paraId="3DF8A368" w14:textId="224B902A" w:rsidR="00FA26A9" w:rsidRDefault="00796FE4">
      <w:pPr>
        <w:pStyle w:val="TableofFigures"/>
        <w:tabs>
          <w:tab w:val="right" w:leader="dot" w:pos="8918"/>
        </w:tabs>
        <w:rPr>
          <w:rFonts w:asciiTheme="minorHAnsi" w:hAnsiTheme="minorHAnsi"/>
          <w:b w:val="0"/>
          <w:smallCaps w:val="0"/>
          <w:noProof/>
          <w:lang w:bidi="ar-SA"/>
        </w:rPr>
      </w:pPr>
      <w:hyperlink w:anchor="_Toc439931833" w:history="1">
        <w:r w:rsidR="00FA26A9" w:rsidRPr="00B20392">
          <w:rPr>
            <w:rStyle w:val="Hyperlink"/>
            <w:noProof/>
          </w:rPr>
          <w:t>Table 2: Measures Included in Comprehensive Technical Potential Model Run (Most Common)*</w:t>
        </w:r>
        <w:r w:rsidR="00FA26A9">
          <w:rPr>
            <w:noProof/>
            <w:webHidden/>
          </w:rPr>
          <w:tab/>
        </w:r>
        <w:r w:rsidR="00FA26A9">
          <w:rPr>
            <w:noProof/>
            <w:webHidden/>
          </w:rPr>
          <w:fldChar w:fldCharType="begin"/>
        </w:r>
        <w:r w:rsidR="00FA26A9">
          <w:rPr>
            <w:noProof/>
            <w:webHidden/>
          </w:rPr>
          <w:instrText xml:space="preserve"> PAGEREF _Toc439931833 \h </w:instrText>
        </w:r>
        <w:r w:rsidR="00FA26A9">
          <w:rPr>
            <w:noProof/>
            <w:webHidden/>
          </w:rPr>
        </w:r>
        <w:r w:rsidR="00FA26A9">
          <w:rPr>
            <w:noProof/>
            <w:webHidden/>
          </w:rPr>
          <w:fldChar w:fldCharType="separate"/>
        </w:r>
        <w:r w:rsidR="00D63667">
          <w:rPr>
            <w:noProof/>
            <w:webHidden/>
          </w:rPr>
          <w:t>20</w:t>
        </w:r>
        <w:r w:rsidR="00FA26A9">
          <w:rPr>
            <w:noProof/>
            <w:webHidden/>
          </w:rPr>
          <w:fldChar w:fldCharType="end"/>
        </w:r>
      </w:hyperlink>
    </w:p>
    <w:p w14:paraId="06A1A02E" w14:textId="15D94E75" w:rsidR="00FA26A9" w:rsidRDefault="00796FE4">
      <w:pPr>
        <w:pStyle w:val="TableofFigures"/>
        <w:tabs>
          <w:tab w:val="right" w:leader="dot" w:pos="8918"/>
        </w:tabs>
        <w:rPr>
          <w:rFonts w:asciiTheme="minorHAnsi" w:hAnsiTheme="minorHAnsi"/>
          <w:b w:val="0"/>
          <w:smallCaps w:val="0"/>
          <w:noProof/>
          <w:lang w:bidi="ar-SA"/>
        </w:rPr>
      </w:pPr>
      <w:hyperlink w:anchor="_Toc439931834" w:history="1">
        <w:r w:rsidR="00FA26A9" w:rsidRPr="00B20392">
          <w:rPr>
            <w:rStyle w:val="Hyperlink"/>
            <w:noProof/>
          </w:rPr>
          <w:t>Table 3: Measures Included in Comprehensive Technical Potential Model Run (Less Common)*</w:t>
        </w:r>
        <w:r w:rsidR="00FA26A9">
          <w:rPr>
            <w:noProof/>
            <w:webHidden/>
          </w:rPr>
          <w:tab/>
        </w:r>
        <w:r w:rsidR="00FA26A9">
          <w:rPr>
            <w:noProof/>
            <w:webHidden/>
          </w:rPr>
          <w:fldChar w:fldCharType="begin"/>
        </w:r>
        <w:r w:rsidR="00FA26A9">
          <w:rPr>
            <w:noProof/>
            <w:webHidden/>
          </w:rPr>
          <w:instrText xml:space="preserve"> PAGEREF _Toc439931834 \h </w:instrText>
        </w:r>
        <w:r w:rsidR="00FA26A9">
          <w:rPr>
            <w:noProof/>
            <w:webHidden/>
          </w:rPr>
        </w:r>
        <w:r w:rsidR="00FA26A9">
          <w:rPr>
            <w:noProof/>
            <w:webHidden/>
          </w:rPr>
          <w:fldChar w:fldCharType="separate"/>
        </w:r>
        <w:r w:rsidR="00D63667">
          <w:rPr>
            <w:noProof/>
            <w:webHidden/>
          </w:rPr>
          <w:t>21</w:t>
        </w:r>
        <w:r w:rsidR="00FA26A9">
          <w:rPr>
            <w:noProof/>
            <w:webHidden/>
          </w:rPr>
          <w:fldChar w:fldCharType="end"/>
        </w:r>
      </w:hyperlink>
    </w:p>
    <w:p w14:paraId="018ABE8F" w14:textId="3BE5C472" w:rsidR="00FA26A9" w:rsidRDefault="00796FE4">
      <w:pPr>
        <w:pStyle w:val="TableofFigures"/>
        <w:tabs>
          <w:tab w:val="right" w:leader="dot" w:pos="8918"/>
        </w:tabs>
        <w:rPr>
          <w:rFonts w:asciiTheme="minorHAnsi" w:hAnsiTheme="minorHAnsi"/>
          <w:b w:val="0"/>
          <w:smallCaps w:val="0"/>
          <w:noProof/>
          <w:lang w:bidi="ar-SA"/>
        </w:rPr>
      </w:pPr>
      <w:hyperlink w:anchor="_Toc439931835" w:history="1">
        <w:r w:rsidR="00FA26A9" w:rsidRPr="00B20392">
          <w:rPr>
            <w:rStyle w:val="Hyperlink"/>
            <w:noProof/>
          </w:rPr>
          <w:t>Table 4: Benefits Accounted for in Cost-Effectiveness Screening</w:t>
        </w:r>
        <w:r w:rsidR="00FA26A9">
          <w:rPr>
            <w:noProof/>
            <w:webHidden/>
          </w:rPr>
          <w:tab/>
        </w:r>
        <w:r w:rsidR="00FA26A9">
          <w:rPr>
            <w:noProof/>
            <w:webHidden/>
          </w:rPr>
          <w:fldChar w:fldCharType="begin"/>
        </w:r>
        <w:r w:rsidR="00FA26A9">
          <w:rPr>
            <w:noProof/>
            <w:webHidden/>
          </w:rPr>
          <w:instrText xml:space="preserve"> PAGEREF _Toc439931835 \h </w:instrText>
        </w:r>
        <w:r w:rsidR="00FA26A9">
          <w:rPr>
            <w:noProof/>
            <w:webHidden/>
          </w:rPr>
        </w:r>
        <w:r w:rsidR="00FA26A9">
          <w:rPr>
            <w:noProof/>
            <w:webHidden/>
          </w:rPr>
          <w:fldChar w:fldCharType="separate"/>
        </w:r>
        <w:r w:rsidR="00D63667">
          <w:rPr>
            <w:noProof/>
            <w:webHidden/>
          </w:rPr>
          <w:t>26</w:t>
        </w:r>
        <w:r w:rsidR="00FA26A9">
          <w:rPr>
            <w:noProof/>
            <w:webHidden/>
          </w:rPr>
          <w:fldChar w:fldCharType="end"/>
        </w:r>
      </w:hyperlink>
    </w:p>
    <w:p w14:paraId="42BD301E" w14:textId="3D3F576F" w:rsidR="00FA26A9" w:rsidRDefault="00796FE4">
      <w:pPr>
        <w:pStyle w:val="TableofFigures"/>
        <w:tabs>
          <w:tab w:val="right" w:leader="dot" w:pos="8918"/>
        </w:tabs>
        <w:rPr>
          <w:rFonts w:asciiTheme="minorHAnsi" w:hAnsiTheme="minorHAnsi"/>
          <w:b w:val="0"/>
          <w:smallCaps w:val="0"/>
          <w:noProof/>
          <w:lang w:bidi="ar-SA"/>
        </w:rPr>
      </w:pPr>
      <w:hyperlink w:anchor="_Toc439931836" w:history="1">
        <w:r w:rsidR="00FA26A9" w:rsidRPr="00B20392">
          <w:rPr>
            <w:rStyle w:val="Hyperlink"/>
            <w:noProof/>
          </w:rPr>
          <w:t>Table 5: Coincidence Factors</w:t>
        </w:r>
        <w:r w:rsidR="00FA26A9">
          <w:rPr>
            <w:noProof/>
            <w:webHidden/>
          </w:rPr>
          <w:tab/>
        </w:r>
        <w:r w:rsidR="00FA26A9">
          <w:rPr>
            <w:noProof/>
            <w:webHidden/>
          </w:rPr>
          <w:fldChar w:fldCharType="begin"/>
        </w:r>
        <w:r w:rsidR="00FA26A9">
          <w:rPr>
            <w:noProof/>
            <w:webHidden/>
          </w:rPr>
          <w:instrText xml:space="preserve"> PAGEREF _Toc439931836 \h </w:instrText>
        </w:r>
        <w:r w:rsidR="00FA26A9">
          <w:rPr>
            <w:noProof/>
            <w:webHidden/>
          </w:rPr>
        </w:r>
        <w:r w:rsidR="00FA26A9">
          <w:rPr>
            <w:noProof/>
            <w:webHidden/>
          </w:rPr>
          <w:fldChar w:fldCharType="separate"/>
        </w:r>
        <w:r w:rsidR="00D63667">
          <w:rPr>
            <w:noProof/>
            <w:webHidden/>
          </w:rPr>
          <w:t>28</w:t>
        </w:r>
        <w:r w:rsidR="00FA26A9">
          <w:rPr>
            <w:noProof/>
            <w:webHidden/>
          </w:rPr>
          <w:fldChar w:fldCharType="end"/>
        </w:r>
      </w:hyperlink>
    </w:p>
    <w:p w14:paraId="6EEBC344" w14:textId="29CE7EE5" w:rsidR="00FA26A9" w:rsidRDefault="00796FE4">
      <w:pPr>
        <w:pStyle w:val="TableofFigures"/>
        <w:tabs>
          <w:tab w:val="right" w:leader="dot" w:pos="8918"/>
        </w:tabs>
        <w:rPr>
          <w:rFonts w:asciiTheme="minorHAnsi" w:hAnsiTheme="minorHAnsi"/>
          <w:b w:val="0"/>
          <w:smallCaps w:val="0"/>
          <w:noProof/>
          <w:lang w:bidi="ar-SA"/>
        </w:rPr>
      </w:pPr>
      <w:hyperlink w:anchor="_Toc439931837" w:history="1">
        <w:r w:rsidR="00FA26A9" w:rsidRPr="00B20392">
          <w:rPr>
            <w:rStyle w:val="Hyperlink"/>
            <w:noProof/>
          </w:rPr>
          <w:t>Table 6: Upgrade Efficiencies</w:t>
        </w:r>
        <w:r w:rsidR="00FA26A9">
          <w:rPr>
            <w:noProof/>
            <w:webHidden/>
          </w:rPr>
          <w:tab/>
        </w:r>
        <w:r w:rsidR="00FA26A9">
          <w:rPr>
            <w:noProof/>
            <w:webHidden/>
          </w:rPr>
          <w:fldChar w:fldCharType="begin"/>
        </w:r>
        <w:r w:rsidR="00FA26A9">
          <w:rPr>
            <w:noProof/>
            <w:webHidden/>
          </w:rPr>
          <w:instrText xml:space="preserve"> PAGEREF _Toc439931837 \h </w:instrText>
        </w:r>
        <w:r w:rsidR="00FA26A9">
          <w:rPr>
            <w:noProof/>
            <w:webHidden/>
          </w:rPr>
        </w:r>
        <w:r w:rsidR="00FA26A9">
          <w:rPr>
            <w:noProof/>
            <w:webHidden/>
          </w:rPr>
          <w:fldChar w:fldCharType="separate"/>
        </w:r>
        <w:r w:rsidR="00D63667">
          <w:rPr>
            <w:noProof/>
            <w:webHidden/>
          </w:rPr>
          <w:t>29</w:t>
        </w:r>
        <w:r w:rsidR="00FA26A9">
          <w:rPr>
            <w:noProof/>
            <w:webHidden/>
          </w:rPr>
          <w:fldChar w:fldCharType="end"/>
        </w:r>
      </w:hyperlink>
    </w:p>
    <w:p w14:paraId="65AF013C" w14:textId="28591F7A" w:rsidR="00FA26A9" w:rsidRDefault="00796FE4">
      <w:pPr>
        <w:pStyle w:val="TableofFigures"/>
        <w:tabs>
          <w:tab w:val="right" w:leader="dot" w:pos="8918"/>
        </w:tabs>
        <w:rPr>
          <w:rFonts w:asciiTheme="minorHAnsi" w:hAnsiTheme="minorHAnsi"/>
          <w:b w:val="0"/>
          <w:smallCaps w:val="0"/>
          <w:noProof/>
          <w:lang w:bidi="ar-SA"/>
        </w:rPr>
      </w:pPr>
      <w:hyperlink w:anchor="_Toc439931838" w:history="1">
        <w:r w:rsidR="00FA26A9" w:rsidRPr="00B20392">
          <w:rPr>
            <w:rStyle w:val="Hyperlink"/>
            <w:noProof/>
          </w:rPr>
          <w:t>Table 7: Features of Fuel Switching Groups</w:t>
        </w:r>
        <w:r w:rsidR="00FA26A9">
          <w:rPr>
            <w:noProof/>
            <w:webHidden/>
          </w:rPr>
          <w:tab/>
        </w:r>
        <w:r w:rsidR="00FA26A9">
          <w:rPr>
            <w:noProof/>
            <w:webHidden/>
          </w:rPr>
          <w:fldChar w:fldCharType="begin"/>
        </w:r>
        <w:r w:rsidR="00FA26A9">
          <w:rPr>
            <w:noProof/>
            <w:webHidden/>
          </w:rPr>
          <w:instrText xml:space="preserve"> PAGEREF _Toc439931838 \h </w:instrText>
        </w:r>
        <w:r w:rsidR="00FA26A9">
          <w:rPr>
            <w:noProof/>
            <w:webHidden/>
          </w:rPr>
        </w:r>
        <w:r w:rsidR="00FA26A9">
          <w:rPr>
            <w:noProof/>
            <w:webHidden/>
          </w:rPr>
          <w:fldChar w:fldCharType="separate"/>
        </w:r>
        <w:r w:rsidR="00D63667">
          <w:rPr>
            <w:noProof/>
            <w:webHidden/>
          </w:rPr>
          <w:t>32</w:t>
        </w:r>
        <w:r w:rsidR="00FA26A9">
          <w:rPr>
            <w:noProof/>
            <w:webHidden/>
          </w:rPr>
          <w:fldChar w:fldCharType="end"/>
        </w:r>
      </w:hyperlink>
    </w:p>
    <w:p w14:paraId="05CF4C9E" w14:textId="704149AD" w:rsidR="00FA26A9" w:rsidRDefault="00796FE4">
      <w:pPr>
        <w:pStyle w:val="TableofFigures"/>
        <w:tabs>
          <w:tab w:val="right" w:leader="dot" w:pos="8918"/>
        </w:tabs>
        <w:rPr>
          <w:rFonts w:asciiTheme="minorHAnsi" w:hAnsiTheme="minorHAnsi"/>
          <w:b w:val="0"/>
          <w:smallCaps w:val="0"/>
          <w:noProof/>
          <w:lang w:bidi="ar-SA"/>
        </w:rPr>
      </w:pPr>
      <w:hyperlink w:anchor="_Toc439931839" w:history="1">
        <w:r w:rsidR="00FA26A9" w:rsidRPr="00B20392">
          <w:rPr>
            <w:rStyle w:val="Hyperlink"/>
            <w:noProof/>
          </w:rPr>
          <w:t>Table 8: Fuel Switching Conversion Scenarios</w:t>
        </w:r>
        <w:r w:rsidR="00FA26A9">
          <w:rPr>
            <w:noProof/>
            <w:webHidden/>
          </w:rPr>
          <w:tab/>
        </w:r>
        <w:r w:rsidR="00FA26A9">
          <w:rPr>
            <w:noProof/>
            <w:webHidden/>
          </w:rPr>
          <w:fldChar w:fldCharType="begin"/>
        </w:r>
        <w:r w:rsidR="00FA26A9">
          <w:rPr>
            <w:noProof/>
            <w:webHidden/>
          </w:rPr>
          <w:instrText xml:space="preserve"> PAGEREF _Toc439931839 \h </w:instrText>
        </w:r>
        <w:r w:rsidR="00FA26A9">
          <w:rPr>
            <w:noProof/>
            <w:webHidden/>
          </w:rPr>
        </w:r>
        <w:r w:rsidR="00FA26A9">
          <w:rPr>
            <w:noProof/>
            <w:webHidden/>
          </w:rPr>
          <w:fldChar w:fldCharType="separate"/>
        </w:r>
        <w:r w:rsidR="00D63667">
          <w:rPr>
            <w:noProof/>
            <w:webHidden/>
          </w:rPr>
          <w:t>33</w:t>
        </w:r>
        <w:r w:rsidR="00FA26A9">
          <w:rPr>
            <w:noProof/>
            <w:webHidden/>
          </w:rPr>
          <w:fldChar w:fldCharType="end"/>
        </w:r>
      </w:hyperlink>
    </w:p>
    <w:p w14:paraId="7CBAF980" w14:textId="1F10D196" w:rsidR="00FA26A9" w:rsidRDefault="00796FE4">
      <w:pPr>
        <w:pStyle w:val="TableofFigures"/>
        <w:tabs>
          <w:tab w:val="right" w:leader="dot" w:pos="8918"/>
        </w:tabs>
        <w:rPr>
          <w:rFonts w:asciiTheme="minorHAnsi" w:hAnsiTheme="minorHAnsi"/>
          <w:b w:val="0"/>
          <w:smallCaps w:val="0"/>
          <w:noProof/>
          <w:lang w:bidi="ar-SA"/>
        </w:rPr>
      </w:pPr>
      <w:hyperlink w:anchor="_Toc439931840" w:history="1">
        <w:r w:rsidR="00FA26A9" w:rsidRPr="00B20392">
          <w:rPr>
            <w:rStyle w:val="Hyperlink"/>
            <w:noProof/>
          </w:rPr>
          <w:t>Table 9: Growth Rates and Annual Consumption Change</w:t>
        </w:r>
        <w:r w:rsidR="00FA26A9">
          <w:rPr>
            <w:noProof/>
            <w:webHidden/>
          </w:rPr>
          <w:tab/>
        </w:r>
        <w:r w:rsidR="00FA26A9">
          <w:rPr>
            <w:noProof/>
            <w:webHidden/>
          </w:rPr>
          <w:fldChar w:fldCharType="begin"/>
        </w:r>
        <w:r w:rsidR="00FA26A9">
          <w:rPr>
            <w:noProof/>
            <w:webHidden/>
          </w:rPr>
          <w:instrText xml:space="preserve"> PAGEREF _Toc439931840 \h </w:instrText>
        </w:r>
        <w:r w:rsidR="00FA26A9">
          <w:rPr>
            <w:noProof/>
            <w:webHidden/>
          </w:rPr>
        </w:r>
        <w:r w:rsidR="00FA26A9">
          <w:rPr>
            <w:noProof/>
            <w:webHidden/>
          </w:rPr>
          <w:fldChar w:fldCharType="separate"/>
        </w:r>
        <w:r w:rsidR="00D63667">
          <w:rPr>
            <w:noProof/>
            <w:webHidden/>
          </w:rPr>
          <w:t>33</w:t>
        </w:r>
        <w:r w:rsidR="00FA26A9">
          <w:rPr>
            <w:noProof/>
            <w:webHidden/>
          </w:rPr>
          <w:fldChar w:fldCharType="end"/>
        </w:r>
      </w:hyperlink>
    </w:p>
    <w:p w14:paraId="2C0294DE" w14:textId="6FFD7221" w:rsidR="00FA26A9" w:rsidRDefault="00796FE4">
      <w:pPr>
        <w:pStyle w:val="TableofFigures"/>
        <w:tabs>
          <w:tab w:val="right" w:leader="dot" w:pos="8918"/>
        </w:tabs>
        <w:rPr>
          <w:rFonts w:asciiTheme="minorHAnsi" w:hAnsiTheme="minorHAnsi"/>
          <w:b w:val="0"/>
          <w:smallCaps w:val="0"/>
          <w:noProof/>
          <w:lang w:bidi="ar-SA"/>
        </w:rPr>
      </w:pPr>
      <w:hyperlink w:anchor="_Toc439931841" w:history="1">
        <w:r w:rsidR="00FA26A9" w:rsidRPr="00B20392">
          <w:rPr>
            <w:rStyle w:val="Hyperlink"/>
            <w:noProof/>
          </w:rPr>
          <w:t>Table 10: Sample Design—Planned &amp; Actual with Sampling Error</w:t>
        </w:r>
        <w:r w:rsidR="00FA26A9">
          <w:rPr>
            <w:noProof/>
            <w:webHidden/>
          </w:rPr>
          <w:tab/>
        </w:r>
        <w:r w:rsidR="00FA26A9">
          <w:rPr>
            <w:noProof/>
            <w:webHidden/>
          </w:rPr>
          <w:fldChar w:fldCharType="begin"/>
        </w:r>
        <w:r w:rsidR="00FA26A9">
          <w:rPr>
            <w:noProof/>
            <w:webHidden/>
          </w:rPr>
          <w:instrText xml:space="preserve"> PAGEREF _Toc439931841 \h </w:instrText>
        </w:r>
        <w:r w:rsidR="00FA26A9">
          <w:rPr>
            <w:noProof/>
            <w:webHidden/>
          </w:rPr>
        </w:r>
        <w:r w:rsidR="00FA26A9">
          <w:rPr>
            <w:noProof/>
            <w:webHidden/>
          </w:rPr>
          <w:fldChar w:fldCharType="separate"/>
        </w:r>
        <w:r w:rsidR="00D63667">
          <w:rPr>
            <w:noProof/>
            <w:webHidden/>
          </w:rPr>
          <w:t>35</w:t>
        </w:r>
        <w:r w:rsidR="00FA26A9">
          <w:rPr>
            <w:noProof/>
            <w:webHidden/>
          </w:rPr>
          <w:fldChar w:fldCharType="end"/>
        </w:r>
      </w:hyperlink>
    </w:p>
    <w:p w14:paraId="7A15DBBE" w14:textId="1617DBB6" w:rsidR="00FA26A9" w:rsidRDefault="00796FE4">
      <w:pPr>
        <w:pStyle w:val="TableofFigures"/>
        <w:tabs>
          <w:tab w:val="right" w:leader="dot" w:pos="8918"/>
        </w:tabs>
        <w:rPr>
          <w:rFonts w:asciiTheme="minorHAnsi" w:hAnsiTheme="minorHAnsi"/>
          <w:b w:val="0"/>
          <w:smallCaps w:val="0"/>
          <w:noProof/>
          <w:lang w:bidi="ar-SA"/>
        </w:rPr>
      </w:pPr>
      <w:hyperlink w:anchor="_Toc439931842" w:history="1">
        <w:r w:rsidR="00FA26A9" w:rsidRPr="00B20392">
          <w:rPr>
            <w:rStyle w:val="Hyperlink"/>
            <w:noProof/>
          </w:rPr>
          <w:t>Table 11: Potential Study Population Weights</w:t>
        </w:r>
        <w:r w:rsidR="00FA26A9">
          <w:rPr>
            <w:noProof/>
            <w:webHidden/>
          </w:rPr>
          <w:tab/>
        </w:r>
        <w:r w:rsidR="00FA26A9">
          <w:rPr>
            <w:noProof/>
            <w:webHidden/>
          </w:rPr>
          <w:fldChar w:fldCharType="begin"/>
        </w:r>
        <w:r w:rsidR="00FA26A9">
          <w:rPr>
            <w:noProof/>
            <w:webHidden/>
          </w:rPr>
          <w:instrText xml:space="preserve"> PAGEREF _Toc439931842 \h </w:instrText>
        </w:r>
        <w:r w:rsidR="00FA26A9">
          <w:rPr>
            <w:noProof/>
            <w:webHidden/>
          </w:rPr>
        </w:r>
        <w:r w:rsidR="00FA26A9">
          <w:rPr>
            <w:noProof/>
            <w:webHidden/>
          </w:rPr>
          <w:fldChar w:fldCharType="separate"/>
        </w:r>
        <w:r w:rsidR="00D63667">
          <w:rPr>
            <w:noProof/>
            <w:webHidden/>
          </w:rPr>
          <w:t>36</w:t>
        </w:r>
        <w:r w:rsidR="00FA26A9">
          <w:rPr>
            <w:noProof/>
            <w:webHidden/>
          </w:rPr>
          <w:fldChar w:fldCharType="end"/>
        </w:r>
      </w:hyperlink>
    </w:p>
    <w:p w14:paraId="339BF2B9" w14:textId="5318DCAE" w:rsidR="00FA26A9" w:rsidRDefault="00796FE4">
      <w:pPr>
        <w:pStyle w:val="TableofFigures"/>
        <w:tabs>
          <w:tab w:val="right" w:leader="dot" w:pos="8918"/>
        </w:tabs>
        <w:rPr>
          <w:rFonts w:asciiTheme="minorHAnsi" w:hAnsiTheme="minorHAnsi"/>
          <w:b w:val="0"/>
          <w:smallCaps w:val="0"/>
          <w:noProof/>
          <w:lang w:bidi="ar-SA"/>
        </w:rPr>
      </w:pPr>
      <w:hyperlink w:anchor="_Toc439931843" w:history="1">
        <w:r w:rsidR="00FA26A9" w:rsidRPr="00B20392">
          <w:rPr>
            <w:rStyle w:val="Hyperlink"/>
            <w:noProof/>
          </w:rPr>
          <w:t>Table 12: Savings from All Applicable Measures—Ten-Year Aggregate (2016 to 2025)*</w:t>
        </w:r>
        <w:r w:rsidR="00FA26A9">
          <w:rPr>
            <w:noProof/>
            <w:webHidden/>
          </w:rPr>
          <w:tab/>
        </w:r>
        <w:r w:rsidR="00FA26A9">
          <w:rPr>
            <w:noProof/>
            <w:webHidden/>
          </w:rPr>
          <w:fldChar w:fldCharType="begin"/>
        </w:r>
        <w:r w:rsidR="00FA26A9">
          <w:rPr>
            <w:noProof/>
            <w:webHidden/>
          </w:rPr>
          <w:instrText xml:space="preserve"> PAGEREF _Toc439931843 \h </w:instrText>
        </w:r>
        <w:r w:rsidR="00FA26A9">
          <w:rPr>
            <w:noProof/>
            <w:webHidden/>
          </w:rPr>
        </w:r>
        <w:r w:rsidR="00FA26A9">
          <w:rPr>
            <w:noProof/>
            <w:webHidden/>
          </w:rPr>
          <w:fldChar w:fldCharType="separate"/>
        </w:r>
        <w:r w:rsidR="00D63667">
          <w:rPr>
            <w:noProof/>
            <w:webHidden/>
          </w:rPr>
          <w:t>40</w:t>
        </w:r>
        <w:r w:rsidR="00FA26A9">
          <w:rPr>
            <w:noProof/>
            <w:webHidden/>
          </w:rPr>
          <w:fldChar w:fldCharType="end"/>
        </w:r>
      </w:hyperlink>
    </w:p>
    <w:p w14:paraId="00BB6FDD" w14:textId="2DB43E77" w:rsidR="00FA26A9" w:rsidRDefault="00796FE4">
      <w:pPr>
        <w:pStyle w:val="TableofFigures"/>
        <w:tabs>
          <w:tab w:val="right" w:leader="dot" w:pos="8918"/>
        </w:tabs>
        <w:rPr>
          <w:rFonts w:asciiTheme="minorHAnsi" w:hAnsiTheme="minorHAnsi"/>
          <w:b w:val="0"/>
          <w:smallCaps w:val="0"/>
          <w:noProof/>
          <w:lang w:bidi="ar-SA"/>
        </w:rPr>
      </w:pPr>
      <w:hyperlink w:anchor="_Toc439931844" w:history="1">
        <w:r w:rsidR="00FA26A9" w:rsidRPr="00B20392">
          <w:rPr>
            <w:rStyle w:val="Hyperlink"/>
            <w:noProof/>
          </w:rPr>
          <w:t>Table 13: Total Technical Savings Potential by End Use—First-Year</w:t>
        </w:r>
        <w:r w:rsidR="00FA26A9" w:rsidRPr="00B20392">
          <w:rPr>
            <w:rStyle w:val="Hyperlink"/>
            <w:noProof/>
            <w:vertAlign w:val="superscript"/>
          </w:rPr>
          <w:t>*</w:t>
        </w:r>
        <w:r w:rsidR="00FA26A9">
          <w:rPr>
            <w:noProof/>
            <w:webHidden/>
          </w:rPr>
          <w:tab/>
        </w:r>
        <w:r w:rsidR="00FA26A9">
          <w:rPr>
            <w:noProof/>
            <w:webHidden/>
          </w:rPr>
          <w:fldChar w:fldCharType="begin"/>
        </w:r>
        <w:r w:rsidR="00FA26A9">
          <w:rPr>
            <w:noProof/>
            <w:webHidden/>
          </w:rPr>
          <w:instrText xml:space="preserve"> PAGEREF _Toc439931844 \h </w:instrText>
        </w:r>
        <w:r w:rsidR="00FA26A9">
          <w:rPr>
            <w:noProof/>
            <w:webHidden/>
          </w:rPr>
        </w:r>
        <w:r w:rsidR="00FA26A9">
          <w:rPr>
            <w:noProof/>
            <w:webHidden/>
          </w:rPr>
          <w:fldChar w:fldCharType="separate"/>
        </w:r>
        <w:r w:rsidR="00D63667">
          <w:rPr>
            <w:noProof/>
            <w:webHidden/>
          </w:rPr>
          <w:t>41</w:t>
        </w:r>
        <w:r w:rsidR="00FA26A9">
          <w:rPr>
            <w:noProof/>
            <w:webHidden/>
          </w:rPr>
          <w:fldChar w:fldCharType="end"/>
        </w:r>
      </w:hyperlink>
    </w:p>
    <w:p w14:paraId="31BF1DCB" w14:textId="1F815129" w:rsidR="00FA26A9" w:rsidRDefault="00796FE4">
      <w:pPr>
        <w:pStyle w:val="TableofFigures"/>
        <w:tabs>
          <w:tab w:val="right" w:leader="dot" w:pos="8918"/>
        </w:tabs>
        <w:rPr>
          <w:rFonts w:asciiTheme="minorHAnsi" w:hAnsiTheme="minorHAnsi"/>
          <w:b w:val="0"/>
          <w:smallCaps w:val="0"/>
          <w:noProof/>
          <w:lang w:bidi="ar-SA"/>
        </w:rPr>
      </w:pPr>
      <w:hyperlink w:anchor="_Toc439931845" w:history="1">
        <w:r w:rsidR="00FA26A9" w:rsidRPr="00B20392">
          <w:rPr>
            <w:rStyle w:val="Hyperlink"/>
            <w:noProof/>
          </w:rPr>
          <w:t>Table 14: Total Technical Savings Potential by End Use—First-Year (Percentage of Overall MMBtu Savings)</w:t>
        </w:r>
        <w:r w:rsidR="00FA26A9" w:rsidRPr="00B20392">
          <w:rPr>
            <w:rStyle w:val="Hyperlink"/>
            <w:noProof/>
            <w:vertAlign w:val="superscript"/>
          </w:rPr>
          <w:t>*</w:t>
        </w:r>
        <w:r w:rsidR="00FA26A9">
          <w:rPr>
            <w:noProof/>
            <w:webHidden/>
          </w:rPr>
          <w:tab/>
        </w:r>
        <w:r w:rsidR="00FA26A9">
          <w:rPr>
            <w:noProof/>
            <w:webHidden/>
          </w:rPr>
          <w:fldChar w:fldCharType="begin"/>
        </w:r>
        <w:r w:rsidR="00FA26A9">
          <w:rPr>
            <w:noProof/>
            <w:webHidden/>
          </w:rPr>
          <w:instrText xml:space="preserve"> PAGEREF _Toc439931845 \h </w:instrText>
        </w:r>
        <w:r w:rsidR="00FA26A9">
          <w:rPr>
            <w:noProof/>
            <w:webHidden/>
          </w:rPr>
        </w:r>
        <w:r w:rsidR="00FA26A9">
          <w:rPr>
            <w:noProof/>
            <w:webHidden/>
          </w:rPr>
          <w:fldChar w:fldCharType="separate"/>
        </w:r>
        <w:r w:rsidR="00D63667">
          <w:rPr>
            <w:noProof/>
            <w:webHidden/>
          </w:rPr>
          <w:t>42</w:t>
        </w:r>
        <w:r w:rsidR="00FA26A9">
          <w:rPr>
            <w:noProof/>
            <w:webHidden/>
          </w:rPr>
          <w:fldChar w:fldCharType="end"/>
        </w:r>
      </w:hyperlink>
    </w:p>
    <w:p w14:paraId="0BE6CA8B" w14:textId="57CCA636" w:rsidR="00FA26A9" w:rsidRDefault="00796FE4">
      <w:pPr>
        <w:pStyle w:val="TableofFigures"/>
        <w:tabs>
          <w:tab w:val="right" w:leader="dot" w:pos="8918"/>
        </w:tabs>
        <w:rPr>
          <w:rFonts w:asciiTheme="minorHAnsi" w:hAnsiTheme="minorHAnsi"/>
          <w:b w:val="0"/>
          <w:smallCaps w:val="0"/>
          <w:noProof/>
          <w:lang w:bidi="ar-SA"/>
        </w:rPr>
      </w:pPr>
      <w:hyperlink w:anchor="_Toc439931846" w:history="1">
        <w:r w:rsidR="00FA26A9" w:rsidRPr="00B20392">
          <w:rPr>
            <w:rStyle w:val="Hyperlink"/>
            <w:noProof/>
          </w:rPr>
          <w:t>Table 15: Fuel Type Share of Baseline Consumption and Savings Potential</w:t>
        </w:r>
        <w:r w:rsidR="00FA26A9">
          <w:rPr>
            <w:noProof/>
            <w:webHidden/>
          </w:rPr>
          <w:tab/>
        </w:r>
        <w:r w:rsidR="00FA26A9">
          <w:rPr>
            <w:noProof/>
            <w:webHidden/>
          </w:rPr>
          <w:fldChar w:fldCharType="begin"/>
        </w:r>
        <w:r w:rsidR="00FA26A9">
          <w:rPr>
            <w:noProof/>
            <w:webHidden/>
          </w:rPr>
          <w:instrText xml:space="preserve"> PAGEREF _Toc439931846 \h </w:instrText>
        </w:r>
        <w:r w:rsidR="00FA26A9">
          <w:rPr>
            <w:noProof/>
            <w:webHidden/>
          </w:rPr>
        </w:r>
        <w:r w:rsidR="00FA26A9">
          <w:rPr>
            <w:noProof/>
            <w:webHidden/>
          </w:rPr>
          <w:fldChar w:fldCharType="separate"/>
        </w:r>
        <w:r w:rsidR="00D63667">
          <w:rPr>
            <w:noProof/>
            <w:webHidden/>
          </w:rPr>
          <w:t>44</w:t>
        </w:r>
        <w:r w:rsidR="00FA26A9">
          <w:rPr>
            <w:noProof/>
            <w:webHidden/>
          </w:rPr>
          <w:fldChar w:fldCharType="end"/>
        </w:r>
      </w:hyperlink>
    </w:p>
    <w:p w14:paraId="2FF4F4A7" w14:textId="361EC55E" w:rsidR="00FA26A9" w:rsidRDefault="00796FE4">
      <w:pPr>
        <w:pStyle w:val="TableofFigures"/>
        <w:tabs>
          <w:tab w:val="right" w:leader="dot" w:pos="8918"/>
        </w:tabs>
        <w:rPr>
          <w:rFonts w:asciiTheme="minorHAnsi" w:hAnsiTheme="minorHAnsi"/>
          <w:b w:val="0"/>
          <w:smallCaps w:val="0"/>
          <w:noProof/>
          <w:lang w:bidi="ar-SA"/>
        </w:rPr>
      </w:pPr>
      <w:hyperlink w:anchor="_Toc439931847" w:history="1">
        <w:r w:rsidR="00FA26A9" w:rsidRPr="00B20392">
          <w:rPr>
            <w:rStyle w:val="Hyperlink"/>
            <w:noProof/>
          </w:rPr>
          <w:t>Table 16: Technical Peak Electric Demand Savings Estimates (MW)</w:t>
        </w:r>
        <w:r w:rsidR="00FA26A9" w:rsidRPr="00B20392">
          <w:rPr>
            <w:rStyle w:val="Hyperlink"/>
            <w:noProof/>
            <w:vertAlign w:val="superscript"/>
          </w:rPr>
          <w:t>*</w:t>
        </w:r>
        <w:r w:rsidR="00FA26A9">
          <w:rPr>
            <w:noProof/>
            <w:webHidden/>
          </w:rPr>
          <w:tab/>
        </w:r>
        <w:r w:rsidR="00FA26A9">
          <w:rPr>
            <w:noProof/>
            <w:webHidden/>
          </w:rPr>
          <w:fldChar w:fldCharType="begin"/>
        </w:r>
        <w:r w:rsidR="00FA26A9">
          <w:rPr>
            <w:noProof/>
            <w:webHidden/>
          </w:rPr>
          <w:instrText xml:space="preserve"> PAGEREF _Toc439931847 \h </w:instrText>
        </w:r>
        <w:r w:rsidR="00FA26A9">
          <w:rPr>
            <w:noProof/>
            <w:webHidden/>
          </w:rPr>
        </w:r>
        <w:r w:rsidR="00FA26A9">
          <w:rPr>
            <w:noProof/>
            <w:webHidden/>
          </w:rPr>
          <w:fldChar w:fldCharType="separate"/>
        </w:r>
        <w:r w:rsidR="00D63667">
          <w:rPr>
            <w:noProof/>
            <w:webHidden/>
          </w:rPr>
          <w:t>46</w:t>
        </w:r>
        <w:r w:rsidR="00FA26A9">
          <w:rPr>
            <w:noProof/>
            <w:webHidden/>
          </w:rPr>
          <w:fldChar w:fldCharType="end"/>
        </w:r>
      </w:hyperlink>
    </w:p>
    <w:p w14:paraId="635A64B3" w14:textId="1345387C" w:rsidR="00FA26A9" w:rsidRDefault="00796FE4">
      <w:pPr>
        <w:pStyle w:val="TableofFigures"/>
        <w:tabs>
          <w:tab w:val="right" w:leader="dot" w:pos="8918"/>
        </w:tabs>
        <w:rPr>
          <w:rFonts w:asciiTheme="minorHAnsi" w:hAnsiTheme="minorHAnsi"/>
          <w:b w:val="0"/>
          <w:smallCaps w:val="0"/>
          <w:noProof/>
          <w:lang w:bidi="ar-SA"/>
        </w:rPr>
      </w:pPr>
      <w:hyperlink w:anchor="_Toc439931848" w:history="1">
        <w:r w:rsidR="00FA26A9" w:rsidRPr="00B20392">
          <w:rPr>
            <w:rStyle w:val="Hyperlink"/>
            <w:noProof/>
          </w:rPr>
          <w:t>Table 17: Building Shell Savings Potential—First-Year</w:t>
        </w:r>
        <w:r w:rsidR="00FA26A9">
          <w:rPr>
            <w:noProof/>
            <w:webHidden/>
          </w:rPr>
          <w:tab/>
        </w:r>
        <w:r w:rsidR="00FA26A9">
          <w:rPr>
            <w:noProof/>
            <w:webHidden/>
          </w:rPr>
          <w:fldChar w:fldCharType="begin"/>
        </w:r>
        <w:r w:rsidR="00FA26A9">
          <w:rPr>
            <w:noProof/>
            <w:webHidden/>
          </w:rPr>
          <w:instrText xml:space="preserve"> PAGEREF _Toc439931848 \h </w:instrText>
        </w:r>
        <w:r w:rsidR="00FA26A9">
          <w:rPr>
            <w:noProof/>
            <w:webHidden/>
          </w:rPr>
        </w:r>
        <w:r w:rsidR="00FA26A9">
          <w:rPr>
            <w:noProof/>
            <w:webHidden/>
          </w:rPr>
          <w:fldChar w:fldCharType="separate"/>
        </w:r>
        <w:r w:rsidR="00D63667">
          <w:rPr>
            <w:noProof/>
            <w:webHidden/>
          </w:rPr>
          <w:t>47</w:t>
        </w:r>
        <w:r w:rsidR="00FA26A9">
          <w:rPr>
            <w:noProof/>
            <w:webHidden/>
          </w:rPr>
          <w:fldChar w:fldCharType="end"/>
        </w:r>
      </w:hyperlink>
    </w:p>
    <w:p w14:paraId="1DD607CD" w14:textId="703F02E2" w:rsidR="00FA26A9" w:rsidRDefault="00796FE4">
      <w:pPr>
        <w:pStyle w:val="TableofFigures"/>
        <w:tabs>
          <w:tab w:val="right" w:leader="dot" w:pos="8918"/>
        </w:tabs>
        <w:rPr>
          <w:rFonts w:asciiTheme="minorHAnsi" w:hAnsiTheme="minorHAnsi"/>
          <w:b w:val="0"/>
          <w:smallCaps w:val="0"/>
          <w:noProof/>
          <w:lang w:bidi="ar-SA"/>
        </w:rPr>
      </w:pPr>
      <w:hyperlink w:anchor="_Toc439931849" w:history="1">
        <w:r w:rsidR="00FA26A9" w:rsidRPr="00B20392">
          <w:rPr>
            <w:rStyle w:val="Hyperlink"/>
            <w:noProof/>
          </w:rPr>
          <w:t>Table 18: HVAC Savings Potential—First-Year</w:t>
        </w:r>
        <w:r w:rsidR="00FA26A9">
          <w:rPr>
            <w:noProof/>
            <w:webHidden/>
          </w:rPr>
          <w:tab/>
        </w:r>
        <w:r w:rsidR="00FA26A9">
          <w:rPr>
            <w:noProof/>
            <w:webHidden/>
          </w:rPr>
          <w:fldChar w:fldCharType="begin"/>
        </w:r>
        <w:r w:rsidR="00FA26A9">
          <w:rPr>
            <w:noProof/>
            <w:webHidden/>
          </w:rPr>
          <w:instrText xml:space="preserve"> PAGEREF _Toc439931849 \h </w:instrText>
        </w:r>
        <w:r w:rsidR="00FA26A9">
          <w:rPr>
            <w:noProof/>
            <w:webHidden/>
          </w:rPr>
        </w:r>
        <w:r w:rsidR="00FA26A9">
          <w:rPr>
            <w:noProof/>
            <w:webHidden/>
          </w:rPr>
          <w:fldChar w:fldCharType="separate"/>
        </w:r>
        <w:r w:rsidR="00D63667">
          <w:rPr>
            <w:noProof/>
            <w:webHidden/>
          </w:rPr>
          <w:t>48</w:t>
        </w:r>
        <w:r w:rsidR="00FA26A9">
          <w:rPr>
            <w:noProof/>
            <w:webHidden/>
          </w:rPr>
          <w:fldChar w:fldCharType="end"/>
        </w:r>
      </w:hyperlink>
    </w:p>
    <w:p w14:paraId="36F5FA52" w14:textId="4A742CED" w:rsidR="00FA26A9" w:rsidRDefault="00796FE4">
      <w:pPr>
        <w:pStyle w:val="TableofFigures"/>
        <w:tabs>
          <w:tab w:val="right" w:leader="dot" w:pos="8918"/>
        </w:tabs>
        <w:rPr>
          <w:rFonts w:asciiTheme="minorHAnsi" w:hAnsiTheme="minorHAnsi"/>
          <w:b w:val="0"/>
          <w:smallCaps w:val="0"/>
          <w:noProof/>
          <w:lang w:bidi="ar-SA"/>
        </w:rPr>
      </w:pPr>
      <w:hyperlink w:anchor="_Toc439931850" w:history="1">
        <w:r w:rsidR="00FA26A9" w:rsidRPr="00B20392">
          <w:rPr>
            <w:rStyle w:val="Hyperlink"/>
            <w:noProof/>
          </w:rPr>
          <w:t>Table 19: Water Heating Savings Potential—First-Year</w:t>
        </w:r>
        <w:r w:rsidR="00FA26A9" w:rsidRPr="00B20392">
          <w:rPr>
            <w:rStyle w:val="Hyperlink"/>
            <w:noProof/>
            <w:vertAlign w:val="superscript"/>
          </w:rPr>
          <w:t>i</w:t>
        </w:r>
        <w:r w:rsidR="00FA26A9">
          <w:rPr>
            <w:noProof/>
            <w:webHidden/>
          </w:rPr>
          <w:tab/>
        </w:r>
        <w:r w:rsidR="00FA26A9">
          <w:rPr>
            <w:noProof/>
            <w:webHidden/>
          </w:rPr>
          <w:fldChar w:fldCharType="begin"/>
        </w:r>
        <w:r w:rsidR="00FA26A9">
          <w:rPr>
            <w:noProof/>
            <w:webHidden/>
          </w:rPr>
          <w:instrText xml:space="preserve"> PAGEREF _Toc439931850 \h </w:instrText>
        </w:r>
        <w:r w:rsidR="00FA26A9">
          <w:rPr>
            <w:noProof/>
            <w:webHidden/>
          </w:rPr>
        </w:r>
        <w:r w:rsidR="00FA26A9">
          <w:rPr>
            <w:noProof/>
            <w:webHidden/>
          </w:rPr>
          <w:fldChar w:fldCharType="separate"/>
        </w:r>
        <w:r w:rsidR="00D63667">
          <w:rPr>
            <w:noProof/>
            <w:webHidden/>
          </w:rPr>
          <w:t>49</w:t>
        </w:r>
        <w:r w:rsidR="00FA26A9">
          <w:rPr>
            <w:noProof/>
            <w:webHidden/>
          </w:rPr>
          <w:fldChar w:fldCharType="end"/>
        </w:r>
      </w:hyperlink>
    </w:p>
    <w:p w14:paraId="1590F422" w14:textId="7D9C65F6" w:rsidR="00FA26A9" w:rsidRDefault="00796FE4">
      <w:pPr>
        <w:pStyle w:val="TableofFigures"/>
        <w:tabs>
          <w:tab w:val="right" w:leader="dot" w:pos="8918"/>
        </w:tabs>
        <w:rPr>
          <w:rFonts w:asciiTheme="minorHAnsi" w:hAnsiTheme="minorHAnsi"/>
          <w:b w:val="0"/>
          <w:smallCaps w:val="0"/>
          <w:noProof/>
          <w:lang w:bidi="ar-SA"/>
        </w:rPr>
      </w:pPr>
      <w:hyperlink w:anchor="_Toc439931851" w:history="1">
        <w:r w:rsidR="00FA26A9" w:rsidRPr="00B20392">
          <w:rPr>
            <w:rStyle w:val="Hyperlink"/>
            <w:noProof/>
          </w:rPr>
          <w:t>Table 20: Appliance Savings Potential—First-Year</w:t>
        </w:r>
        <w:r w:rsidR="00FA26A9">
          <w:rPr>
            <w:noProof/>
            <w:webHidden/>
          </w:rPr>
          <w:tab/>
        </w:r>
        <w:r w:rsidR="00FA26A9">
          <w:rPr>
            <w:noProof/>
            <w:webHidden/>
          </w:rPr>
          <w:fldChar w:fldCharType="begin"/>
        </w:r>
        <w:r w:rsidR="00FA26A9">
          <w:rPr>
            <w:noProof/>
            <w:webHidden/>
          </w:rPr>
          <w:instrText xml:space="preserve"> PAGEREF _Toc439931851 \h </w:instrText>
        </w:r>
        <w:r w:rsidR="00FA26A9">
          <w:rPr>
            <w:noProof/>
            <w:webHidden/>
          </w:rPr>
        </w:r>
        <w:r w:rsidR="00FA26A9">
          <w:rPr>
            <w:noProof/>
            <w:webHidden/>
          </w:rPr>
          <w:fldChar w:fldCharType="separate"/>
        </w:r>
        <w:r w:rsidR="00D63667">
          <w:rPr>
            <w:noProof/>
            <w:webHidden/>
          </w:rPr>
          <w:t>50</w:t>
        </w:r>
        <w:r w:rsidR="00FA26A9">
          <w:rPr>
            <w:noProof/>
            <w:webHidden/>
          </w:rPr>
          <w:fldChar w:fldCharType="end"/>
        </w:r>
      </w:hyperlink>
    </w:p>
    <w:p w14:paraId="74F275BE" w14:textId="1066EC90" w:rsidR="00FA26A9" w:rsidRDefault="00796FE4">
      <w:pPr>
        <w:pStyle w:val="TableofFigures"/>
        <w:tabs>
          <w:tab w:val="right" w:leader="dot" w:pos="8918"/>
        </w:tabs>
        <w:rPr>
          <w:rFonts w:asciiTheme="minorHAnsi" w:hAnsiTheme="minorHAnsi"/>
          <w:b w:val="0"/>
          <w:smallCaps w:val="0"/>
          <w:noProof/>
          <w:lang w:bidi="ar-SA"/>
        </w:rPr>
      </w:pPr>
      <w:hyperlink w:anchor="_Toc439931852" w:history="1">
        <w:r w:rsidR="00FA26A9" w:rsidRPr="00B20392">
          <w:rPr>
            <w:rStyle w:val="Hyperlink"/>
            <w:noProof/>
          </w:rPr>
          <w:t>Table 21: Heat Pumps and Solar Technologies Savings Potential—First-Year</w:t>
        </w:r>
        <w:r w:rsidR="00FA26A9">
          <w:rPr>
            <w:noProof/>
            <w:webHidden/>
          </w:rPr>
          <w:tab/>
        </w:r>
        <w:r w:rsidR="00FA26A9">
          <w:rPr>
            <w:noProof/>
            <w:webHidden/>
          </w:rPr>
          <w:fldChar w:fldCharType="begin"/>
        </w:r>
        <w:r w:rsidR="00FA26A9">
          <w:rPr>
            <w:noProof/>
            <w:webHidden/>
          </w:rPr>
          <w:instrText xml:space="preserve"> PAGEREF _Toc439931852 \h </w:instrText>
        </w:r>
        <w:r w:rsidR="00FA26A9">
          <w:rPr>
            <w:noProof/>
            <w:webHidden/>
          </w:rPr>
        </w:r>
        <w:r w:rsidR="00FA26A9">
          <w:rPr>
            <w:noProof/>
            <w:webHidden/>
          </w:rPr>
          <w:fldChar w:fldCharType="separate"/>
        </w:r>
        <w:r w:rsidR="00D63667">
          <w:rPr>
            <w:noProof/>
            <w:webHidden/>
          </w:rPr>
          <w:t>51</w:t>
        </w:r>
        <w:r w:rsidR="00FA26A9">
          <w:rPr>
            <w:noProof/>
            <w:webHidden/>
          </w:rPr>
          <w:fldChar w:fldCharType="end"/>
        </w:r>
      </w:hyperlink>
    </w:p>
    <w:p w14:paraId="149BFF79" w14:textId="2F28FD75" w:rsidR="00FA26A9" w:rsidRDefault="00796FE4">
      <w:pPr>
        <w:pStyle w:val="TableofFigures"/>
        <w:tabs>
          <w:tab w:val="right" w:leader="dot" w:pos="8918"/>
        </w:tabs>
        <w:rPr>
          <w:rFonts w:asciiTheme="minorHAnsi" w:hAnsiTheme="minorHAnsi"/>
          <w:b w:val="0"/>
          <w:smallCaps w:val="0"/>
          <w:noProof/>
          <w:lang w:bidi="ar-SA"/>
        </w:rPr>
      </w:pPr>
      <w:hyperlink w:anchor="_Toc439931853" w:history="1">
        <w:r w:rsidR="00FA26A9" w:rsidRPr="00B20392">
          <w:rPr>
            <w:rStyle w:val="Hyperlink"/>
            <w:noProof/>
          </w:rPr>
          <w:t>Table 22: Savings from Non-REM Measures—First-Year</w:t>
        </w:r>
        <w:r w:rsidR="00FA26A9">
          <w:rPr>
            <w:noProof/>
            <w:webHidden/>
          </w:rPr>
          <w:tab/>
        </w:r>
        <w:r w:rsidR="00FA26A9">
          <w:rPr>
            <w:noProof/>
            <w:webHidden/>
          </w:rPr>
          <w:fldChar w:fldCharType="begin"/>
        </w:r>
        <w:r w:rsidR="00FA26A9">
          <w:rPr>
            <w:noProof/>
            <w:webHidden/>
          </w:rPr>
          <w:instrText xml:space="preserve"> PAGEREF _Toc439931853 \h </w:instrText>
        </w:r>
        <w:r w:rsidR="00FA26A9">
          <w:rPr>
            <w:noProof/>
            <w:webHidden/>
          </w:rPr>
        </w:r>
        <w:r w:rsidR="00FA26A9">
          <w:rPr>
            <w:noProof/>
            <w:webHidden/>
          </w:rPr>
          <w:fldChar w:fldCharType="separate"/>
        </w:r>
        <w:r w:rsidR="00D63667">
          <w:rPr>
            <w:noProof/>
            <w:webHidden/>
          </w:rPr>
          <w:t>52</w:t>
        </w:r>
        <w:r w:rsidR="00FA26A9">
          <w:rPr>
            <w:noProof/>
            <w:webHidden/>
          </w:rPr>
          <w:fldChar w:fldCharType="end"/>
        </w:r>
      </w:hyperlink>
    </w:p>
    <w:p w14:paraId="3FA48BC4" w14:textId="553000D4" w:rsidR="00FA26A9" w:rsidRDefault="00796FE4">
      <w:pPr>
        <w:pStyle w:val="TableofFigures"/>
        <w:tabs>
          <w:tab w:val="right" w:leader="dot" w:pos="8918"/>
        </w:tabs>
        <w:rPr>
          <w:rFonts w:asciiTheme="minorHAnsi" w:hAnsiTheme="minorHAnsi"/>
          <w:b w:val="0"/>
          <w:smallCaps w:val="0"/>
          <w:noProof/>
          <w:lang w:bidi="ar-SA"/>
        </w:rPr>
      </w:pPr>
      <w:hyperlink w:anchor="_Toc439931854" w:history="1">
        <w:r w:rsidR="00FA26A9" w:rsidRPr="00B20392">
          <w:rPr>
            <w:rStyle w:val="Hyperlink"/>
            <w:noProof/>
          </w:rPr>
          <w:t>Table 23: Screening Results—Measures with Mean TRC Ratio ≥ 1.0</w:t>
        </w:r>
        <w:r w:rsidR="00FA26A9">
          <w:rPr>
            <w:noProof/>
            <w:webHidden/>
          </w:rPr>
          <w:tab/>
        </w:r>
        <w:r w:rsidR="00FA26A9">
          <w:rPr>
            <w:noProof/>
            <w:webHidden/>
          </w:rPr>
          <w:fldChar w:fldCharType="begin"/>
        </w:r>
        <w:r w:rsidR="00FA26A9">
          <w:rPr>
            <w:noProof/>
            <w:webHidden/>
          </w:rPr>
          <w:instrText xml:space="preserve"> PAGEREF _Toc439931854 \h </w:instrText>
        </w:r>
        <w:r w:rsidR="00FA26A9">
          <w:rPr>
            <w:noProof/>
            <w:webHidden/>
          </w:rPr>
        </w:r>
        <w:r w:rsidR="00FA26A9">
          <w:rPr>
            <w:noProof/>
            <w:webHidden/>
          </w:rPr>
          <w:fldChar w:fldCharType="separate"/>
        </w:r>
        <w:r w:rsidR="00D63667">
          <w:rPr>
            <w:noProof/>
            <w:webHidden/>
          </w:rPr>
          <w:t>54</w:t>
        </w:r>
        <w:r w:rsidR="00FA26A9">
          <w:rPr>
            <w:noProof/>
            <w:webHidden/>
          </w:rPr>
          <w:fldChar w:fldCharType="end"/>
        </w:r>
      </w:hyperlink>
    </w:p>
    <w:p w14:paraId="2692AAA2" w14:textId="10C86861" w:rsidR="00FA26A9" w:rsidRDefault="00796FE4">
      <w:pPr>
        <w:pStyle w:val="TableofFigures"/>
        <w:tabs>
          <w:tab w:val="right" w:leader="dot" w:pos="8918"/>
        </w:tabs>
        <w:rPr>
          <w:rFonts w:asciiTheme="minorHAnsi" w:hAnsiTheme="minorHAnsi"/>
          <w:b w:val="0"/>
          <w:smallCaps w:val="0"/>
          <w:noProof/>
          <w:lang w:bidi="ar-SA"/>
        </w:rPr>
      </w:pPr>
      <w:hyperlink w:anchor="_Toc439931855" w:history="1">
        <w:r w:rsidR="00FA26A9" w:rsidRPr="00B20392">
          <w:rPr>
            <w:rStyle w:val="Hyperlink"/>
            <w:noProof/>
          </w:rPr>
          <w:t>Table 24: Screening Results—Measures with Mean TRC Ratio &lt; 1.0</w:t>
        </w:r>
        <w:r w:rsidR="00FA26A9">
          <w:rPr>
            <w:noProof/>
            <w:webHidden/>
          </w:rPr>
          <w:tab/>
        </w:r>
        <w:r w:rsidR="00FA26A9">
          <w:rPr>
            <w:noProof/>
            <w:webHidden/>
          </w:rPr>
          <w:fldChar w:fldCharType="begin"/>
        </w:r>
        <w:r w:rsidR="00FA26A9">
          <w:rPr>
            <w:noProof/>
            <w:webHidden/>
          </w:rPr>
          <w:instrText xml:space="preserve"> PAGEREF _Toc439931855 \h </w:instrText>
        </w:r>
        <w:r w:rsidR="00FA26A9">
          <w:rPr>
            <w:noProof/>
            <w:webHidden/>
          </w:rPr>
        </w:r>
        <w:r w:rsidR="00FA26A9">
          <w:rPr>
            <w:noProof/>
            <w:webHidden/>
          </w:rPr>
          <w:fldChar w:fldCharType="separate"/>
        </w:r>
        <w:r w:rsidR="00D63667">
          <w:rPr>
            <w:noProof/>
            <w:webHidden/>
          </w:rPr>
          <w:t>55</w:t>
        </w:r>
        <w:r w:rsidR="00FA26A9">
          <w:rPr>
            <w:noProof/>
            <w:webHidden/>
          </w:rPr>
          <w:fldChar w:fldCharType="end"/>
        </w:r>
      </w:hyperlink>
    </w:p>
    <w:p w14:paraId="63A8C6D1" w14:textId="21551A94" w:rsidR="00FA26A9" w:rsidRDefault="00796FE4">
      <w:pPr>
        <w:pStyle w:val="TableofFigures"/>
        <w:tabs>
          <w:tab w:val="right" w:leader="dot" w:pos="8918"/>
        </w:tabs>
        <w:rPr>
          <w:rFonts w:asciiTheme="minorHAnsi" w:hAnsiTheme="minorHAnsi"/>
          <w:b w:val="0"/>
          <w:smallCaps w:val="0"/>
          <w:noProof/>
          <w:lang w:bidi="ar-SA"/>
        </w:rPr>
      </w:pPr>
      <w:hyperlink w:anchor="_Toc439931856" w:history="1">
        <w:r w:rsidR="00FA26A9" w:rsidRPr="00B20392">
          <w:rPr>
            <w:rStyle w:val="Hyperlink"/>
            <w:noProof/>
          </w:rPr>
          <w:t>Table 25: Cost-Effective Potential Savings— Ten-Year Aggregate Savings (2016-2025)*</w:t>
        </w:r>
        <w:r w:rsidR="00FA26A9">
          <w:rPr>
            <w:noProof/>
            <w:webHidden/>
          </w:rPr>
          <w:tab/>
        </w:r>
        <w:r w:rsidR="00FA26A9">
          <w:rPr>
            <w:noProof/>
            <w:webHidden/>
          </w:rPr>
          <w:fldChar w:fldCharType="begin"/>
        </w:r>
        <w:r w:rsidR="00FA26A9">
          <w:rPr>
            <w:noProof/>
            <w:webHidden/>
          </w:rPr>
          <w:instrText xml:space="preserve"> PAGEREF _Toc439931856 \h </w:instrText>
        </w:r>
        <w:r w:rsidR="00FA26A9">
          <w:rPr>
            <w:noProof/>
            <w:webHidden/>
          </w:rPr>
        </w:r>
        <w:r w:rsidR="00FA26A9">
          <w:rPr>
            <w:noProof/>
            <w:webHidden/>
          </w:rPr>
          <w:fldChar w:fldCharType="separate"/>
        </w:r>
        <w:r w:rsidR="00D63667">
          <w:rPr>
            <w:noProof/>
            <w:webHidden/>
          </w:rPr>
          <w:t>58</w:t>
        </w:r>
        <w:r w:rsidR="00FA26A9">
          <w:rPr>
            <w:noProof/>
            <w:webHidden/>
          </w:rPr>
          <w:fldChar w:fldCharType="end"/>
        </w:r>
      </w:hyperlink>
    </w:p>
    <w:p w14:paraId="5CE02215" w14:textId="41E2CB8D" w:rsidR="00FA26A9" w:rsidRDefault="00796FE4">
      <w:pPr>
        <w:pStyle w:val="TableofFigures"/>
        <w:tabs>
          <w:tab w:val="right" w:leader="dot" w:pos="8918"/>
        </w:tabs>
        <w:rPr>
          <w:rFonts w:asciiTheme="minorHAnsi" w:hAnsiTheme="minorHAnsi"/>
          <w:b w:val="0"/>
          <w:smallCaps w:val="0"/>
          <w:noProof/>
          <w:lang w:bidi="ar-SA"/>
        </w:rPr>
      </w:pPr>
      <w:hyperlink w:anchor="_Toc439931857" w:history="1">
        <w:r w:rsidR="00FA26A9" w:rsidRPr="00B20392">
          <w:rPr>
            <w:rStyle w:val="Hyperlink"/>
            <w:noProof/>
          </w:rPr>
          <w:t>Table 26: Cost-Effective Potential Savings by End Use—First Year</w:t>
        </w:r>
        <w:r w:rsidR="00FA26A9">
          <w:rPr>
            <w:noProof/>
            <w:webHidden/>
          </w:rPr>
          <w:tab/>
        </w:r>
        <w:r w:rsidR="00FA26A9">
          <w:rPr>
            <w:noProof/>
            <w:webHidden/>
          </w:rPr>
          <w:fldChar w:fldCharType="begin"/>
        </w:r>
        <w:r w:rsidR="00FA26A9">
          <w:rPr>
            <w:noProof/>
            <w:webHidden/>
          </w:rPr>
          <w:instrText xml:space="preserve"> PAGEREF _Toc439931857 \h </w:instrText>
        </w:r>
        <w:r w:rsidR="00FA26A9">
          <w:rPr>
            <w:noProof/>
            <w:webHidden/>
          </w:rPr>
        </w:r>
        <w:r w:rsidR="00FA26A9">
          <w:rPr>
            <w:noProof/>
            <w:webHidden/>
          </w:rPr>
          <w:fldChar w:fldCharType="separate"/>
        </w:r>
        <w:r w:rsidR="00D63667">
          <w:rPr>
            <w:noProof/>
            <w:webHidden/>
          </w:rPr>
          <w:t>59</w:t>
        </w:r>
        <w:r w:rsidR="00FA26A9">
          <w:rPr>
            <w:noProof/>
            <w:webHidden/>
          </w:rPr>
          <w:fldChar w:fldCharType="end"/>
        </w:r>
      </w:hyperlink>
    </w:p>
    <w:p w14:paraId="1D885786" w14:textId="666F8F51" w:rsidR="00FA26A9" w:rsidRDefault="00796FE4">
      <w:pPr>
        <w:pStyle w:val="TableofFigures"/>
        <w:tabs>
          <w:tab w:val="right" w:leader="dot" w:pos="8918"/>
        </w:tabs>
        <w:rPr>
          <w:rFonts w:asciiTheme="minorHAnsi" w:hAnsiTheme="minorHAnsi"/>
          <w:b w:val="0"/>
          <w:smallCaps w:val="0"/>
          <w:noProof/>
          <w:lang w:bidi="ar-SA"/>
        </w:rPr>
      </w:pPr>
      <w:hyperlink w:anchor="_Toc439931858" w:history="1">
        <w:r w:rsidR="00FA26A9" w:rsidRPr="00B20392">
          <w:rPr>
            <w:rStyle w:val="Hyperlink"/>
            <w:noProof/>
          </w:rPr>
          <w:t>Table 27: Cost-Effective Savings Potential by End Use as a Percentage of Overall Savings in MMBtu —First Year</w:t>
        </w:r>
        <w:r w:rsidR="00FA26A9">
          <w:rPr>
            <w:noProof/>
            <w:webHidden/>
          </w:rPr>
          <w:tab/>
        </w:r>
        <w:r w:rsidR="00FA26A9">
          <w:rPr>
            <w:noProof/>
            <w:webHidden/>
          </w:rPr>
          <w:fldChar w:fldCharType="begin"/>
        </w:r>
        <w:r w:rsidR="00FA26A9">
          <w:rPr>
            <w:noProof/>
            <w:webHidden/>
          </w:rPr>
          <w:instrText xml:space="preserve"> PAGEREF _Toc439931858 \h </w:instrText>
        </w:r>
        <w:r w:rsidR="00FA26A9">
          <w:rPr>
            <w:noProof/>
            <w:webHidden/>
          </w:rPr>
        </w:r>
        <w:r w:rsidR="00FA26A9">
          <w:rPr>
            <w:noProof/>
            <w:webHidden/>
          </w:rPr>
          <w:fldChar w:fldCharType="separate"/>
        </w:r>
        <w:r w:rsidR="00D63667">
          <w:rPr>
            <w:noProof/>
            <w:webHidden/>
          </w:rPr>
          <w:t>59</w:t>
        </w:r>
        <w:r w:rsidR="00FA26A9">
          <w:rPr>
            <w:noProof/>
            <w:webHidden/>
          </w:rPr>
          <w:fldChar w:fldCharType="end"/>
        </w:r>
      </w:hyperlink>
    </w:p>
    <w:p w14:paraId="129265A2" w14:textId="59A70C9A" w:rsidR="00FA26A9" w:rsidRDefault="00796FE4">
      <w:pPr>
        <w:pStyle w:val="TableofFigures"/>
        <w:tabs>
          <w:tab w:val="right" w:leader="dot" w:pos="8918"/>
        </w:tabs>
        <w:rPr>
          <w:rFonts w:asciiTheme="minorHAnsi" w:hAnsiTheme="minorHAnsi"/>
          <w:b w:val="0"/>
          <w:smallCaps w:val="0"/>
          <w:noProof/>
          <w:lang w:bidi="ar-SA"/>
        </w:rPr>
      </w:pPr>
      <w:hyperlink w:anchor="_Toc439931859" w:history="1">
        <w:r w:rsidR="00FA26A9" w:rsidRPr="00B20392">
          <w:rPr>
            <w:rStyle w:val="Hyperlink"/>
            <w:noProof/>
          </w:rPr>
          <w:t>Table 28: Fuel Type Share of Baseline Consumption and Cost-Effective Savings Potential</w:t>
        </w:r>
        <w:r w:rsidR="00FA26A9">
          <w:rPr>
            <w:noProof/>
            <w:webHidden/>
          </w:rPr>
          <w:tab/>
        </w:r>
        <w:r w:rsidR="00FA26A9">
          <w:rPr>
            <w:noProof/>
            <w:webHidden/>
          </w:rPr>
          <w:fldChar w:fldCharType="begin"/>
        </w:r>
        <w:r w:rsidR="00FA26A9">
          <w:rPr>
            <w:noProof/>
            <w:webHidden/>
          </w:rPr>
          <w:instrText xml:space="preserve"> PAGEREF _Toc439931859 \h </w:instrText>
        </w:r>
        <w:r w:rsidR="00FA26A9">
          <w:rPr>
            <w:noProof/>
            <w:webHidden/>
          </w:rPr>
        </w:r>
        <w:r w:rsidR="00FA26A9">
          <w:rPr>
            <w:noProof/>
            <w:webHidden/>
          </w:rPr>
          <w:fldChar w:fldCharType="separate"/>
        </w:r>
        <w:r w:rsidR="00D63667">
          <w:rPr>
            <w:noProof/>
            <w:webHidden/>
          </w:rPr>
          <w:t>61</w:t>
        </w:r>
        <w:r w:rsidR="00FA26A9">
          <w:rPr>
            <w:noProof/>
            <w:webHidden/>
          </w:rPr>
          <w:fldChar w:fldCharType="end"/>
        </w:r>
      </w:hyperlink>
    </w:p>
    <w:p w14:paraId="1551A2F0" w14:textId="32D9734A" w:rsidR="00FA26A9" w:rsidRDefault="00796FE4">
      <w:pPr>
        <w:pStyle w:val="TableofFigures"/>
        <w:tabs>
          <w:tab w:val="right" w:leader="dot" w:pos="8918"/>
        </w:tabs>
        <w:rPr>
          <w:rFonts w:asciiTheme="minorHAnsi" w:hAnsiTheme="minorHAnsi"/>
          <w:b w:val="0"/>
          <w:smallCaps w:val="0"/>
          <w:noProof/>
          <w:lang w:bidi="ar-SA"/>
        </w:rPr>
      </w:pPr>
      <w:hyperlink w:anchor="_Toc439931860" w:history="1">
        <w:r w:rsidR="00FA26A9" w:rsidRPr="00B20392">
          <w:rPr>
            <w:rStyle w:val="Hyperlink"/>
            <w:noProof/>
          </w:rPr>
          <w:t>Table 29: Cost-Effective Peak Electric Demand Savings Estimates (MW)</w:t>
        </w:r>
        <w:r w:rsidR="00FA26A9" w:rsidRPr="00B20392">
          <w:rPr>
            <w:rStyle w:val="Hyperlink"/>
            <w:noProof/>
            <w:vertAlign w:val="superscript"/>
          </w:rPr>
          <w:t xml:space="preserve">* </w:t>
        </w:r>
        <w:r w:rsidR="00FA26A9" w:rsidRPr="00B20392">
          <w:rPr>
            <w:rStyle w:val="Hyperlink"/>
            <w:noProof/>
          </w:rPr>
          <w:t>Base: all single-family homes (population-weighted)</w:t>
        </w:r>
        <w:r w:rsidR="00FA26A9">
          <w:rPr>
            <w:noProof/>
            <w:webHidden/>
          </w:rPr>
          <w:tab/>
        </w:r>
        <w:r w:rsidR="00FA26A9">
          <w:rPr>
            <w:noProof/>
            <w:webHidden/>
          </w:rPr>
          <w:fldChar w:fldCharType="begin"/>
        </w:r>
        <w:r w:rsidR="00FA26A9">
          <w:rPr>
            <w:noProof/>
            <w:webHidden/>
          </w:rPr>
          <w:instrText xml:space="preserve"> PAGEREF _Toc439931860 \h </w:instrText>
        </w:r>
        <w:r w:rsidR="00FA26A9">
          <w:rPr>
            <w:noProof/>
            <w:webHidden/>
          </w:rPr>
        </w:r>
        <w:r w:rsidR="00FA26A9">
          <w:rPr>
            <w:noProof/>
            <w:webHidden/>
          </w:rPr>
          <w:fldChar w:fldCharType="separate"/>
        </w:r>
        <w:r w:rsidR="00D63667">
          <w:rPr>
            <w:noProof/>
            <w:webHidden/>
          </w:rPr>
          <w:t>61</w:t>
        </w:r>
        <w:r w:rsidR="00FA26A9">
          <w:rPr>
            <w:noProof/>
            <w:webHidden/>
          </w:rPr>
          <w:fldChar w:fldCharType="end"/>
        </w:r>
      </w:hyperlink>
    </w:p>
    <w:p w14:paraId="77E495AB" w14:textId="7F8DC3ED" w:rsidR="00FA26A9" w:rsidRDefault="00796FE4">
      <w:pPr>
        <w:pStyle w:val="TableofFigures"/>
        <w:tabs>
          <w:tab w:val="right" w:leader="dot" w:pos="8918"/>
        </w:tabs>
        <w:rPr>
          <w:rFonts w:asciiTheme="minorHAnsi" w:hAnsiTheme="minorHAnsi"/>
          <w:b w:val="0"/>
          <w:smallCaps w:val="0"/>
          <w:noProof/>
          <w:lang w:bidi="ar-SA"/>
        </w:rPr>
      </w:pPr>
      <w:hyperlink w:anchor="_Toc439931861" w:history="1">
        <w:r w:rsidR="00FA26A9" w:rsidRPr="00B20392">
          <w:rPr>
            <w:rStyle w:val="Hyperlink"/>
            <w:noProof/>
          </w:rPr>
          <w:t>Table 30: Achievable Potential Savings— Ten-Year Aggregate (2016-2025)*</w:t>
        </w:r>
        <w:r w:rsidR="00FA26A9">
          <w:rPr>
            <w:noProof/>
            <w:webHidden/>
          </w:rPr>
          <w:tab/>
        </w:r>
        <w:r w:rsidR="00FA26A9">
          <w:rPr>
            <w:noProof/>
            <w:webHidden/>
          </w:rPr>
          <w:fldChar w:fldCharType="begin"/>
        </w:r>
        <w:r w:rsidR="00FA26A9">
          <w:rPr>
            <w:noProof/>
            <w:webHidden/>
          </w:rPr>
          <w:instrText xml:space="preserve"> PAGEREF _Toc439931861 \h </w:instrText>
        </w:r>
        <w:r w:rsidR="00FA26A9">
          <w:rPr>
            <w:noProof/>
            <w:webHidden/>
          </w:rPr>
        </w:r>
        <w:r w:rsidR="00FA26A9">
          <w:rPr>
            <w:noProof/>
            <w:webHidden/>
          </w:rPr>
          <w:fldChar w:fldCharType="separate"/>
        </w:r>
        <w:r w:rsidR="00D63667">
          <w:rPr>
            <w:noProof/>
            <w:webHidden/>
          </w:rPr>
          <w:t>63</w:t>
        </w:r>
        <w:r w:rsidR="00FA26A9">
          <w:rPr>
            <w:noProof/>
            <w:webHidden/>
          </w:rPr>
          <w:fldChar w:fldCharType="end"/>
        </w:r>
      </w:hyperlink>
    </w:p>
    <w:p w14:paraId="174EC213" w14:textId="4372396E" w:rsidR="00FA26A9" w:rsidRDefault="00796FE4">
      <w:pPr>
        <w:pStyle w:val="TableofFigures"/>
        <w:tabs>
          <w:tab w:val="right" w:leader="dot" w:pos="8918"/>
        </w:tabs>
        <w:rPr>
          <w:rFonts w:asciiTheme="minorHAnsi" w:hAnsiTheme="minorHAnsi"/>
          <w:b w:val="0"/>
          <w:smallCaps w:val="0"/>
          <w:noProof/>
          <w:lang w:bidi="ar-SA"/>
        </w:rPr>
      </w:pPr>
      <w:hyperlink w:anchor="_Toc439931862" w:history="1">
        <w:r w:rsidR="00FA26A9" w:rsidRPr="00B20392">
          <w:rPr>
            <w:rStyle w:val="Hyperlink"/>
            <w:noProof/>
          </w:rPr>
          <w:t>Table 31: Achievable Savings as a Percent of Baseline in Year Ten</w:t>
        </w:r>
        <w:r w:rsidR="00FA26A9">
          <w:rPr>
            <w:noProof/>
            <w:webHidden/>
          </w:rPr>
          <w:tab/>
        </w:r>
        <w:r w:rsidR="00FA26A9">
          <w:rPr>
            <w:noProof/>
            <w:webHidden/>
          </w:rPr>
          <w:fldChar w:fldCharType="begin"/>
        </w:r>
        <w:r w:rsidR="00FA26A9">
          <w:rPr>
            <w:noProof/>
            <w:webHidden/>
          </w:rPr>
          <w:instrText xml:space="preserve"> PAGEREF _Toc439931862 \h </w:instrText>
        </w:r>
        <w:r w:rsidR="00FA26A9">
          <w:rPr>
            <w:noProof/>
            <w:webHidden/>
          </w:rPr>
        </w:r>
        <w:r w:rsidR="00FA26A9">
          <w:rPr>
            <w:noProof/>
            <w:webHidden/>
          </w:rPr>
          <w:fldChar w:fldCharType="separate"/>
        </w:r>
        <w:r w:rsidR="00D63667">
          <w:rPr>
            <w:noProof/>
            <w:webHidden/>
          </w:rPr>
          <w:t>65</w:t>
        </w:r>
        <w:r w:rsidR="00FA26A9">
          <w:rPr>
            <w:noProof/>
            <w:webHidden/>
          </w:rPr>
          <w:fldChar w:fldCharType="end"/>
        </w:r>
      </w:hyperlink>
    </w:p>
    <w:p w14:paraId="43781D9B" w14:textId="5FEA4994" w:rsidR="00FA26A9" w:rsidRDefault="00796FE4">
      <w:pPr>
        <w:pStyle w:val="TableofFigures"/>
        <w:tabs>
          <w:tab w:val="right" w:leader="dot" w:pos="8918"/>
        </w:tabs>
        <w:rPr>
          <w:rFonts w:asciiTheme="minorHAnsi" w:hAnsiTheme="minorHAnsi"/>
          <w:b w:val="0"/>
          <w:smallCaps w:val="0"/>
          <w:noProof/>
          <w:lang w:bidi="ar-SA"/>
        </w:rPr>
      </w:pPr>
      <w:hyperlink w:anchor="_Toc439931863" w:history="1">
        <w:r w:rsidR="00FA26A9" w:rsidRPr="00B20392">
          <w:rPr>
            <w:rStyle w:val="Hyperlink"/>
            <w:noProof/>
          </w:rPr>
          <w:t>Table 32: Achievable Potential Savings by End Use—Year One &amp; Year Ten</w:t>
        </w:r>
        <w:r w:rsidR="00FA26A9" w:rsidRPr="00B20392">
          <w:rPr>
            <w:rStyle w:val="Hyperlink"/>
            <w:noProof/>
            <w:vertAlign w:val="superscript"/>
          </w:rPr>
          <w:t>*</w:t>
        </w:r>
        <w:r w:rsidR="00FA26A9">
          <w:rPr>
            <w:noProof/>
            <w:webHidden/>
          </w:rPr>
          <w:tab/>
        </w:r>
        <w:r w:rsidR="00FA26A9">
          <w:rPr>
            <w:noProof/>
            <w:webHidden/>
          </w:rPr>
          <w:fldChar w:fldCharType="begin"/>
        </w:r>
        <w:r w:rsidR="00FA26A9">
          <w:rPr>
            <w:noProof/>
            <w:webHidden/>
          </w:rPr>
          <w:instrText xml:space="preserve"> PAGEREF _Toc439931863 \h </w:instrText>
        </w:r>
        <w:r w:rsidR="00FA26A9">
          <w:rPr>
            <w:noProof/>
            <w:webHidden/>
          </w:rPr>
        </w:r>
        <w:r w:rsidR="00FA26A9">
          <w:rPr>
            <w:noProof/>
            <w:webHidden/>
          </w:rPr>
          <w:fldChar w:fldCharType="separate"/>
        </w:r>
        <w:r w:rsidR="00D63667">
          <w:rPr>
            <w:noProof/>
            <w:webHidden/>
          </w:rPr>
          <w:t>66</w:t>
        </w:r>
        <w:r w:rsidR="00FA26A9">
          <w:rPr>
            <w:noProof/>
            <w:webHidden/>
          </w:rPr>
          <w:fldChar w:fldCharType="end"/>
        </w:r>
      </w:hyperlink>
    </w:p>
    <w:p w14:paraId="7214A0D1" w14:textId="425F9846" w:rsidR="00FA26A9" w:rsidRDefault="00796FE4">
      <w:pPr>
        <w:pStyle w:val="TableofFigures"/>
        <w:tabs>
          <w:tab w:val="right" w:leader="dot" w:pos="8918"/>
        </w:tabs>
        <w:rPr>
          <w:rFonts w:asciiTheme="minorHAnsi" w:hAnsiTheme="minorHAnsi"/>
          <w:b w:val="0"/>
          <w:smallCaps w:val="0"/>
          <w:noProof/>
          <w:lang w:bidi="ar-SA"/>
        </w:rPr>
      </w:pPr>
      <w:hyperlink w:anchor="_Toc439931864" w:history="1">
        <w:r w:rsidR="00FA26A9" w:rsidRPr="00B20392">
          <w:rPr>
            <w:rStyle w:val="Hyperlink"/>
            <w:noProof/>
          </w:rPr>
          <w:t>Table 33: Achievable Potential Savings by End Use as a Percentage of Overall Savings in MMBtu—Year One and Year Ten</w:t>
        </w:r>
        <w:r w:rsidR="00FA26A9">
          <w:rPr>
            <w:noProof/>
            <w:webHidden/>
          </w:rPr>
          <w:tab/>
        </w:r>
        <w:r w:rsidR="00FA26A9">
          <w:rPr>
            <w:noProof/>
            <w:webHidden/>
          </w:rPr>
          <w:fldChar w:fldCharType="begin"/>
        </w:r>
        <w:r w:rsidR="00FA26A9">
          <w:rPr>
            <w:noProof/>
            <w:webHidden/>
          </w:rPr>
          <w:instrText xml:space="preserve"> PAGEREF _Toc439931864 \h </w:instrText>
        </w:r>
        <w:r w:rsidR="00FA26A9">
          <w:rPr>
            <w:noProof/>
            <w:webHidden/>
          </w:rPr>
        </w:r>
        <w:r w:rsidR="00FA26A9">
          <w:rPr>
            <w:noProof/>
            <w:webHidden/>
          </w:rPr>
          <w:fldChar w:fldCharType="separate"/>
        </w:r>
        <w:r w:rsidR="00D63667">
          <w:rPr>
            <w:noProof/>
            <w:webHidden/>
          </w:rPr>
          <w:t>67</w:t>
        </w:r>
        <w:r w:rsidR="00FA26A9">
          <w:rPr>
            <w:noProof/>
            <w:webHidden/>
          </w:rPr>
          <w:fldChar w:fldCharType="end"/>
        </w:r>
      </w:hyperlink>
    </w:p>
    <w:p w14:paraId="1C6A6624" w14:textId="39BDB786" w:rsidR="00FA26A9" w:rsidRDefault="00796FE4">
      <w:pPr>
        <w:pStyle w:val="TableofFigures"/>
        <w:tabs>
          <w:tab w:val="right" w:leader="dot" w:pos="8918"/>
        </w:tabs>
        <w:rPr>
          <w:rFonts w:asciiTheme="minorHAnsi" w:hAnsiTheme="minorHAnsi"/>
          <w:b w:val="0"/>
          <w:smallCaps w:val="0"/>
          <w:noProof/>
          <w:lang w:bidi="ar-SA"/>
        </w:rPr>
      </w:pPr>
      <w:hyperlink w:anchor="_Toc439931865" w:history="1">
        <w:r w:rsidR="00FA26A9" w:rsidRPr="00B20392">
          <w:rPr>
            <w:rStyle w:val="Hyperlink"/>
            <w:noProof/>
          </w:rPr>
          <w:t>Table 34: Achievable Peak Electric Demand Savings Estimates (MW)</w:t>
        </w:r>
        <w:r w:rsidR="00FA26A9" w:rsidRPr="00B20392">
          <w:rPr>
            <w:rStyle w:val="Hyperlink"/>
            <w:noProof/>
            <w:vertAlign w:val="superscript"/>
          </w:rPr>
          <w:t>*</w:t>
        </w:r>
        <w:r w:rsidR="00FA26A9">
          <w:rPr>
            <w:noProof/>
            <w:webHidden/>
          </w:rPr>
          <w:tab/>
        </w:r>
        <w:r w:rsidR="00FA26A9">
          <w:rPr>
            <w:noProof/>
            <w:webHidden/>
          </w:rPr>
          <w:fldChar w:fldCharType="begin"/>
        </w:r>
        <w:r w:rsidR="00FA26A9">
          <w:rPr>
            <w:noProof/>
            <w:webHidden/>
          </w:rPr>
          <w:instrText xml:space="preserve"> PAGEREF _Toc439931865 \h </w:instrText>
        </w:r>
        <w:r w:rsidR="00FA26A9">
          <w:rPr>
            <w:noProof/>
            <w:webHidden/>
          </w:rPr>
        </w:r>
        <w:r w:rsidR="00FA26A9">
          <w:rPr>
            <w:noProof/>
            <w:webHidden/>
          </w:rPr>
          <w:fldChar w:fldCharType="separate"/>
        </w:r>
        <w:r w:rsidR="00D63667">
          <w:rPr>
            <w:noProof/>
            <w:webHidden/>
          </w:rPr>
          <w:t>70</w:t>
        </w:r>
        <w:r w:rsidR="00FA26A9">
          <w:rPr>
            <w:noProof/>
            <w:webHidden/>
          </w:rPr>
          <w:fldChar w:fldCharType="end"/>
        </w:r>
      </w:hyperlink>
    </w:p>
    <w:p w14:paraId="38DD426E" w14:textId="33836099" w:rsidR="00FA26A9" w:rsidRDefault="00796FE4">
      <w:pPr>
        <w:pStyle w:val="TableofFigures"/>
        <w:tabs>
          <w:tab w:val="right" w:leader="dot" w:pos="8918"/>
        </w:tabs>
        <w:rPr>
          <w:rFonts w:asciiTheme="minorHAnsi" w:hAnsiTheme="minorHAnsi"/>
          <w:b w:val="0"/>
          <w:smallCaps w:val="0"/>
          <w:noProof/>
          <w:lang w:bidi="ar-SA"/>
        </w:rPr>
      </w:pPr>
      <w:hyperlink w:anchor="_Toc439931866" w:history="1">
        <w:r w:rsidR="00FA26A9" w:rsidRPr="00B20392">
          <w:rPr>
            <w:rStyle w:val="Hyperlink"/>
            <w:noProof/>
          </w:rPr>
          <w:t>Table 35: Extrapolated Costs Necessary to Achieve 2016 Maximum Achievable Potential Savings</w:t>
        </w:r>
        <w:r w:rsidR="00FA26A9">
          <w:rPr>
            <w:noProof/>
            <w:webHidden/>
          </w:rPr>
          <w:tab/>
        </w:r>
        <w:r w:rsidR="00FA26A9">
          <w:rPr>
            <w:noProof/>
            <w:webHidden/>
          </w:rPr>
          <w:fldChar w:fldCharType="begin"/>
        </w:r>
        <w:r w:rsidR="00FA26A9">
          <w:rPr>
            <w:noProof/>
            <w:webHidden/>
          </w:rPr>
          <w:instrText xml:space="preserve"> PAGEREF _Toc439931866 \h </w:instrText>
        </w:r>
        <w:r w:rsidR="00FA26A9">
          <w:rPr>
            <w:noProof/>
            <w:webHidden/>
          </w:rPr>
        </w:r>
        <w:r w:rsidR="00FA26A9">
          <w:rPr>
            <w:noProof/>
            <w:webHidden/>
          </w:rPr>
          <w:fldChar w:fldCharType="separate"/>
        </w:r>
        <w:r w:rsidR="00D63667">
          <w:rPr>
            <w:noProof/>
            <w:webHidden/>
          </w:rPr>
          <w:t>70</w:t>
        </w:r>
        <w:r w:rsidR="00FA26A9">
          <w:rPr>
            <w:noProof/>
            <w:webHidden/>
          </w:rPr>
          <w:fldChar w:fldCharType="end"/>
        </w:r>
      </w:hyperlink>
    </w:p>
    <w:p w14:paraId="1B4A3727" w14:textId="11CC8E1D" w:rsidR="00FA26A9" w:rsidRDefault="00796FE4">
      <w:pPr>
        <w:pStyle w:val="TableofFigures"/>
        <w:tabs>
          <w:tab w:val="right" w:leader="dot" w:pos="8918"/>
        </w:tabs>
        <w:rPr>
          <w:rFonts w:asciiTheme="minorHAnsi" w:hAnsiTheme="minorHAnsi"/>
          <w:b w:val="0"/>
          <w:smallCaps w:val="0"/>
          <w:noProof/>
          <w:lang w:bidi="ar-SA"/>
        </w:rPr>
      </w:pPr>
      <w:hyperlink w:anchor="_Toc439931867" w:history="1">
        <w:r w:rsidR="00FA26A9" w:rsidRPr="00B20392">
          <w:rPr>
            <w:rStyle w:val="Hyperlink"/>
            <w:noProof/>
          </w:rPr>
          <w:t>Table 36: Fuel Switching—Overall Summary in MMBtu</w:t>
        </w:r>
        <w:r w:rsidR="00FA26A9">
          <w:rPr>
            <w:noProof/>
            <w:webHidden/>
          </w:rPr>
          <w:tab/>
        </w:r>
        <w:r w:rsidR="00FA26A9">
          <w:rPr>
            <w:noProof/>
            <w:webHidden/>
          </w:rPr>
          <w:fldChar w:fldCharType="begin"/>
        </w:r>
        <w:r w:rsidR="00FA26A9">
          <w:rPr>
            <w:noProof/>
            <w:webHidden/>
          </w:rPr>
          <w:instrText xml:space="preserve"> PAGEREF _Toc439931867 \h </w:instrText>
        </w:r>
        <w:r w:rsidR="00FA26A9">
          <w:rPr>
            <w:noProof/>
            <w:webHidden/>
          </w:rPr>
        </w:r>
        <w:r w:rsidR="00FA26A9">
          <w:rPr>
            <w:noProof/>
            <w:webHidden/>
          </w:rPr>
          <w:fldChar w:fldCharType="separate"/>
        </w:r>
        <w:r w:rsidR="00D63667">
          <w:rPr>
            <w:noProof/>
            <w:webHidden/>
          </w:rPr>
          <w:t>73</w:t>
        </w:r>
        <w:r w:rsidR="00FA26A9">
          <w:rPr>
            <w:noProof/>
            <w:webHidden/>
          </w:rPr>
          <w:fldChar w:fldCharType="end"/>
        </w:r>
      </w:hyperlink>
    </w:p>
    <w:p w14:paraId="093287B2" w14:textId="5922F273" w:rsidR="00FA26A9" w:rsidRDefault="00796FE4">
      <w:pPr>
        <w:pStyle w:val="TableofFigures"/>
        <w:tabs>
          <w:tab w:val="right" w:leader="dot" w:pos="8918"/>
        </w:tabs>
        <w:rPr>
          <w:rFonts w:asciiTheme="minorHAnsi" w:hAnsiTheme="minorHAnsi"/>
          <w:b w:val="0"/>
          <w:smallCaps w:val="0"/>
          <w:noProof/>
          <w:lang w:bidi="ar-SA"/>
        </w:rPr>
      </w:pPr>
      <w:hyperlink w:anchor="_Toc439931868" w:history="1">
        <w:r w:rsidR="00FA26A9" w:rsidRPr="00B20392">
          <w:rPr>
            <w:rStyle w:val="Hyperlink"/>
            <w:noProof/>
          </w:rPr>
          <w:t>Table 37: Fuel Switching—Change in Annual Consumption by Fuel at Year Ten</w:t>
        </w:r>
        <w:r w:rsidR="00FA26A9">
          <w:rPr>
            <w:noProof/>
            <w:webHidden/>
          </w:rPr>
          <w:tab/>
        </w:r>
        <w:r w:rsidR="00FA26A9">
          <w:rPr>
            <w:noProof/>
            <w:webHidden/>
          </w:rPr>
          <w:fldChar w:fldCharType="begin"/>
        </w:r>
        <w:r w:rsidR="00FA26A9">
          <w:rPr>
            <w:noProof/>
            <w:webHidden/>
          </w:rPr>
          <w:instrText xml:space="preserve"> PAGEREF _Toc439931868 \h </w:instrText>
        </w:r>
        <w:r w:rsidR="00FA26A9">
          <w:rPr>
            <w:noProof/>
            <w:webHidden/>
          </w:rPr>
        </w:r>
        <w:r w:rsidR="00FA26A9">
          <w:rPr>
            <w:noProof/>
            <w:webHidden/>
          </w:rPr>
          <w:fldChar w:fldCharType="separate"/>
        </w:r>
        <w:r w:rsidR="00D63667">
          <w:rPr>
            <w:noProof/>
            <w:webHidden/>
          </w:rPr>
          <w:t>75</w:t>
        </w:r>
        <w:r w:rsidR="00FA26A9">
          <w:rPr>
            <w:noProof/>
            <w:webHidden/>
          </w:rPr>
          <w:fldChar w:fldCharType="end"/>
        </w:r>
      </w:hyperlink>
    </w:p>
    <w:p w14:paraId="728C77CD" w14:textId="19925B6C" w:rsidR="00FA26A9" w:rsidRDefault="00796FE4">
      <w:pPr>
        <w:pStyle w:val="TableofFigures"/>
        <w:tabs>
          <w:tab w:val="right" w:leader="dot" w:pos="8918"/>
        </w:tabs>
        <w:rPr>
          <w:rFonts w:asciiTheme="minorHAnsi" w:hAnsiTheme="minorHAnsi"/>
          <w:b w:val="0"/>
          <w:smallCaps w:val="0"/>
          <w:noProof/>
          <w:lang w:bidi="ar-SA"/>
        </w:rPr>
      </w:pPr>
      <w:hyperlink w:anchor="_Toc439931869" w:history="1">
        <w:r w:rsidR="00FA26A9" w:rsidRPr="00B20392">
          <w:rPr>
            <w:rStyle w:val="Hyperlink"/>
            <w:noProof/>
          </w:rPr>
          <w:t>Table 38: Fuel Switching—Annual Consumption Trajectories – Base Case Scenario</w:t>
        </w:r>
        <w:r w:rsidR="00FA26A9">
          <w:rPr>
            <w:noProof/>
            <w:webHidden/>
          </w:rPr>
          <w:tab/>
        </w:r>
        <w:r w:rsidR="00FA26A9">
          <w:rPr>
            <w:noProof/>
            <w:webHidden/>
          </w:rPr>
          <w:fldChar w:fldCharType="begin"/>
        </w:r>
        <w:r w:rsidR="00FA26A9">
          <w:rPr>
            <w:noProof/>
            <w:webHidden/>
          </w:rPr>
          <w:instrText xml:space="preserve"> PAGEREF _Toc439931869 \h </w:instrText>
        </w:r>
        <w:r w:rsidR="00FA26A9">
          <w:rPr>
            <w:noProof/>
            <w:webHidden/>
          </w:rPr>
        </w:r>
        <w:r w:rsidR="00FA26A9">
          <w:rPr>
            <w:noProof/>
            <w:webHidden/>
          </w:rPr>
          <w:fldChar w:fldCharType="separate"/>
        </w:r>
        <w:r w:rsidR="00D63667">
          <w:rPr>
            <w:noProof/>
            <w:webHidden/>
          </w:rPr>
          <w:t>80</w:t>
        </w:r>
        <w:r w:rsidR="00FA26A9">
          <w:rPr>
            <w:noProof/>
            <w:webHidden/>
          </w:rPr>
          <w:fldChar w:fldCharType="end"/>
        </w:r>
      </w:hyperlink>
    </w:p>
    <w:p w14:paraId="11DCDFE6" w14:textId="66D51926" w:rsidR="00FA26A9" w:rsidRDefault="00796FE4">
      <w:pPr>
        <w:pStyle w:val="TableofFigures"/>
        <w:tabs>
          <w:tab w:val="right" w:leader="dot" w:pos="8918"/>
        </w:tabs>
        <w:rPr>
          <w:rFonts w:asciiTheme="minorHAnsi" w:hAnsiTheme="minorHAnsi"/>
          <w:b w:val="0"/>
          <w:smallCaps w:val="0"/>
          <w:noProof/>
          <w:lang w:bidi="ar-SA"/>
        </w:rPr>
      </w:pPr>
      <w:hyperlink w:anchor="_Toc439931870" w:history="1">
        <w:r w:rsidR="00FA26A9" w:rsidRPr="00B20392">
          <w:rPr>
            <w:rStyle w:val="Hyperlink"/>
            <w:noProof/>
          </w:rPr>
          <w:t>Table 39: Fuel Switching—Annual Consumption Trajectories – Upgrade Case Scenario</w:t>
        </w:r>
        <w:r w:rsidR="00FA26A9">
          <w:rPr>
            <w:noProof/>
            <w:webHidden/>
          </w:rPr>
          <w:tab/>
        </w:r>
        <w:r w:rsidR="00FA26A9">
          <w:rPr>
            <w:noProof/>
            <w:webHidden/>
          </w:rPr>
          <w:fldChar w:fldCharType="begin"/>
        </w:r>
        <w:r w:rsidR="00FA26A9">
          <w:rPr>
            <w:noProof/>
            <w:webHidden/>
          </w:rPr>
          <w:instrText xml:space="preserve"> PAGEREF _Toc439931870 \h </w:instrText>
        </w:r>
        <w:r w:rsidR="00FA26A9">
          <w:rPr>
            <w:noProof/>
            <w:webHidden/>
          </w:rPr>
        </w:r>
        <w:r w:rsidR="00FA26A9">
          <w:rPr>
            <w:noProof/>
            <w:webHidden/>
          </w:rPr>
          <w:fldChar w:fldCharType="separate"/>
        </w:r>
        <w:r w:rsidR="00D63667">
          <w:rPr>
            <w:noProof/>
            <w:webHidden/>
          </w:rPr>
          <w:t>85</w:t>
        </w:r>
        <w:r w:rsidR="00FA26A9">
          <w:rPr>
            <w:noProof/>
            <w:webHidden/>
          </w:rPr>
          <w:fldChar w:fldCharType="end"/>
        </w:r>
      </w:hyperlink>
    </w:p>
    <w:p w14:paraId="618627BC" w14:textId="0EAD6244" w:rsidR="00FA26A9" w:rsidRDefault="00796FE4">
      <w:pPr>
        <w:pStyle w:val="TableofFigures"/>
        <w:tabs>
          <w:tab w:val="right" w:leader="dot" w:pos="8918"/>
        </w:tabs>
        <w:rPr>
          <w:rFonts w:asciiTheme="minorHAnsi" w:hAnsiTheme="minorHAnsi"/>
          <w:b w:val="0"/>
          <w:smallCaps w:val="0"/>
          <w:noProof/>
          <w:lang w:bidi="ar-SA"/>
        </w:rPr>
      </w:pPr>
      <w:hyperlink w:anchor="_Toc439931871" w:history="1">
        <w:r w:rsidR="00FA26A9" w:rsidRPr="00B20392">
          <w:rPr>
            <w:rStyle w:val="Hyperlink"/>
            <w:noProof/>
          </w:rPr>
          <w:t>Table 40: Fuel Switching—Maximum Impacts of Program Incentive by End Use (100% Conversion Rate)</w:t>
        </w:r>
        <w:r w:rsidR="00FA26A9">
          <w:rPr>
            <w:noProof/>
            <w:webHidden/>
          </w:rPr>
          <w:tab/>
        </w:r>
        <w:r w:rsidR="00FA26A9">
          <w:rPr>
            <w:noProof/>
            <w:webHidden/>
          </w:rPr>
          <w:fldChar w:fldCharType="begin"/>
        </w:r>
        <w:r w:rsidR="00FA26A9">
          <w:rPr>
            <w:noProof/>
            <w:webHidden/>
          </w:rPr>
          <w:instrText xml:space="preserve"> PAGEREF _Toc439931871 \h </w:instrText>
        </w:r>
        <w:r w:rsidR="00FA26A9">
          <w:rPr>
            <w:noProof/>
            <w:webHidden/>
          </w:rPr>
        </w:r>
        <w:r w:rsidR="00FA26A9">
          <w:rPr>
            <w:noProof/>
            <w:webHidden/>
          </w:rPr>
          <w:fldChar w:fldCharType="separate"/>
        </w:r>
        <w:r w:rsidR="00D63667">
          <w:rPr>
            <w:noProof/>
            <w:webHidden/>
          </w:rPr>
          <w:t>91</w:t>
        </w:r>
        <w:r w:rsidR="00FA26A9">
          <w:rPr>
            <w:noProof/>
            <w:webHidden/>
          </w:rPr>
          <w:fldChar w:fldCharType="end"/>
        </w:r>
      </w:hyperlink>
    </w:p>
    <w:p w14:paraId="72AF4570" w14:textId="7DBF29DF" w:rsidR="00FA26A9" w:rsidRDefault="00796FE4">
      <w:pPr>
        <w:pStyle w:val="TableofFigures"/>
        <w:tabs>
          <w:tab w:val="right" w:leader="dot" w:pos="8918"/>
        </w:tabs>
        <w:rPr>
          <w:rFonts w:asciiTheme="minorHAnsi" w:hAnsiTheme="minorHAnsi"/>
          <w:b w:val="0"/>
          <w:smallCaps w:val="0"/>
          <w:noProof/>
          <w:lang w:bidi="ar-SA"/>
        </w:rPr>
      </w:pPr>
      <w:hyperlink w:anchor="_Toc439931872" w:history="1">
        <w:r w:rsidR="00FA26A9" w:rsidRPr="00B20392">
          <w:rPr>
            <w:rStyle w:val="Hyperlink"/>
            <w:noProof/>
          </w:rPr>
          <w:t>Table 41: Appliance Cost-Effectiveness Screening Comparison</w:t>
        </w:r>
        <w:r w:rsidR="00FA26A9">
          <w:rPr>
            <w:noProof/>
            <w:webHidden/>
          </w:rPr>
          <w:tab/>
        </w:r>
        <w:r w:rsidR="00A278F2">
          <w:rPr>
            <w:noProof/>
            <w:webHidden/>
          </w:rPr>
          <w:t>A-</w:t>
        </w:r>
        <w:r w:rsidR="00FA26A9">
          <w:rPr>
            <w:noProof/>
            <w:webHidden/>
          </w:rPr>
          <w:fldChar w:fldCharType="begin"/>
        </w:r>
        <w:r w:rsidR="00FA26A9">
          <w:rPr>
            <w:noProof/>
            <w:webHidden/>
          </w:rPr>
          <w:instrText xml:space="preserve"> PAGEREF _Toc439931872 \h </w:instrText>
        </w:r>
        <w:r w:rsidR="00FA26A9">
          <w:rPr>
            <w:noProof/>
            <w:webHidden/>
          </w:rPr>
        </w:r>
        <w:r w:rsidR="00FA26A9">
          <w:rPr>
            <w:noProof/>
            <w:webHidden/>
          </w:rPr>
          <w:fldChar w:fldCharType="separate"/>
        </w:r>
        <w:r w:rsidR="00D63667">
          <w:rPr>
            <w:noProof/>
            <w:webHidden/>
          </w:rPr>
          <w:t>2</w:t>
        </w:r>
        <w:r w:rsidR="00FA26A9">
          <w:rPr>
            <w:noProof/>
            <w:webHidden/>
          </w:rPr>
          <w:fldChar w:fldCharType="end"/>
        </w:r>
      </w:hyperlink>
    </w:p>
    <w:p w14:paraId="4907DA57" w14:textId="63BD0A78" w:rsidR="00FA26A9" w:rsidRDefault="00796FE4">
      <w:pPr>
        <w:pStyle w:val="TableofFigures"/>
        <w:tabs>
          <w:tab w:val="right" w:leader="dot" w:pos="8918"/>
        </w:tabs>
        <w:rPr>
          <w:rFonts w:asciiTheme="minorHAnsi" w:hAnsiTheme="minorHAnsi"/>
          <w:b w:val="0"/>
          <w:smallCaps w:val="0"/>
          <w:noProof/>
          <w:lang w:bidi="ar-SA"/>
        </w:rPr>
      </w:pPr>
      <w:hyperlink w:anchor="_Toc439931873" w:history="1">
        <w:r w:rsidR="00FA26A9" w:rsidRPr="00B20392">
          <w:rPr>
            <w:rStyle w:val="Hyperlink"/>
            <w:noProof/>
          </w:rPr>
          <w:t>Table 42: Building Shell Measure Upgrades</w:t>
        </w:r>
        <w:r w:rsidR="00FA26A9">
          <w:rPr>
            <w:noProof/>
            <w:webHidden/>
          </w:rPr>
          <w:tab/>
        </w:r>
        <w:r w:rsidR="00A278F2">
          <w:rPr>
            <w:noProof/>
            <w:webHidden/>
          </w:rPr>
          <w:t>B-</w:t>
        </w:r>
        <w:r w:rsidR="00FA26A9">
          <w:rPr>
            <w:noProof/>
            <w:webHidden/>
          </w:rPr>
          <w:fldChar w:fldCharType="begin"/>
        </w:r>
        <w:r w:rsidR="00FA26A9">
          <w:rPr>
            <w:noProof/>
            <w:webHidden/>
          </w:rPr>
          <w:instrText xml:space="preserve"> PAGEREF _Toc439931873 \h </w:instrText>
        </w:r>
        <w:r w:rsidR="00FA26A9">
          <w:rPr>
            <w:noProof/>
            <w:webHidden/>
          </w:rPr>
        </w:r>
        <w:r w:rsidR="00FA26A9">
          <w:rPr>
            <w:noProof/>
            <w:webHidden/>
          </w:rPr>
          <w:fldChar w:fldCharType="separate"/>
        </w:r>
        <w:r w:rsidR="00D63667">
          <w:rPr>
            <w:noProof/>
            <w:webHidden/>
          </w:rPr>
          <w:t>1</w:t>
        </w:r>
        <w:r w:rsidR="00FA26A9">
          <w:rPr>
            <w:noProof/>
            <w:webHidden/>
          </w:rPr>
          <w:fldChar w:fldCharType="end"/>
        </w:r>
      </w:hyperlink>
    </w:p>
    <w:p w14:paraId="4D5010CC" w14:textId="178E1C0B" w:rsidR="00FA26A9" w:rsidRDefault="00796FE4">
      <w:pPr>
        <w:pStyle w:val="TableofFigures"/>
        <w:tabs>
          <w:tab w:val="right" w:leader="dot" w:pos="8918"/>
        </w:tabs>
        <w:rPr>
          <w:rFonts w:asciiTheme="minorHAnsi" w:hAnsiTheme="minorHAnsi"/>
          <w:b w:val="0"/>
          <w:smallCaps w:val="0"/>
          <w:noProof/>
          <w:lang w:bidi="ar-SA"/>
        </w:rPr>
      </w:pPr>
      <w:hyperlink w:anchor="_Toc439931874" w:history="1">
        <w:r w:rsidR="00FA26A9" w:rsidRPr="00B20392">
          <w:rPr>
            <w:rStyle w:val="Hyperlink"/>
            <w:noProof/>
          </w:rPr>
          <w:t>Table 43: HVAC Measure Upgrades</w:t>
        </w:r>
        <w:r w:rsidR="00FA26A9">
          <w:rPr>
            <w:noProof/>
            <w:webHidden/>
          </w:rPr>
          <w:tab/>
        </w:r>
        <w:r w:rsidR="00A278F2" w:rsidRPr="00A278F2">
          <w:rPr>
            <w:noProof/>
            <w:webHidden/>
          </w:rPr>
          <w:t>B-</w:t>
        </w:r>
        <w:r w:rsidR="00FA26A9">
          <w:rPr>
            <w:noProof/>
            <w:webHidden/>
          </w:rPr>
          <w:fldChar w:fldCharType="begin"/>
        </w:r>
        <w:r w:rsidR="00FA26A9">
          <w:rPr>
            <w:noProof/>
            <w:webHidden/>
          </w:rPr>
          <w:instrText xml:space="preserve"> PAGEREF _Toc439931874 \h </w:instrText>
        </w:r>
        <w:r w:rsidR="00FA26A9">
          <w:rPr>
            <w:noProof/>
            <w:webHidden/>
          </w:rPr>
        </w:r>
        <w:r w:rsidR="00FA26A9">
          <w:rPr>
            <w:noProof/>
            <w:webHidden/>
          </w:rPr>
          <w:fldChar w:fldCharType="separate"/>
        </w:r>
        <w:r w:rsidR="00D63667">
          <w:rPr>
            <w:noProof/>
            <w:webHidden/>
          </w:rPr>
          <w:t>1</w:t>
        </w:r>
        <w:r w:rsidR="00FA26A9">
          <w:rPr>
            <w:noProof/>
            <w:webHidden/>
          </w:rPr>
          <w:fldChar w:fldCharType="end"/>
        </w:r>
      </w:hyperlink>
    </w:p>
    <w:p w14:paraId="13A1501B" w14:textId="7F1166D6" w:rsidR="00FA26A9" w:rsidRDefault="00796FE4">
      <w:pPr>
        <w:pStyle w:val="TableofFigures"/>
        <w:tabs>
          <w:tab w:val="right" w:leader="dot" w:pos="8918"/>
        </w:tabs>
        <w:rPr>
          <w:rFonts w:asciiTheme="minorHAnsi" w:hAnsiTheme="minorHAnsi"/>
          <w:b w:val="0"/>
          <w:smallCaps w:val="0"/>
          <w:noProof/>
          <w:lang w:bidi="ar-SA"/>
        </w:rPr>
      </w:pPr>
      <w:hyperlink w:anchor="_Toc439931875" w:history="1">
        <w:r w:rsidR="00FA26A9" w:rsidRPr="00B20392">
          <w:rPr>
            <w:rStyle w:val="Hyperlink"/>
            <w:noProof/>
          </w:rPr>
          <w:t>Table 44: Water Heating Measure Upgrades</w:t>
        </w:r>
        <w:r w:rsidR="00FA26A9">
          <w:rPr>
            <w:noProof/>
            <w:webHidden/>
          </w:rPr>
          <w:tab/>
        </w:r>
        <w:r w:rsidR="00A278F2" w:rsidRPr="00A278F2">
          <w:rPr>
            <w:noProof/>
            <w:webHidden/>
          </w:rPr>
          <w:t>B-</w:t>
        </w:r>
        <w:r w:rsidR="00FA26A9">
          <w:rPr>
            <w:noProof/>
            <w:webHidden/>
          </w:rPr>
          <w:fldChar w:fldCharType="begin"/>
        </w:r>
        <w:r w:rsidR="00FA26A9">
          <w:rPr>
            <w:noProof/>
            <w:webHidden/>
          </w:rPr>
          <w:instrText xml:space="preserve"> PAGEREF _Toc439931875 \h </w:instrText>
        </w:r>
        <w:r w:rsidR="00FA26A9">
          <w:rPr>
            <w:noProof/>
            <w:webHidden/>
          </w:rPr>
        </w:r>
        <w:r w:rsidR="00FA26A9">
          <w:rPr>
            <w:noProof/>
            <w:webHidden/>
          </w:rPr>
          <w:fldChar w:fldCharType="separate"/>
        </w:r>
        <w:r w:rsidR="00D63667">
          <w:rPr>
            <w:noProof/>
            <w:webHidden/>
          </w:rPr>
          <w:t>2</w:t>
        </w:r>
        <w:r w:rsidR="00FA26A9">
          <w:rPr>
            <w:noProof/>
            <w:webHidden/>
          </w:rPr>
          <w:fldChar w:fldCharType="end"/>
        </w:r>
      </w:hyperlink>
    </w:p>
    <w:p w14:paraId="2E8AE829" w14:textId="0FB51B79" w:rsidR="00FA26A9" w:rsidRDefault="00796FE4">
      <w:pPr>
        <w:pStyle w:val="TableofFigures"/>
        <w:tabs>
          <w:tab w:val="right" w:leader="dot" w:pos="8918"/>
        </w:tabs>
        <w:rPr>
          <w:rFonts w:asciiTheme="minorHAnsi" w:hAnsiTheme="minorHAnsi"/>
          <w:b w:val="0"/>
          <w:smallCaps w:val="0"/>
          <w:noProof/>
          <w:lang w:bidi="ar-SA"/>
        </w:rPr>
      </w:pPr>
      <w:hyperlink w:anchor="_Toc439931876" w:history="1">
        <w:r w:rsidR="00FA26A9" w:rsidRPr="00B20392">
          <w:rPr>
            <w:rStyle w:val="Hyperlink"/>
            <w:noProof/>
          </w:rPr>
          <w:t>Table 45: Lighting &amp; Appliance Measure Upgrades</w:t>
        </w:r>
        <w:r w:rsidR="00FA26A9">
          <w:rPr>
            <w:noProof/>
            <w:webHidden/>
          </w:rPr>
          <w:tab/>
        </w:r>
        <w:r w:rsidR="00A278F2" w:rsidRPr="00A278F2">
          <w:rPr>
            <w:noProof/>
            <w:webHidden/>
          </w:rPr>
          <w:t>B-</w:t>
        </w:r>
        <w:r w:rsidR="00FA26A9">
          <w:rPr>
            <w:noProof/>
            <w:webHidden/>
          </w:rPr>
          <w:fldChar w:fldCharType="begin"/>
        </w:r>
        <w:r w:rsidR="00FA26A9">
          <w:rPr>
            <w:noProof/>
            <w:webHidden/>
          </w:rPr>
          <w:instrText xml:space="preserve"> PAGEREF _Toc439931876 \h </w:instrText>
        </w:r>
        <w:r w:rsidR="00FA26A9">
          <w:rPr>
            <w:noProof/>
            <w:webHidden/>
          </w:rPr>
        </w:r>
        <w:r w:rsidR="00FA26A9">
          <w:rPr>
            <w:noProof/>
            <w:webHidden/>
          </w:rPr>
          <w:fldChar w:fldCharType="separate"/>
        </w:r>
        <w:r w:rsidR="00D63667">
          <w:rPr>
            <w:noProof/>
            <w:webHidden/>
          </w:rPr>
          <w:t>2</w:t>
        </w:r>
        <w:r w:rsidR="00FA26A9">
          <w:rPr>
            <w:noProof/>
            <w:webHidden/>
          </w:rPr>
          <w:fldChar w:fldCharType="end"/>
        </w:r>
      </w:hyperlink>
    </w:p>
    <w:p w14:paraId="21F94A42" w14:textId="365E3498" w:rsidR="00FA26A9" w:rsidRDefault="00796FE4">
      <w:pPr>
        <w:pStyle w:val="TableofFigures"/>
        <w:tabs>
          <w:tab w:val="right" w:leader="dot" w:pos="8918"/>
        </w:tabs>
        <w:rPr>
          <w:rFonts w:asciiTheme="minorHAnsi" w:hAnsiTheme="minorHAnsi"/>
          <w:b w:val="0"/>
          <w:smallCaps w:val="0"/>
          <w:noProof/>
          <w:lang w:bidi="ar-SA"/>
        </w:rPr>
      </w:pPr>
      <w:hyperlink w:anchor="_Toc439931877" w:history="1">
        <w:r w:rsidR="00FA26A9" w:rsidRPr="00B20392">
          <w:rPr>
            <w:rStyle w:val="Hyperlink"/>
            <w:noProof/>
          </w:rPr>
          <w:t>Table 46: Heat Pump &amp; Solar Technology Measure Upgrades</w:t>
        </w:r>
        <w:r w:rsidR="00FA26A9">
          <w:rPr>
            <w:noProof/>
            <w:webHidden/>
          </w:rPr>
          <w:tab/>
        </w:r>
        <w:r w:rsidR="00A278F2" w:rsidRPr="00A278F2">
          <w:rPr>
            <w:noProof/>
            <w:webHidden/>
          </w:rPr>
          <w:t>B-</w:t>
        </w:r>
        <w:r w:rsidR="00FA26A9">
          <w:rPr>
            <w:noProof/>
            <w:webHidden/>
          </w:rPr>
          <w:fldChar w:fldCharType="begin"/>
        </w:r>
        <w:r w:rsidR="00FA26A9">
          <w:rPr>
            <w:noProof/>
            <w:webHidden/>
          </w:rPr>
          <w:instrText xml:space="preserve"> PAGEREF _Toc439931877 \h </w:instrText>
        </w:r>
        <w:r w:rsidR="00FA26A9">
          <w:rPr>
            <w:noProof/>
            <w:webHidden/>
          </w:rPr>
        </w:r>
        <w:r w:rsidR="00FA26A9">
          <w:rPr>
            <w:noProof/>
            <w:webHidden/>
          </w:rPr>
          <w:fldChar w:fldCharType="separate"/>
        </w:r>
        <w:r w:rsidR="00D63667">
          <w:rPr>
            <w:noProof/>
            <w:webHidden/>
          </w:rPr>
          <w:t>2</w:t>
        </w:r>
        <w:r w:rsidR="00FA26A9">
          <w:rPr>
            <w:noProof/>
            <w:webHidden/>
          </w:rPr>
          <w:fldChar w:fldCharType="end"/>
        </w:r>
      </w:hyperlink>
    </w:p>
    <w:p w14:paraId="73A285E3" w14:textId="6871336A" w:rsidR="00FA26A9" w:rsidRDefault="00796FE4">
      <w:pPr>
        <w:pStyle w:val="TableofFigures"/>
        <w:tabs>
          <w:tab w:val="right" w:leader="dot" w:pos="8918"/>
        </w:tabs>
        <w:rPr>
          <w:rFonts w:asciiTheme="minorHAnsi" w:hAnsiTheme="minorHAnsi"/>
          <w:b w:val="0"/>
          <w:smallCaps w:val="0"/>
          <w:noProof/>
          <w:lang w:bidi="ar-SA"/>
        </w:rPr>
      </w:pPr>
      <w:hyperlink w:anchor="_Toc439931878" w:history="1">
        <w:r w:rsidR="00FA26A9" w:rsidRPr="00B20392">
          <w:rPr>
            <w:rStyle w:val="Hyperlink"/>
            <w:noProof/>
          </w:rPr>
          <w:t>Table 47: Insulation Upgrade Values by Framing Type</w:t>
        </w:r>
        <w:r w:rsidR="00FA26A9">
          <w:rPr>
            <w:noProof/>
            <w:webHidden/>
          </w:rPr>
          <w:tab/>
        </w:r>
        <w:r w:rsidR="00A278F2" w:rsidRPr="00A278F2">
          <w:rPr>
            <w:noProof/>
            <w:webHidden/>
          </w:rPr>
          <w:t>B-</w:t>
        </w:r>
        <w:r w:rsidR="00FA26A9">
          <w:rPr>
            <w:noProof/>
            <w:webHidden/>
          </w:rPr>
          <w:fldChar w:fldCharType="begin"/>
        </w:r>
        <w:r w:rsidR="00FA26A9">
          <w:rPr>
            <w:noProof/>
            <w:webHidden/>
          </w:rPr>
          <w:instrText xml:space="preserve"> PAGEREF _Toc439931878 \h </w:instrText>
        </w:r>
        <w:r w:rsidR="00FA26A9">
          <w:rPr>
            <w:noProof/>
            <w:webHidden/>
          </w:rPr>
        </w:r>
        <w:r w:rsidR="00FA26A9">
          <w:rPr>
            <w:noProof/>
            <w:webHidden/>
          </w:rPr>
          <w:fldChar w:fldCharType="separate"/>
        </w:r>
        <w:r w:rsidR="00D63667">
          <w:rPr>
            <w:noProof/>
            <w:webHidden/>
          </w:rPr>
          <w:t>3</w:t>
        </w:r>
        <w:r w:rsidR="00FA26A9">
          <w:rPr>
            <w:noProof/>
            <w:webHidden/>
          </w:rPr>
          <w:fldChar w:fldCharType="end"/>
        </w:r>
      </w:hyperlink>
    </w:p>
    <w:p w14:paraId="3CF75358" w14:textId="5178538C" w:rsidR="00FA26A9" w:rsidRDefault="00796FE4">
      <w:pPr>
        <w:pStyle w:val="TableofFigures"/>
        <w:tabs>
          <w:tab w:val="right" w:leader="dot" w:pos="8918"/>
        </w:tabs>
        <w:rPr>
          <w:rFonts w:asciiTheme="minorHAnsi" w:hAnsiTheme="minorHAnsi"/>
          <w:b w:val="0"/>
          <w:smallCaps w:val="0"/>
          <w:noProof/>
          <w:lang w:bidi="ar-SA"/>
        </w:rPr>
      </w:pPr>
      <w:hyperlink w:anchor="_Toc439931879" w:history="1">
        <w:r w:rsidR="00FA26A9" w:rsidRPr="00B20392">
          <w:rPr>
            <w:rStyle w:val="Hyperlink"/>
            <w:noProof/>
          </w:rPr>
          <w:t>Table 48: Fuel Switching—Consumption Growth Trajectories Under the Maximum (100%) Uptake Rate</w:t>
        </w:r>
        <w:r w:rsidR="00FA26A9">
          <w:rPr>
            <w:noProof/>
            <w:webHidden/>
          </w:rPr>
          <w:tab/>
        </w:r>
        <w:r w:rsidR="00A278F2">
          <w:rPr>
            <w:noProof/>
            <w:webHidden/>
          </w:rPr>
          <w:t>D-</w:t>
        </w:r>
        <w:r w:rsidR="00FA26A9">
          <w:rPr>
            <w:noProof/>
            <w:webHidden/>
          </w:rPr>
          <w:fldChar w:fldCharType="begin"/>
        </w:r>
        <w:r w:rsidR="00FA26A9">
          <w:rPr>
            <w:noProof/>
            <w:webHidden/>
          </w:rPr>
          <w:instrText xml:space="preserve"> PAGEREF _Toc439931879 \h </w:instrText>
        </w:r>
        <w:r w:rsidR="00FA26A9">
          <w:rPr>
            <w:noProof/>
            <w:webHidden/>
          </w:rPr>
        </w:r>
        <w:r w:rsidR="00FA26A9">
          <w:rPr>
            <w:noProof/>
            <w:webHidden/>
          </w:rPr>
          <w:fldChar w:fldCharType="separate"/>
        </w:r>
        <w:r w:rsidR="00D63667">
          <w:rPr>
            <w:noProof/>
            <w:webHidden/>
          </w:rPr>
          <w:t>2</w:t>
        </w:r>
        <w:r w:rsidR="00FA26A9">
          <w:rPr>
            <w:noProof/>
            <w:webHidden/>
          </w:rPr>
          <w:fldChar w:fldCharType="end"/>
        </w:r>
      </w:hyperlink>
    </w:p>
    <w:p w14:paraId="774536CD" w14:textId="6AE3D245" w:rsidR="00FA26A9" w:rsidRDefault="00796FE4">
      <w:pPr>
        <w:pStyle w:val="TableofFigures"/>
        <w:tabs>
          <w:tab w:val="right" w:leader="dot" w:pos="8918"/>
        </w:tabs>
        <w:rPr>
          <w:rFonts w:asciiTheme="minorHAnsi" w:hAnsiTheme="minorHAnsi"/>
          <w:b w:val="0"/>
          <w:smallCaps w:val="0"/>
          <w:noProof/>
          <w:lang w:bidi="ar-SA"/>
        </w:rPr>
      </w:pPr>
      <w:hyperlink w:anchor="_Toc439931880" w:history="1">
        <w:r w:rsidR="00FA26A9" w:rsidRPr="00B20392">
          <w:rPr>
            <w:rStyle w:val="Hyperlink"/>
            <w:noProof/>
          </w:rPr>
          <w:t>Table 49: Fuel Switching—Estimated Savings Due to Program Incentive Over Ten Years</w:t>
        </w:r>
        <w:r w:rsidR="00FA26A9">
          <w:rPr>
            <w:noProof/>
            <w:webHidden/>
          </w:rPr>
          <w:tab/>
        </w:r>
        <w:r w:rsidR="00A278F2">
          <w:rPr>
            <w:noProof/>
            <w:webHidden/>
          </w:rPr>
          <w:t>D</w:t>
        </w:r>
        <w:r w:rsidR="00A278F2" w:rsidRPr="00A278F2">
          <w:rPr>
            <w:noProof/>
            <w:webHidden/>
          </w:rPr>
          <w:t>-</w:t>
        </w:r>
        <w:r w:rsidR="00FA26A9">
          <w:rPr>
            <w:noProof/>
            <w:webHidden/>
          </w:rPr>
          <w:fldChar w:fldCharType="begin"/>
        </w:r>
        <w:r w:rsidR="00FA26A9">
          <w:rPr>
            <w:noProof/>
            <w:webHidden/>
          </w:rPr>
          <w:instrText xml:space="preserve"> PAGEREF _Toc439931880 \h </w:instrText>
        </w:r>
        <w:r w:rsidR="00FA26A9">
          <w:rPr>
            <w:noProof/>
            <w:webHidden/>
          </w:rPr>
        </w:r>
        <w:r w:rsidR="00FA26A9">
          <w:rPr>
            <w:noProof/>
            <w:webHidden/>
          </w:rPr>
          <w:fldChar w:fldCharType="separate"/>
        </w:r>
        <w:r w:rsidR="00D63667">
          <w:rPr>
            <w:noProof/>
            <w:webHidden/>
          </w:rPr>
          <w:t>3</w:t>
        </w:r>
        <w:r w:rsidR="00FA26A9">
          <w:rPr>
            <w:noProof/>
            <w:webHidden/>
          </w:rPr>
          <w:fldChar w:fldCharType="end"/>
        </w:r>
      </w:hyperlink>
    </w:p>
    <w:p w14:paraId="35543C87" w14:textId="4763222B" w:rsidR="00FA26A9" w:rsidRDefault="00796FE4">
      <w:pPr>
        <w:pStyle w:val="TableofFigures"/>
        <w:tabs>
          <w:tab w:val="right" w:leader="dot" w:pos="8918"/>
        </w:tabs>
        <w:rPr>
          <w:rFonts w:asciiTheme="minorHAnsi" w:hAnsiTheme="minorHAnsi"/>
          <w:b w:val="0"/>
          <w:smallCaps w:val="0"/>
          <w:noProof/>
          <w:lang w:bidi="ar-SA"/>
        </w:rPr>
      </w:pPr>
      <w:hyperlink w:anchor="_Toc439931881" w:history="1">
        <w:r w:rsidR="00FA26A9" w:rsidRPr="00B20392">
          <w:rPr>
            <w:rStyle w:val="Hyperlink"/>
            <w:noProof/>
          </w:rPr>
          <w:t>Table 50: Fuel Switching—Maximum Impacts of Fuel Switching by End Use Under the 100% Conversion Rate</w:t>
        </w:r>
        <w:r w:rsidR="00FA26A9" w:rsidRPr="00B20392">
          <w:rPr>
            <w:rStyle w:val="Hyperlink"/>
            <w:noProof/>
            <w:vertAlign w:val="superscript"/>
          </w:rPr>
          <w:t>i</w:t>
        </w:r>
        <w:r w:rsidR="00FA26A9">
          <w:rPr>
            <w:noProof/>
            <w:webHidden/>
          </w:rPr>
          <w:tab/>
        </w:r>
        <w:r w:rsidR="00A278F2">
          <w:rPr>
            <w:noProof/>
            <w:webHidden/>
          </w:rPr>
          <w:t>D</w:t>
        </w:r>
        <w:r w:rsidR="00A278F2" w:rsidRPr="00A278F2">
          <w:rPr>
            <w:noProof/>
            <w:webHidden/>
          </w:rPr>
          <w:t>-</w:t>
        </w:r>
        <w:r w:rsidR="00FA26A9">
          <w:rPr>
            <w:noProof/>
            <w:webHidden/>
          </w:rPr>
          <w:fldChar w:fldCharType="begin"/>
        </w:r>
        <w:r w:rsidR="00FA26A9">
          <w:rPr>
            <w:noProof/>
            <w:webHidden/>
          </w:rPr>
          <w:instrText xml:space="preserve"> PAGEREF _Toc439931881 \h </w:instrText>
        </w:r>
        <w:r w:rsidR="00FA26A9">
          <w:rPr>
            <w:noProof/>
            <w:webHidden/>
          </w:rPr>
        </w:r>
        <w:r w:rsidR="00FA26A9">
          <w:rPr>
            <w:noProof/>
            <w:webHidden/>
          </w:rPr>
          <w:fldChar w:fldCharType="separate"/>
        </w:r>
        <w:r w:rsidR="00D63667">
          <w:rPr>
            <w:noProof/>
            <w:webHidden/>
          </w:rPr>
          <w:t>4</w:t>
        </w:r>
        <w:r w:rsidR="00FA26A9">
          <w:rPr>
            <w:noProof/>
            <w:webHidden/>
          </w:rPr>
          <w:fldChar w:fldCharType="end"/>
        </w:r>
      </w:hyperlink>
    </w:p>
    <w:p w14:paraId="7BA2C9CD" w14:textId="044839BF" w:rsidR="00FA26A9" w:rsidRDefault="00796FE4">
      <w:pPr>
        <w:pStyle w:val="TableofFigures"/>
        <w:tabs>
          <w:tab w:val="right" w:leader="dot" w:pos="8918"/>
        </w:tabs>
        <w:rPr>
          <w:rFonts w:asciiTheme="minorHAnsi" w:hAnsiTheme="minorHAnsi"/>
          <w:b w:val="0"/>
          <w:smallCaps w:val="0"/>
          <w:noProof/>
          <w:lang w:bidi="ar-SA"/>
        </w:rPr>
      </w:pPr>
      <w:hyperlink w:anchor="_Toc439931882" w:history="1">
        <w:r w:rsidR="00FA26A9" w:rsidRPr="00B20392">
          <w:rPr>
            <w:rStyle w:val="Hyperlink"/>
            <w:noProof/>
          </w:rPr>
          <w:t>Table 51: Federal Standards for Heating &amp; Cooling Equipment</w:t>
        </w:r>
        <w:r w:rsidR="00FA26A9">
          <w:rPr>
            <w:noProof/>
            <w:webHidden/>
          </w:rPr>
          <w:tab/>
        </w:r>
        <w:r w:rsidR="00A278F2">
          <w:rPr>
            <w:noProof/>
            <w:webHidden/>
          </w:rPr>
          <w:t>F-</w:t>
        </w:r>
        <w:r w:rsidR="00FA26A9">
          <w:rPr>
            <w:noProof/>
            <w:webHidden/>
          </w:rPr>
          <w:fldChar w:fldCharType="begin"/>
        </w:r>
        <w:r w:rsidR="00FA26A9">
          <w:rPr>
            <w:noProof/>
            <w:webHidden/>
          </w:rPr>
          <w:instrText xml:space="preserve"> PAGEREF _Toc439931882 \h </w:instrText>
        </w:r>
        <w:r w:rsidR="00FA26A9">
          <w:rPr>
            <w:noProof/>
            <w:webHidden/>
          </w:rPr>
        </w:r>
        <w:r w:rsidR="00FA26A9">
          <w:rPr>
            <w:noProof/>
            <w:webHidden/>
          </w:rPr>
          <w:fldChar w:fldCharType="separate"/>
        </w:r>
        <w:r w:rsidR="00D63667">
          <w:rPr>
            <w:noProof/>
            <w:webHidden/>
          </w:rPr>
          <w:t>2</w:t>
        </w:r>
        <w:r w:rsidR="00FA26A9">
          <w:rPr>
            <w:noProof/>
            <w:webHidden/>
          </w:rPr>
          <w:fldChar w:fldCharType="end"/>
        </w:r>
      </w:hyperlink>
    </w:p>
    <w:p w14:paraId="2F24B79B" w14:textId="10E9FF73" w:rsidR="00FA26A9" w:rsidRDefault="00796FE4">
      <w:pPr>
        <w:pStyle w:val="TableofFigures"/>
        <w:tabs>
          <w:tab w:val="right" w:leader="dot" w:pos="8918"/>
        </w:tabs>
        <w:rPr>
          <w:rFonts w:asciiTheme="minorHAnsi" w:hAnsiTheme="minorHAnsi"/>
          <w:b w:val="0"/>
          <w:smallCaps w:val="0"/>
          <w:noProof/>
          <w:lang w:bidi="ar-SA"/>
        </w:rPr>
      </w:pPr>
      <w:hyperlink w:anchor="_Toc439931883" w:history="1">
        <w:r w:rsidR="00FA26A9" w:rsidRPr="00B20392">
          <w:rPr>
            <w:rStyle w:val="Hyperlink"/>
            <w:noProof/>
          </w:rPr>
          <w:t>Table 52: Federal Standards for Water Heating Equipment</w:t>
        </w:r>
        <w:r w:rsidR="00FA26A9">
          <w:rPr>
            <w:noProof/>
            <w:webHidden/>
          </w:rPr>
          <w:tab/>
        </w:r>
        <w:r w:rsidR="00A278F2">
          <w:rPr>
            <w:noProof/>
            <w:webHidden/>
          </w:rPr>
          <w:t>F</w:t>
        </w:r>
        <w:r w:rsidR="00A278F2" w:rsidRPr="00A278F2">
          <w:rPr>
            <w:noProof/>
            <w:webHidden/>
          </w:rPr>
          <w:t>-</w:t>
        </w:r>
        <w:r w:rsidR="00FA26A9">
          <w:rPr>
            <w:noProof/>
            <w:webHidden/>
          </w:rPr>
          <w:fldChar w:fldCharType="begin"/>
        </w:r>
        <w:r w:rsidR="00FA26A9">
          <w:rPr>
            <w:noProof/>
            <w:webHidden/>
          </w:rPr>
          <w:instrText xml:space="preserve"> PAGEREF _Toc439931883 \h </w:instrText>
        </w:r>
        <w:r w:rsidR="00FA26A9">
          <w:rPr>
            <w:noProof/>
            <w:webHidden/>
          </w:rPr>
        </w:r>
        <w:r w:rsidR="00FA26A9">
          <w:rPr>
            <w:noProof/>
            <w:webHidden/>
          </w:rPr>
          <w:fldChar w:fldCharType="separate"/>
        </w:r>
        <w:r w:rsidR="00D63667">
          <w:rPr>
            <w:noProof/>
            <w:webHidden/>
          </w:rPr>
          <w:t>2</w:t>
        </w:r>
        <w:r w:rsidR="00FA26A9">
          <w:rPr>
            <w:noProof/>
            <w:webHidden/>
          </w:rPr>
          <w:fldChar w:fldCharType="end"/>
        </w:r>
      </w:hyperlink>
    </w:p>
    <w:p w14:paraId="2EA49225" w14:textId="56F60B40" w:rsidR="00FA26A9" w:rsidRDefault="00796FE4">
      <w:pPr>
        <w:pStyle w:val="TableofFigures"/>
        <w:tabs>
          <w:tab w:val="right" w:leader="dot" w:pos="8918"/>
        </w:tabs>
        <w:rPr>
          <w:rFonts w:asciiTheme="minorHAnsi" w:hAnsiTheme="minorHAnsi"/>
          <w:b w:val="0"/>
          <w:smallCaps w:val="0"/>
          <w:noProof/>
          <w:lang w:bidi="ar-SA"/>
        </w:rPr>
      </w:pPr>
      <w:hyperlink w:anchor="_Toc439931884" w:history="1">
        <w:r w:rsidR="00FA26A9" w:rsidRPr="00B20392">
          <w:rPr>
            <w:rStyle w:val="Hyperlink"/>
            <w:noProof/>
          </w:rPr>
          <w:t>Table 53: Federal Standards for Appliances</w:t>
        </w:r>
        <w:r w:rsidR="00FA26A9">
          <w:rPr>
            <w:noProof/>
            <w:webHidden/>
          </w:rPr>
          <w:tab/>
        </w:r>
        <w:r w:rsidR="00A278F2">
          <w:rPr>
            <w:noProof/>
            <w:webHidden/>
          </w:rPr>
          <w:t>F</w:t>
        </w:r>
        <w:r w:rsidR="00A278F2" w:rsidRPr="00A278F2">
          <w:rPr>
            <w:noProof/>
            <w:webHidden/>
          </w:rPr>
          <w:t>-</w:t>
        </w:r>
        <w:r w:rsidR="00FA26A9">
          <w:rPr>
            <w:noProof/>
            <w:webHidden/>
          </w:rPr>
          <w:fldChar w:fldCharType="begin"/>
        </w:r>
        <w:r w:rsidR="00FA26A9">
          <w:rPr>
            <w:noProof/>
            <w:webHidden/>
          </w:rPr>
          <w:instrText xml:space="preserve"> PAGEREF _Toc439931884 \h </w:instrText>
        </w:r>
        <w:r w:rsidR="00FA26A9">
          <w:rPr>
            <w:noProof/>
            <w:webHidden/>
          </w:rPr>
        </w:r>
        <w:r w:rsidR="00FA26A9">
          <w:rPr>
            <w:noProof/>
            <w:webHidden/>
          </w:rPr>
          <w:fldChar w:fldCharType="separate"/>
        </w:r>
        <w:r w:rsidR="00D63667">
          <w:rPr>
            <w:noProof/>
            <w:webHidden/>
          </w:rPr>
          <w:t>2</w:t>
        </w:r>
        <w:r w:rsidR="00FA26A9">
          <w:rPr>
            <w:noProof/>
            <w:webHidden/>
          </w:rPr>
          <w:fldChar w:fldCharType="end"/>
        </w:r>
      </w:hyperlink>
    </w:p>
    <w:p w14:paraId="6CFEDDC7" w14:textId="65BAF17B" w:rsidR="00252FE7" w:rsidRPr="00F6205B" w:rsidRDefault="00796FE4" w:rsidP="003A6CD9">
      <w:pPr>
        <w:pStyle w:val="TableofFigures"/>
        <w:tabs>
          <w:tab w:val="right" w:leader="dot" w:pos="8918"/>
        </w:tabs>
      </w:pPr>
      <w:hyperlink w:anchor="_Toc439931885" w:history="1">
        <w:r w:rsidR="00FA26A9" w:rsidRPr="00B20392">
          <w:rPr>
            <w:rStyle w:val="Hyperlink"/>
            <w:noProof/>
          </w:rPr>
          <w:t>Table 54: Future Market Penetration Assumptions</w:t>
        </w:r>
        <w:r w:rsidR="00FA26A9">
          <w:rPr>
            <w:noProof/>
            <w:webHidden/>
          </w:rPr>
          <w:tab/>
        </w:r>
        <w:r w:rsidR="00A278F2">
          <w:rPr>
            <w:noProof/>
            <w:webHidden/>
          </w:rPr>
          <w:t>F</w:t>
        </w:r>
        <w:r w:rsidR="00A278F2" w:rsidRPr="00A278F2">
          <w:rPr>
            <w:noProof/>
            <w:webHidden/>
          </w:rPr>
          <w:t>-</w:t>
        </w:r>
        <w:r w:rsidR="00FA26A9">
          <w:rPr>
            <w:noProof/>
            <w:webHidden/>
          </w:rPr>
          <w:fldChar w:fldCharType="begin"/>
        </w:r>
        <w:r w:rsidR="00FA26A9">
          <w:rPr>
            <w:noProof/>
            <w:webHidden/>
          </w:rPr>
          <w:instrText xml:space="preserve"> PAGEREF _Toc439931885 \h </w:instrText>
        </w:r>
        <w:r w:rsidR="00FA26A9">
          <w:rPr>
            <w:noProof/>
            <w:webHidden/>
          </w:rPr>
        </w:r>
        <w:r w:rsidR="00FA26A9">
          <w:rPr>
            <w:noProof/>
            <w:webHidden/>
          </w:rPr>
          <w:fldChar w:fldCharType="separate"/>
        </w:r>
        <w:r w:rsidR="00D63667">
          <w:rPr>
            <w:noProof/>
            <w:webHidden/>
          </w:rPr>
          <w:t>3</w:t>
        </w:r>
        <w:r w:rsidR="00FA26A9">
          <w:rPr>
            <w:noProof/>
            <w:webHidden/>
          </w:rPr>
          <w:fldChar w:fldCharType="end"/>
        </w:r>
      </w:hyperlink>
      <w:r w:rsidR="00866098" w:rsidRPr="00F6205B">
        <w:fldChar w:fldCharType="end"/>
      </w:r>
    </w:p>
    <w:p w14:paraId="088F1DAC" w14:textId="77777777" w:rsidR="00252FE7" w:rsidRPr="00F6205B" w:rsidRDefault="00252FE7" w:rsidP="007C3F25">
      <w:pPr>
        <w:sectPr w:rsidR="00252FE7" w:rsidRPr="00F6205B" w:rsidSect="00012A1E">
          <w:footerReference w:type="default" r:id="rId22"/>
          <w:headerReference w:type="first" r:id="rId23"/>
          <w:footerReference w:type="first" r:id="rId24"/>
          <w:pgSz w:w="12240" w:h="15840"/>
          <w:pgMar w:top="1440" w:right="1872" w:bottom="1440" w:left="1440" w:header="0" w:footer="0" w:gutter="0"/>
          <w:pgNumType w:fmt="upperRoman" w:start="1"/>
          <w:cols w:space="720"/>
          <w:titlePg/>
          <w:docGrid w:linePitch="272"/>
        </w:sectPr>
      </w:pPr>
    </w:p>
    <w:bookmarkStart w:id="7" w:name="_Toc439939378"/>
    <w:bookmarkStart w:id="8" w:name="ExecutiveSummary"/>
    <w:bookmarkStart w:id="9" w:name="Headline1"/>
    <w:p w14:paraId="7572050E" w14:textId="2A71DA42" w:rsidR="005A095F" w:rsidRPr="00F6205B" w:rsidRDefault="00D778B5" w:rsidP="00E320CA">
      <w:pPr>
        <w:pStyle w:val="Heading1"/>
      </w:pPr>
      <w:r w:rsidRPr="00F6205B">
        <w:lastRenderedPageBreak/>
        <mc:AlternateContent>
          <mc:Choice Requires="wps">
            <w:drawing>
              <wp:anchor distT="0" distB="0" distL="114300" distR="114300" simplePos="0" relativeHeight="251681792" behindDoc="0" locked="0" layoutInCell="1" allowOverlap="1" wp14:anchorId="5154E1BF" wp14:editId="227192AE">
                <wp:simplePos x="0" y="0"/>
                <wp:positionH relativeFrom="column">
                  <wp:posOffset>-19050</wp:posOffset>
                </wp:positionH>
                <wp:positionV relativeFrom="paragraph">
                  <wp:posOffset>35560</wp:posOffset>
                </wp:positionV>
                <wp:extent cx="1143000" cy="1143000"/>
                <wp:effectExtent l="0" t="0" r="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BF2BC98" w14:textId="77777777" w:rsidR="009027EC" w:rsidRPr="00691F20" w:rsidRDefault="009027EC" w:rsidP="00B87121">
                            <w:pPr>
                              <w:spacing w:after="0"/>
                              <w:jc w:val="center"/>
                              <w:rPr>
                                <w:b/>
                                <w:color w:val="FFFFFF" w:themeColor="background1"/>
                                <w:sz w:val="112"/>
                                <w:szCs w:val="112"/>
                              </w:rPr>
                            </w:pPr>
                            <w:r w:rsidRPr="00691F20">
                              <w:rPr>
                                <w:b/>
                                <w:color w:val="FFFFFF" w:themeColor="background1"/>
                                <w:sz w:val="112"/>
                                <w:szCs w:val="112"/>
                              </w:rPr>
                              <w: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154E1BF" id="Text Box 29" o:spid="_x0000_s1027" type="#_x0000_t202" style="position:absolute;margin-left:-1.5pt;margin-top:2.8pt;width:90pt;height:9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6JzxgIAAPEFAAAOAAAAZHJzL2Uyb0RvYy54bWysVFtv2jAUfp+0/2D5nSah9AJqqFIqpklo&#10;rdZOfTaODVEdH882EDbtv+/YSSjt9tJpL4nPOd+5X66um1qRrbCuAp3T7CSlRGgOZaVXOf32OB9c&#10;UuI80yVToEVO98LR6+nHD1c7MxFDWIMqhSVoRLvJzuR07b2ZJInja1EzdwJGaBRKsDXzSNpVUlq2&#10;Q+u1SoZpep7swJbGAhfOIfe2FdJptC+l4P5OSic8UTnF2Hz82vhdhm8yvWKTlWVmXfEuDPYPUdSs&#10;0uj0YOqWeUY2tvrDVF1xCw6kP+FQJyBlxUXMAbPJ0jfZPKyZETEXLI4zhzK5/2eWf9neW1KVOR2O&#10;KdGsxh49isaTG2gIsrA+O+MmCHswCPQN8rHPMVdnFsCfHUKSI0yr4BAd6tFIW4c/ZkpQEVuwP5Q9&#10;uOHBWjY6TVMUcZT1RLD6om6s858E1CQ8cmqxrzEEtl0430J7SPDmQFXlvFIqEna1nClLtizMwPz8&#10;4vQmpIXWX8GUDmANQa0VtxwRp6h1wyYYMz4DMkQfO/xzdnYxLC7OxoPz4iwbjLL0clAU6XBwOy/S&#10;Ih3NZ+PRza/OZa8fK9YWKdTO+b0SwarSX4XEfsRaxejDJohD/IxzoX3WWYvogJIY9HsUO3zMI+b3&#10;HuW2IqgRPYP2B+W60mDb2XgddvnchyxbfDczXd6hBL5ZNnEQIzJwllDuceYstFvrDJ9X2P4Fc/6e&#10;WVxTHBk8Pf4OP1LBLqfQvShZg/3xN37A4/aglJIdrn1O3fcNs4IS9VnjXo2z0SjciUiMsLFI2GPJ&#10;8liiN/UMcKoyPHKGx2fAe9U/pYX6CS9UEbyiiGmOvnPKve2JmW/PEd44LooiwvA2GOYX+sHwftnC&#10;eD82T8yabgc8jtIX6E8Em7xZhRYbOqSh2HiQVdyTl7p2HcC7Enehu4HhcB3TEfVyqae/AQAA//8D&#10;AFBLAwQUAAYACAAAACEA0OD7HtwAAAAIAQAADwAAAGRycy9kb3ducmV2LnhtbEyPT0/DMAzF70h8&#10;h8hI3LZ0/Nmm0nRCDMSBExsHjm7jtRWJU5psLd8e7wQ3Pz/r+feKzeSdOtEQu8AGFvMMFHEdbMeN&#10;gY/9y2wNKiZkiy4wGfihCJvy8qLA3IaR3+m0S42SEI45GmhT6nOtY92SxzgPPbF4hzB4TCKHRtsB&#10;Rwn3Tt9k2VJ77Fg+tNjTU0v11+7oDWBWbSPzs311h7d6O35/7ofFnTHXV9PjA6hEU/o7hjO+oEMp&#10;TFU4so3KGZjdSpVk4H4J6myvVqIrGday0WWh/xcofwEAAP//AwBQSwECLQAUAAYACAAAACEAtoM4&#10;kv4AAADhAQAAEwAAAAAAAAAAAAAAAAAAAAAAW0NvbnRlbnRfVHlwZXNdLnhtbFBLAQItABQABgAI&#10;AAAAIQA4/SH/1gAAAJQBAAALAAAAAAAAAAAAAAAAAC8BAABfcmVscy8ucmVsc1BLAQItABQABgAI&#10;AAAAIQCvX6JzxgIAAPEFAAAOAAAAAAAAAAAAAAAAAC4CAABkcnMvZTJvRG9jLnhtbFBLAQItABQA&#10;BgAIAAAAIQDQ4Pse3AAAAAgBAAAPAAAAAAAAAAAAAAAAACAFAABkcnMvZG93bnJldi54bWxQSwUG&#10;AAAAAAQABADzAAAAKQYAAAAA&#10;" fillcolor="#0f673b" stroked="f">
                <v:path arrowok="t"/>
                <v:textbox>
                  <w:txbxContent>
                    <w:p w14:paraId="4BF2BC98" w14:textId="77777777" w:rsidR="009027EC" w:rsidRPr="00691F20" w:rsidRDefault="009027EC" w:rsidP="00B87121">
                      <w:pPr>
                        <w:spacing w:after="0"/>
                        <w:jc w:val="center"/>
                        <w:rPr>
                          <w:b/>
                          <w:color w:val="FFFFFF" w:themeColor="background1"/>
                          <w:sz w:val="112"/>
                          <w:szCs w:val="112"/>
                        </w:rPr>
                      </w:pPr>
                      <w:r w:rsidRPr="00691F20">
                        <w:rPr>
                          <w:b/>
                          <w:color w:val="FFFFFF" w:themeColor="background1"/>
                          <w:sz w:val="112"/>
                          <w:szCs w:val="112"/>
                        </w:rPr>
                        <w:t>ES</w:t>
                      </w:r>
                    </w:p>
                  </w:txbxContent>
                </v:textbox>
                <w10:wrap type="square"/>
              </v:shape>
            </w:pict>
          </mc:Fallback>
        </mc:AlternateContent>
      </w:r>
      <w:r w:rsidR="005A095F" w:rsidRPr="00F6205B">
        <w:t>Executive Summary</w:t>
      </w:r>
      <w:bookmarkEnd w:id="7"/>
      <w:r w:rsidR="005A095F" w:rsidRPr="00F6205B">
        <w:t xml:space="preserve"> </w:t>
      </w:r>
    </w:p>
    <w:bookmarkEnd w:id="8"/>
    <w:p w14:paraId="3712C440" w14:textId="16F78245" w:rsidR="00921C8C" w:rsidRPr="00F6205B" w:rsidRDefault="00921C8C" w:rsidP="00921C8C">
      <w:r w:rsidRPr="00F6205B">
        <w:t>This report contains</w:t>
      </w:r>
      <w:r w:rsidR="00F03CDC" w:rsidRPr="00F6205B">
        <w:t xml:space="preserve"> the</w:t>
      </w:r>
      <w:r w:rsidRPr="00F6205B">
        <w:t xml:space="preserve"> findings of a </w:t>
      </w:r>
      <w:r w:rsidR="00F03CDC" w:rsidRPr="00F6205B">
        <w:t xml:space="preserve">single-family </w:t>
      </w:r>
      <w:r w:rsidRPr="00F6205B">
        <w:t xml:space="preserve">residential </w:t>
      </w:r>
      <w:r w:rsidR="00F03CDC" w:rsidRPr="00F6205B">
        <w:t>potential savings s</w:t>
      </w:r>
      <w:r w:rsidRPr="00F6205B">
        <w:t>tudy which NMR conducted on behalf of the Connecticut Energy Efficiency Board (EEB). The study estimates the potential heating oil, natural gas, propane, and electricity savings from upgrading the efficiency of existing sin</w:t>
      </w:r>
      <w:r w:rsidR="00DA3CF9" w:rsidRPr="00F6205B">
        <w:t>gle-family homes in the state. It</w:t>
      </w:r>
      <w:r w:rsidRPr="00F6205B">
        <w:t xml:space="preserve"> mak</w:t>
      </w:r>
      <w:r w:rsidR="00DA3CF9" w:rsidRPr="00F6205B">
        <w:t>es</w:t>
      </w:r>
      <w:r w:rsidRPr="00F6205B">
        <w:t xml:space="preserve"> use of home energy data gathered over the course of 180 on-site assessments</w:t>
      </w:r>
      <w:r w:rsidR="00E6644E" w:rsidRPr="00F6205B">
        <w:t>, which</w:t>
      </w:r>
      <w:r w:rsidRPr="00F6205B">
        <w:t xml:space="preserve"> were conducted between September 2012 and January 2013 for the Connecticut Weatherization Baseline Assessment.</w:t>
      </w:r>
      <w:r w:rsidRPr="00F6205B">
        <w:rPr>
          <w:rStyle w:val="FootnoteReference"/>
        </w:rPr>
        <w:footnoteReference w:id="6"/>
      </w:r>
    </w:p>
    <w:p w14:paraId="65FFAAB5" w14:textId="4DF075C7" w:rsidR="00921C8C" w:rsidRPr="00F6205B" w:rsidRDefault="00921C8C" w:rsidP="00921C8C">
      <w:r w:rsidRPr="00F6205B">
        <w:t xml:space="preserve">The results presented in this document describe technical, cost-effective, </w:t>
      </w:r>
      <w:r w:rsidR="006C7EF9" w:rsidRPr="00F6205B">
        <w:t xml:space="preserve">maximum </w:t>
      </w:r>
      <w:r w:rsidRPr="00F6205B">
        <w:t>achievable, and fuel switching potential savings results.</w:t>
      </w:r>
      <w:r w:rsidR="005C363C" w:rsidRPr="00F6205B">
        <w:t xml:space="preserve"> The technical potential, cost-effective</w:t>
      </w:r>
      <w:r w:rsidRPr="00F6205B">
        <w:t xml:space="preserve">, and </w:t>
      </w:r>
      <w:r w:rsidR="005C363C" w:rsidRPr="00F6205B">
        <w:t xml:space="preserve">maximum </w:t>
      </w:r>
      <w:r w:rsidRPr="00F6205B">
        <w:t xml:space="preserve">achievable savings should be considered as </w:t>
      </w:r>
      <w:r w:rsidR="009E4304" w:rsidRPr="00F6205B">
        <w:t>three</w:t>
      </w:r>
      <w:r w:rsidRPr="00F6205B">
        <w:t xml:space="preserve"> steps in the same analysis. The fuel switching results</w:t>
      </w:r>
      <w:r w:rsidR="00083E94" w:rsidRPr="00F6205B">
        <w:t>, however,</w:t>
      </w:r>
      <w:r w:rsidRPr="00F6205B">
        <w:t xml:space="preserve"> should be viewed and considered independently</w:t>
      </w:r>
      <w:r w:rsidR="000B574A" w:rsidRPr="00F6205B">
        <w:t>—</w:t>
      </w:r>
      <w:r w:rsidR="00EF0D7C" w:rsidRPr="00F6205B">
        <w:t>t</w:t>
      </w:r>
      <w:r w:rsidRPr="00F6205B">
        <w:t>he savings presented in the fuel switching potential section are not meant to be additive to the savings presented in any of the other sections, as some of the measure upgrades overlap.</w:t>
      </w:r>
      <w:r w:rsidRPr="00F6205B">
        <w:rPr>
          <w:rStyle w:val="FootnoteReference"/>
        </w:rPr>
        <w:footnoteReference w:id="7"/>
      </w:r>
      <w:r w:rsidRPr="00F6205B">
        <w:t xml:space="preserve"> </w:t>
      </w:r>
    </w:p>
    <w:p w14:paraId="1C44CB55" w14:textId="0434F1C8" w:rsidR="00921C8C" w:rsidRPr="00F6205B" w:rsidRDefault="00921C8C" w:rsidP="00921C8C">
      <w:r w:rsidRPr="00F6205B">
        <w:t xml:space="preserve">The following descriptions detail each of the four critical study components. See </w:t>
      </w:r>
      <w:r w:rsidR="00545A0F" w:rsidRPr="00F6205B">
        <w:t xml:space="preserve">the </w:t>
      </w:r>
      <w:r w:rsidR="00545A0F" w:rsidRPr="00F6205B">
        <w:fldChar w:fldCharType="begin"/>
      </w:r>
      <w:r w:rsidR="00545A0F" w:rsidRPr="00F6205B">
        <w:instrText xml:space="preserve"> REF _Ref439250720 \h </w:instrText>
      </w:r>
      <w:r w:rsidR="00F6205B">
        <w:instrText xml:space="preserve"> \* MERGEFORMAT </w:instrText>
      </w:r>
      <w:r w:rsidR="00545A0F" w:rsidRPr="00F6205B">
        <w:fldChar w:fldCharType="separate"/>
      </w:r>
      <w:r w:rsidR="00FA26A9" w:rsidRPr="00F6205B">
        <w:t>Methodology</w:t>
      </w:r>
      <w:r w:rsidR="00545A0F" w:rsidRPr="00F6205B">
        <w:fldChar w:fldCharType="end"/>
      </w:r>
      <w:r w:rsidR="00545A0F" w:rsidRPr="00F6205B">
        <w:t xml:space="preserve"> section</w:t>
      </w:r>
      <w:r w:rsidR="006B6C9A" w:rsidRPr="00F6205B">
        <w:t xml:space="preserve"> </w:t>
      </w:r>
      <w:r w:rsidR="00545A0F" w:rsidRPr="00F6205B">
        <w:t xml:space="preserve">of this report </w:t>
      </w:r>
      <w:r w:rsidRPr="00F6205B">
        <w:t>for details on the methodology, which vary for each study component.</w:t>
      </w:r>
    </w:p>
    <w:p w14:paraId="44CFA516" w14:textId="77777777" w:rsidR="00506409" w:rsidRPr="00F6205B" w:rsidRDefault="00506409" w:rsidP="003A6CD9">
      <w:pPr>
        <w:pStyle w:val="ListParagraph"/>
        <w:numPr>
          <w:ilvl w:val="0"/>
          <w:numId w:val="4"/>
        </w:numPr>
      </w:pPr>
      <w:r>
        <w:rPr>
          <w:b/>
        </w:rPr>
        <w:t>Technical p</w:t>
      </w:r>
      <w:r w:rsidRPr="00F6205B">
        <w:rPr>
          <w:b/>
        </w:rPr>
        <w:t>otent</w:t>
      </w:r>
      <w:r>
        <w:rPr>
          <w:b/>
        </w:rPr>
        <w:t>ial savings</w:t>
      </w:r>
      <w:r w:rsidRPr="00F6205B">
        <w:t xml:space="preserve"> </w:t>
      </w:r>
      <w:r>
        <w:t>are t</w:t>
      </w:r>
      <w:r w:rsidRPr="00F6205B">
        <w:t>he energy savings that are technically feasible</w:t>
      </w:r>
      <w:r w:rsidRPr="00F6205B">
        <w:rPr>
          <w:rStyle w:val="FootnoteReference"/>
        </w:rPr>
        <w:footnoteReference w:id="8"/>
      </w:r>
      <w:r w:rsidRPr="00F6205B">
        <w:t xml:space="preserve"> over a ten-year period from 2016 to 2025. These estimates do not take into account the cost-effectiveness of upgrades, and assume that all upgrades are applied immediately.</w:t>
      </w:r>
    </w:p>
    <w:p w14:paraId="6CFD11F5" w14:textId="77777777" w:rsidR="00506409" w:rsidRPr="00F6205B" w:rsidRDefault="00506409" w:rsidP="003A6CD9">
      <w:pPr>
        <w:pStyle w:val="ListParagraph"/>
        <w:numPr>
          <w:ilvl w:val="0"/>
          <w:numId w:val="5"/>
        </w:numPr>
      </w:pPr>
      <w:r>
        <w:rPr>
          <w:b/>
        </w:rPr>
        <w:t>Cost-effective p</w:t>
      </w:r>
      <w:r w:rsidRPr="00F6205B">
        <w:rPr>
          <w:b/>
        </w:rPr>
        <w:t>otential</w:t>
      </w:r>
      <w:r>
        <w:rPr>
          <w:b/>
        </w:rPr>
        <w:t xml:space="preserve"> s</w:t>
      </w:r>
      <w:r w:rsidRPr="00F6205B">
        <w:rPr>
          <w:b/>
        </w:rPr>
        <w:t>avings</w:t>
      </w:r>
      <w:r w:rsidRPr="00F6205B">
        <w:rPr>
          <w:rStyle w:val="FootnoteReference"/>
          <w:b/>
        </w:rPr>
        <w:footnoteReference w:id="9"/>
      </w:r>
      <w:r w:rsidRPr="00F6205B">
        <w:t xml:space="preserve"> </w:t>
      </w:r>
      <w:r>
        <w:t>are t</w:t>
      </w:r>
      <w:r w:rsidRPr="00F6205B">
        <w:t>he energy savings that are technically feasible and cost-effective to achieve over a ten-year period from 2016 to 2025. These estimates take into account the evolution of codes and standards, but not the likelihood of measure adoption by consumers.</w:t>
      </w:r>
    </w:p>
    <w:p w14:paraId="43A6E375" w14:textId="5E587A5C" w:rsidR="00506409" w:rsidRPr="00F6205B" w:rsidRDefault="00506409" w:rsidP="003A6CD9">
      <w:pPr>
        <w:pStyle w:val="ListParagraph"/>
        <w:numPr>
          <w:ilvl w:val="0"/>
          <w:numId w:val="5"/>
        </w:numPr>
      </w:pPr>
      <w:r w:rsidRPr="00F6205B">
        <w:rPr>
          <w:b/>
        </w:rPr>
        <w:t xml:space="preserve">Maximum </w:t>
      </w:r>
      <w:r>
        <w:rPr>
          <w:b/>
        </w:rPr>
        <w:t>achievable p</w:t>
      </w:r>
      <w:r w:rsidRPr="00F6205B">
        <w:rPr>
          <w:b/>
        </w:rPr>
        <w:t>otential</w:t>
      </w:r>
      <w:r>
        <w:rPr>
          <w:b/>
        </w:rPr>
        <w:t xml:space="preserve"> savings </w:t>
      </w:r>
      <w:r>
        <w:t>are t</w:t>
      </w:r>
      <w:r w:rsidRPr="00F6205B">
        <w:t>he energy savings that are technically feasible, cost-effective, and achievable over a ten-year period from 2016 to 2025. These estimates take into account the evolut</w:t>
      </w:r>
      <w:r>
        <w:t xml:space="preserve">ion of codes and standards, expected consumer </w:t>
      </w:r>
      <w:r w:rsidRPr="00F6205B">
        <w:t xml:space="preserve">adoption </w:t>
      </w:r>
      <w:r>
        <w:t>rate</w:t>
      </w:r>
      <w:r w:rsidRPr="00F6205B">
        <w:t xml:space="preserve">s, and </w:t>
      </w:r>
      <w:r>
        <w:t xml:space="preserve">equipment </w:t>
      </w:r>
      <w:r w:rsidRPr="00F6205B">
        <w:t xml:space="preserve">replacement schedules based </w:t>
      </w:r>
      <w:r w:rsidRPr="00F6205B">
        <w:lastRenderedPageBreak/>
        <w:t>on the effective u</w:t>
      </w:r>
      <w:r>
        <w:t xml:space="preserve">seful lifetimes of existing equipment; </w:t>
      </w:r>
      <w:r w:rsidR="00947ECF">
        <w:t xml:space="preserve">however, </w:t>
      </w:r>
      <w:r>
        <w:t xml:space="preserve">they </w:t>
      </w:r>
      <w:r w:rsidRPr="003E0E0C">
        <w:rPr>
          <w:b/>
        </w:rPr>
        <w:t>do not</w:t>
      </w:r>
      <w:r>
        <w:t xml:space="preserve"> take into account the potential impacts of incentive programs.</w:t>
      </w:r>
    </w:p>
    <w:p w14:paraId="7470D84B" w14:textId="77777777" w:rsidR="00506409" w:rsidRPr="00F6205B" w:rsidRDefault="00506409" w:rsidP="003A6CD9">
      <w:pPr>
        <w:pStyle w:val="ListParagraph"/>
        <w:numPr>
          <w:ilvl w:val="0"/>
          <w:numId w:val="5"/>
        </w:numPr>
      </w:pPr>
      <w:r>
        <w:rPr>
          <w:b/>
        </w:rPr>
        <w:t>Fuel switching potential savings</w:t>
      </w:r>
      <w:r w:rsidRPr="00F6205B">
        <w:t xml:space="preserve"> </w:t>
      </w:r>
      <w:r>
        <w:t>are t</w:t>
      </w:r>
      <w:r w:rsidRPr="00F6205B">
        <w:t>he potential impacts resulting from conversion of the heating and water heating equipment in single-family homes currently using oil, propane, biomass, or electric heating to either (a) natural gas space heating and water heating equipment, or (b) electric heat pump space heating and water heating equipment.</w:t>
      </w:r>
    </w:p>
    <w:p w14:paraId="7FF42313" w14:textId="1CE33261" w:rsidR="00921C8C" w:rsidRPr="00F6205B" w:rsidRDefault="00142EBB" w:rsidP="00921C8C">
      <w:r w:rsidRPr="00F6205B">
        <w:t>The s</w:t>
      </w:r>
      <w:r w:rsidR="0051532D">
        <w:t>tudy</w:t>
      </w:r>
      <w:r w:rsidRPr="00F6205B">
        <w:t xml:space="preserve"> used REM/Rate</w:t>
      </w:r>
      <w:r w:rsidRPr="00F6205B">
        <w:rPr>
          <w:rFonts w:cs="Times New Roman"/>
        </w:rPr>
        <w:t>™</w:t>
      </w:r>
      <w:r w:rsidRPr="00F6205B">
        <w:t xml:space="preserve"> home energy modeling software</w:t>
      </w:r>
      <w:r w:rsidRPr="00F6205B">
        <w:rPr>
          <w:rStyle w:val="FootnoteReference"/>
        </w:rPr>
        <w:footnoteReference w:id="10"/>
      </w:r>
      <w:r w:rsidRPr="00F6205B">
        <w:t xml:space="preserve"> </w:t>
      </w:r>
      <w:r w:rsidR="0010461B" w:rsidRPr="00F6205B">
        <w:t>to calculate potential</w:t>
      </w:r>
      <w:r w:rsidR="00921C8C" w:rsidRPr="00F6205B">
        <w:t xml:space="preserve"> savings </w:t>
      </w:r>
      <w:r w:rsidR="0010461B" w:rsidRPr="00F6205B">
        <w:t>for each study component</w:t>
      </w:r>
      <w:r w:rsidRPr="00F6205B">
        <w:t>.</w:t>
      </w:r>
      <w:r w:rsidR="00921C8C" w:rsidRPr="00F6205B">
        <w:t xml:space="preserve"> </w:t>
      </w:r>
      <w:r w:rsidR="00417E93" w:rsidRPr="00F6205B">
        <w:t xml:space="preserve">The 180 home energy ratings conducted as part of the </w:t>
      </w:r>
      <w:r w:rsidR="005619A0" w:rsidRPr="00F6205B">
        <w:t xml:space="preserve">Connecticut </w:t>
      </w:r>
      <w:r w:rsidR="00417E93" w:rsidRPr="00F6205B">
        <w:t xml:space="preserve">Single-Family Weatherization Baseline Assessment were each modeled in REM/Rate. These “as-built” models were then copied and adjusted to reflect various efficiency upgrades and fuel switching opportunities. The energy consumption from the as-built model was compared to the adjusted model to calculate potential savings. </w:t>
      </w:r>
      <w:r w:rsidR="00921C8C" w:rsidRPr="00F6205B">
        <w:t>More detail on the met</w:t>
      </w:r>
      <w:r w:rsidR="004F0718" w:rsidRPr="00F6205B">
        <w:t xml:space="preserve">hodology can be found in </w:t>
      </w:r>
      <w:r w:rsidR="00545A0F" w:rsidRPr="00F6205B">
        <w:t xml:space="preserve">the </w:t>
      </w:r>
      <w:r w:rsidR="00545A0F" w:rsidRPr="00F6205B">
        <w:fldChar w:fldCharType="begin"/>
      </w:r>
      <w:r w:rsidR="00545A0F" w:rsidRPr="00F6205B">
        <w:instrText xml:space="preserve"> REF _Ref439250720 \h </w:instrText>
      </w:r>
      <w:r w:rsidR="00F6205B">
        <w:instrText xml:space="preserve"> \* MERGEFORMAT </w:instrText>
      </w:r>
      <w:r w:rsidR="00545A0F" w:rsidRPr="00F6205B">
        <w:fldChar w:fldCharType="separate"/>
      </w:r>
      <w:r w:rsidR="00FA26A9" w:rsidRPr="00F6205B">
        <w:t>Methodology</w:t>
      </w:r>
      <w:r w:rsidR="00545A0F" w:rsidRPr="00F6205B">
        <w:fldChar w:fldCharType="end"/>
      </w:r>
      <w:r w:rsidR="00545A0F" w:rsidRPr="00F6205B">
        <w:t xml:space="preserve"> section of this report</w:t>
      </w:r>
      <w:r w:rsidR="00921C8C" w:rsidRPr="00F6205B">
        <w:t>.</w:t>
      </w:r>
    </w:p>
    <w:p w14:paraId="53F27A86" w14:textId="77777777" w:rsidR="00921C8C" w:rsidRPr="00F6205B" w:rsidRDefault="00921C8C" w:rsidP="00921C8C">
      <w:pPr>
        <w:pStyle w:val="Heading2"/>
        <w:numPr>
          <w:ilvl w:val="0"/>
          <w:numId w:val="0"/>
        </w:numPr>
      </w:pPr>
      <w:bookmarkStart w:id="10" w:name="_Toc391887290"/>
      <w:bookmarkStart w:id="11" w:name="_Toc439939379"/>
      <w:r w:rsidRPr="00F6205B">
        <w:t>Technical, Cost-Effective, and Achievable Potential</w:t>
      </w:r>
      <w:bookmarkEnd w:id="10"/>
      <w:bookmarkEnd w:id="11"/>
    </w:p>
    <w:p w14:paraId="185352CE" w14:textId="77777777" w:rsidR="00921C8C" w:rsidRPr="00F6205B" w:rsidRDefault="00921C8C" w:rsidP="00921C8C">
      <w:r w:rsidRPr="00F6205B">
        <w:t xml:space="preserve">This section presents high-level results of the technical, cost-effective, and achievable potential analyses. </w:t>
      </w:r>
    </w:p>
    <w:p w14:paraId="4F9C606F" w14:textId="77777777" w:rsidR="00921C8C" w:rsidRPr="00F6205B" w:rsidRDefault="00921C8C" w:rsidP="00921C8C">
      <w:pPr>
        <w:pStyle w:val="Heading3"/>
        <w:numPr>
          <w:ilvl w:val="0"/>
          <w:numId w:val="0"/>
        </w:numPr>
      </w:pPr>
      <w:bookmarkStart w:id="12" w:name="_Toc391887291"/>
      <w:bookmarkStart w:id="13" w:name="_Toc439939380"/>
      <w:r w:rsidRPr="00F6205B">
        <w:t>Energy Savings</w:t>
      </w:r>
      <w:bookmarkEnd w:id="12"/>
      <w:bookmarkEnd w:id="13"/>
    </w:p>
    <w:p w14:paraId="7179ED60" w14:textId="6A4B01EA" w:rsidR="00EE1956" w:rsidRPr="00F6205B" w:rsidRDefault="00FF1FCB" w:rsidP="00921C8C">
      <w:pPr>
        <w:tabs>
          <w:tab w:val="left" w:pos="1500"/>
        </w:tabs>
      </w:pPr>
      <w:r w:rsidRPr="00F6205B">
        <w:fldChar w:fldCharType="begin"/>
      </w:r>
      <w:r w:rsidRPr="00F6205B">
        <w:instrText xml:space="preserve"> REF _Ref439241154 \h </w:instrText>
      </w:r>
      <w:r w:rsidR="00F6205B">
        <w:instrText xml:space="preserve"> \* MERGEFORMAT </w:instrText>
      </w:r>
      <w:r w:rsidRPr="00F6205B">
        <w:fldChar w:fldCharType="separate"/>
      </w:r>
      <w:r w:rsidR="00FA26A9" w:rsidRPr="00F6205B">
        <w:t xml:space="preserve">Figure </w:t>
      </w:r>
      <w:r w:rsidR="00FA26A9">
        <w:rPr>
          <w:noProof/>
        </w:rPr>
        <w:t>2</w:t>
      </w:r>
      <w:r w:rsidRPr="00F6205B">
        <w:fldChar w:fldCharType="end"/>
      </w:r>
      <w:r w:rsidRPr="00F6205B">
        <w:t xml:space="preserve"> shows baseline consumption and potential savings </w:t>
      </w:r>
      <w:r w:rsidR="002951BF" w:rsidRPr="00F6205B">
        <w:t>from</w:t>
      </w:r>
      <w:r w:rsidRPr="00F6205B">
        <w:t xml:space="preserve"> each </w:t>
      </w:r>
      <w:r w:rsidR="00B81E2B" w:rsidRPr="00F6205B">
        <w:t>component</w:t>
      </w:r>
      <w:r w:rsidRPr="00F6205B">
        <w:t xml:space="preserve"> of the study for the first year (2016) and tenth year (2025) of the study’s ten-year window.</w:t>
      </w:r>
      <w:r w:rsidR="00E41F02" w:rsidRPr="00F6205B">
        <w:t xml:space="preserve"> While </w:t>
      </w:r>
      <w:r w:rsidR="003E529A" w:rsidRPr="00F6205B">
        <w:t xml:space="preserve">annual </w:t>
      </w:r>
      <w:r w:rsidR="00E41F02" w:rsidRPr="00F6205B">
        <w:t xml:space="preserve">cost-effective electric savings account for 21% of baseline consumption in year one, by year ten the proportion drops to 10%. This is due largely to changes in federal minimum efficiency standards for lighting and appliances. Maximum achievable </w:t>
      </w:r>
      <w:r w:rsidR="00947ECF">
        <w:t xml:space="preserve">electric </w:t>
      </w:r>
      <w:r w:rsidR="00E41F02" w:rsidRPr="00F6205B">
        <w:t>savings, which are derived from cost-effective savings, account for 5% of baseline consumption in the first year and 4% in the tenth.</w:t>
      </w:r>
    </w:p>
    <w:p w14:paraId="7A1C045D" w14:textId="6BD03435" w:rsidR="00E41F02" w:rsidRPr="00F6205B" w:rsidRDefault="003D4DB3" w:rsidP="00921C8C">
      <w:pPr>
        <w:tabs>
          <w:tab w:val="left" w:pos="1500"/>
        </w:tabs>
      </w:pPr>
      <w:r w:rsidRPr="00F6205B">
        <w:t>Cost-effective fossil fuel savings—</w:t>
      </w:r>
      <w:r w:rsidR="0060566C" w:rsidRPr="00F6205B">
        <w:t>including savings in</w:t>
      </w:r>
      <w:r w:rsidRPr="00F6205B">
        <w:t xml:space="preserve"> fuel oil, natural gas, and propane—</w:t>
      </w:r>
      <w:r w:rsidR="00CD6A07" w:rsidRPr="00F6205B">
        <w:t>account for 29% of baseline consumption in year one, and drop slightly to 26% in year ten. Maximum achievable savings increase substantially over the course of the ten years, from 1% of baseline to 7%.</w:t>
      </w:r>
      <w:r w:rsidR="00E23CE3" w:rsidRPr="00F6205B">
        <w:t xml:space="preserve"> This occurs mainly due to the gradually increasing market adoption of upgrade measures over the course of the ten-y</w:t>
      </w:r>
      <w:r w:rsidR="0083777A" w:rsidRPr="00F6205B">
        <w:t>ear window</w:t>
      </w:r>
      <w:r w:rsidR="00893881" w:rsidRPr="00F6205B">
        <w:t>, but also because as years pass</w:t>
      </w:r>
      <w:r w:rsidR="0083777A" w:rsidRPr="00F6205B">
        <w:t>, more existing equipment is replaced</w:t>
      </w:r>
      <w:r w:rsidR="00025352">
        <w:t>, leading to replace-on-failure savings opportunities</w:t>
      </w:r>
      <w:r w:rsidR="0083777A" w:rsidRPr="00F6205B">
        <w:t>.</w:t>
      </w:r>
    </w:p>
    <w:p w14:paraId="1EF3A3A5" w14:textId="14CB8FD2" w:rsidR="00EE1956" w:rsidRPr="00F6205B" w:rsidRDefault="00EE1956" w:rsidP="00EE1956">
      <w:pPr>
        <w:pStyle w:val="Caption"/>
      </w:pPr>
      <w:bookmarkStart w:id="14" w:name="_Ref439241154"/>
      <w:bookmarkStart w:id="15" w:name="_Toc439931795"/>
      <w:r w:rsidRPr="00F6205B">
        <w:lastRenderedPageBreak/>
        <w:t xml:space="preserve">Figure </w:t>
      </w:r>
      <w:fldSimple w:instr=" SEQ Figure \* ARABIC ">
        <w:r w:rsidR="00FA26A9">
          <w:rPr>
            <w:noProof/>
          </w:rPr>
          <w:t>2</w:t>
        </w:r>
      </w:fldSimple>
      <w:bookmarkEnd w:id="14"/>
      <w:r w:rsidRPr="00F6205B">
        <w:t>: First Year (2016) and Tenth Year (2025) Potential Savings</w:t>
      </w:r>
      <w:bookmarkEnd w:id="15"/>
    </w:p>
    <w:p w14:paraId="74B3A981" w14:textId="274F81EE" w:rsidR="005C7071" w:rsidRPr="00F6205B" w:rsidRDefault="005C7071" w:rsidP="005C7071">
      <w:pPr>
        <w:keepNext/>
        <w:jc w:val="center"/>
        <w:rPr>
          <w:rFonts w:ascii="Arial Bold" w:hAnsi="Arial Bold"/>
          <w:b/>
          <w:bCs/>
          <w:color w:val="0F673B"/>
          <w:sz w:val="18"/>
          <w:szCs w:val="18"/>
        </w:rPr>
      </w:pPr>
      <w:r w:rsidRPr="00F6205B">
        <w:rPr>
          <w:rFonts w:ascii="Arial Bold" w:hAnsi="Arial Bold"/>
          <w:b/>
          <w:bCs/>
          <w:color w:val="0F673B"/>
          <w:sz w:val="18"/>
          <w:szCs w:val="18"/>
        </w:rPr>
        <w:t>Base: all single-family homes (population-weighted)</w:t>
      </w:r>
    </w:p>
    <w:p w14:paraId="185C6B54" w14:textId="4DBDCA0D" w:rsidR="00EE1956" w:rsidRPr="00F6205B" w:rsidRDefault="00422C41" w:rsidP="00EE1956">
      <w:pPr>
        <w:keepNext/>
        <w:spacing w:after="0"/>
        <w:jc w:val="center"/>
      </w:pPr>
      <w:r w:rsidRPr="00F6205B">
        <w:rPr>
          <w:noProof/>
          <w:lang w:bidi="ar-SA"/>
        </w:rPr>
        <w:drawing>
          <wp:inline distT="0" distB="0" distL="0" distR="0" wp14:anchorId="03059E09" wp14:editId="7A14D2C8">
            <wp:extent cx="4554220" cy="27559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54220" cy="2755900"/>
                    </a:xfrm>
                    <a:prstGeom prst="rect">
                      <a:avLst/>
                    </a:prstGeom>
                    <a:noFill/>
                  </pic:spPr>
                </pic:pic>
              </a:graphicData>
            </a:graphic>
          </wp:inline>
        </w:drawing>
      </w:r>
    </w:p>
    <w:p w14:paraId="75A4DF49" w14:textId="1DD3F124" w:rsidR="00EE1956" w:rsidRPr="00F6205B" w:rsidRDefault="00422C41" w:rsidP="00EE1956">
      <w:pPr>
        <w:jc w:val="center"/>
      </w:pPr>
      <w:r w:rsidRPr="00F6205B">
        <w:rPr>
          <w:noProof/>
          <w:lang w:bidi="ar-SA"/>
        </w:rPr>
        <w:drawing>
          <wp:inline distT="0" distB="0" distL="0" distR="0" wp14:anchorId="15DD8F1D" wp14:editId="0BE73DFE">
            <wp:extent cx="4554220" cy="27559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54220" cy="2755900"/>
                    </a:xfrm>
                    <a:prstGeom prst="rect">
                      <a:avLst/>
                    </a:prstGeom>
                    <a:noFill/>
                  </pic:spPr>
                </pic:pic>
              </a:graphicData>
            </a:graphic>
          </wp:inline>
        </w:drawing>
      </w:r>
    </w:p>
    <w:p w14:paraId="7010B301" w14:textId="77777777" w:rsidR="00EE1956" w:rsidRPr="00F6205B" w:rsidRDefault="00EE1956" w:rsidP="00EE1956"/>
    <w:p w14:paraId="1CAE08A1" w14:textId="5541DA00" w:rsidR="001A153A" w:rsidRPr="00F6205B" w:rsidRDefault="002F73BA" w:rsidP="00F52E2F">
      <w:pPr>
        <w:keepNext/>
        <w:keepLines/>
        <w:tabs>
          <w:tab w:val="left" w:pos="1500"/>
        </w:tabs>
      </w:pPr>
      <w:r w:rsidRPr="00F6205B">
        <w:lastRenderedPageBreak/>
        <w:fldChar w:fldCharType="begin"/>
      </w:r>
      <w:r w:rsidRPr="00F6205B">
        <w:instrText xml:space="preserve"> REF _Ref439150295 \h </w:instrText>
      </w:r>
      <w:r w:rsidR="00F6205B">
        <w:instrText xml:space="preserve"> \* MERGEFORMAT </w:instrText>
      </w:r>
      <w:r w:rsidRPr="00F6205B">
        <w:fldChar w:fldCharType="separate"/>
      </w:r>
      <w:r w:rsidR="00FA26A9" w:rsidRPr="00F6205B">
        <w:t xml:space="preserve">Figure </w:t>
      </w:r>
      <w:r w:rsidR="00FA26A9">
        <w:rPr>
          <w:noProof/>
        </w:rPr>
        <w:t>3</w:t>
      </w:r>
      <w:r w:rsidRPr="00F6205B">
        <w:fldChar w:fldCharType="end"/>
      </w:r>
      <w:r w:rsidRPr="00F6205B">
        <w:t xml:space="preserve"> </w:t>
      </w:r>
      <w:r w:rsidR="00921C8C" w:rsidRPr="00F6205B">
        <w:t xml:space="preserve">shows ten-year aggregate </w:t>
      </w:r>
      <w:r w:rsidR="00D574D7" w:rsidRPr="00F6205B">
        <w:t>technical (</w:t>
      </w:r>
      <w:r w:rsidR="00921C8C" w:rsidRPr="00F6205B">
        <w:t>with</w:t>
      </w:r>
      <w:r w:rsidR="00D574D7" w:rsidRPr="00F6205B">
        <w:t xml:space="preserve"> and without solar technologies included)</w:t>
      </w:r>
      <w:r w:rsidR="00921C8C" w:rsidRPr="00F6205B">
        <w:t>, cost-effective, and achievable potential</w:t>
      </w:r>
      <w:r w:rsidR="00952BB2" w:rsidRPr="00F6205B">
        <w:t xml:space="preserve"> savings</w:t>
      </w:r>
      <w:r w:rsidR="00921C8C" w:rsidRPr="00F6205B">
        <w:t>.</w:t>
      </w:r>
      <w:r w:rsidR="00E41F4E" w:rsidRPr="00F6205B">
        <w:t xml:space="preserve"> </w:t>
      </w:r>
      <w:r w:rsidR="009F6098" w:rsidRPr="00F6205B">
        <w:t>As a percentage of baseline consumption, s</w:t>
      </w:r>
      <w:r w:rsidR="00E41F4E" w:rsidRPr="00F6205B">
        <w:t xml:space="preserve">avings are greater for electricity than for fossil fuels in each stage of the analysis except achievable potential, where savings </w:t>
      </w:r>
      <w:r w:rsidR="00025352">
        <w:t>in both fuel types account for 5</w:t>
      </w:r>
      <w:r w:rsidR="00E41F4E" w:rsidRPr="00F6205B">
        <w:t>% of baseline consumption.</w:t>
      </w:r>
      <w:r w:rsidR="001A153A">
        <w:t xml:space="preserve"> This is the case because cost-effectiveness screening excluded many fossil fuel measures from the analysis, resulting in a smaller difference in the cost-effective stage—relative to technical potential—in the percent of baseline consumption represented by fossil fuel and electric savings. Subsequently, in the achievable analysis, measures with long replacement schedules are more often fossil fuel measures, whereas measures with short replacement schedules (like lighting) and measures close to the end of their expected useful lifetimes (like appliances) are more often electric measures.</w:t>
      </w:r>
    </w:p>
    <w:p w14:paraId="6890D7AC" w14:textId="4467BA86" w:rsidR="00921C8C" w:rsidRPr="00F6205B" w:rsidRDefault="00921C8C" w:rsidP="00E41F4E">
      <w:pPr>
        <w:pStyle w:val="Caption"/>
      </w:pPr>
      <w:bookmarkStart w:id="16" w:name="_Ref391888476"/>
      <w:bookmarkStart w:id="17" w:name="_Ref439150295"/>
      <w:bookmarkStart w:id="18" w:name="_Toc391887388"/>
      <w:bookmarkStart w:id="19" w:name="_Toc439931796"/>
      <w:r w:rsidRPr="00F6205B">
        <w:t xml:space="preserve">Figure </w:t>
      </w:r>
      <w:bookmarkEnd w:id="16"/>
      <w:r w:rsidR="0094421E" w:rsidRPr="00F6205B">
        <w:fldChar w:fldCharType="begin"/>
      </w:r>
      <w:r w:rsidR="0094421E" w:rsidRPr="00F6205B">
        <w:instrText xml:space="preserve"> SEQ Figure \* ARABIC </w:instrText>
      </w:r>
      <w:r w:rsidR="0094421E" w:rsidRPr="00F6205B">
        <w:fldChar w:fldCharType="separate"/>
      </w:r>
      <w:r w:rsidR="00FA26A9">
        <w:rPr>
          <w:noProof/>
        </w:rPr>
        <w:t>3</w:t>
      </w:r>
      <w:r w:rsidR="0094421E" w:rsidRPr="00F6205B">
        <w:fldChar w:fldCharType="end"/>
      </w:r>
      <w:bookmarkEnd w:id="17"/>
      <w:r w:rsidR="0094421E" w:rsidRPr="00F6205B">
        <w:t>: Ten-Year (2016-2025</w:t>
      </w:r>
      <w:r w:rsidRPr="00F6205B">
        <w:t>) Aggregate Savings for All Homes</w:t>
      </w:r>
      <w:bookmarkEnd w:id="18"/>
      <w:bookmarkEnd w:id="19"/>
    </w:p>
    <w:p w14:paraId="5A2C0D67" w14:textId="77777777" w:rsidR="00346A82" w:rsidRPr="00F6205B" w:rsidRDefault="00346A82" w:rsidP="00346A82">
      <w:pPr>
        <w:keepNext/>
        <w:jc w:val="center"/>
        <w:rPr>
          <w:rFonts w:ascii="Arial Bold" w:hAnsi="Arial Bold"/>
          <w:b/>
          <w:bCs/>
          <w:color w:val="0F673B"/>
          <w:sz w:val="18"/>
          <w:szCs w:val="18"/>
        </w:rPr>
      </w:pPr>
      <w:r w:rsidRPr="00F6205B">
        <w:rPr>
          <w:rFonts w:ascii="Arial Bold" w:hAnsi="Arial Bold"/>
          <w:b/>
          <w:bCs/>
          <w:color w:val="0F673B"/>
          <w:sz w:val="18"/>
          <w:szCs w:val="18"/>
        </w:rPr>
        <w:t>Base: all single-family homes (population-weighted)</w:t>
      </w:r>
    </w:p>
    <w:p w14:paraId="26AE214F" w14:textId="531079F8" w:rsidR="00921C8C" w:rsidRPr="00F6205B" w:rsidRDefault="00517A6A" w:rsidP="00921C8C">
      <w:pPr>
        <w:tabs>
          <w:tab w:val="left" w:pos="1500"/>
        </w:tabs>
        <w:jc w:val="center"/>
      </w:pPr>
      <w:r>
        <w:rPr>
          <w:noProof/>
          <w:lang w:bidi="ar-SA"/>
        </w:rPr>
        <w:drawing>
          <wp:inline distT="0" distB="0" distL="0" distR="0" wp14:anchorId="74055448" wp14:editId="5E2760F9">
            <wp:extent cx="5072380" cy="329184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2380" cy="3291840"/>
                    </a:xfrm>
                    <a:prstGeom prst="rect">
                      <a:avLst/>
                    </a:prstGeom>
                    <a:noFill/>
                  </pic:spPr>
                </pic:pic>
              </a:graphicData>
            </a:graphic>
          </wp:inline>
        </w:drawing>
      </w:r>
    </w:p>
    <w:p w14:paraId="01408AED" w14:textId="77777777" w:rsidR="00921C8C" w:rsidRPr="00F6205B" w:rsidRDefault="00921C8C" w:rsidP="00921C8C"/>
    <w:p w14:paraId="241E548E" w14:textId="6D2D57C6" w:rsidR="00921C8C" w:rsidRPr="00F6205B" w:rsidRDefault="00177F58" w:rsidP="00F52E2F">
      <w:pPr>
        <w:keepNext/>
        <w:keepLines/>
      </w:pPr>
      <w:r w:rsidRPr="00F6205B">
        <w:lastRenderedPageBreak/>
        <w:fldChar w:fldCharType="begin"/>
      </w:r>
      <w:r w:rsidRPr="00F6205B">
        <w:instrText xml:space="preserve"> REF _Ref439150475 \h </w:instrText>
      </w:r>
      <w:r w:rsidR="00F6205B">
        <w:instrText xml:space="preserve"> \* MERGEFORMAT </w:instrText>
      </w:r>
      <w:r w:rsidRPr="00F6205B">
        <w:fldChar w:fldCharType="separate"/>
      </w:r>
      <w:r w:rsidR="00FA26A9" w:rsidRPr="00F6205B">
        <w:t xml:space="preserve">Figure </w:t>
      </w:r>
      <w:r w:rsidR="00FA26A9">
        <w:rPr>
          <w:noProof/>
        </w:rPr>
        <w:t>4</w:t>
      </w:r>
      <w:r w:rsidRPr="00F6205B">
        <w:fldChar w:fldCharType="end"/>
      </w:r>
      <w:r w:rsidRPr="00F6205B">
        <w:t xml:space="preserve"> </w:t>
      </w:r>
      <w:r w:rsidR="00A63B4D" w:rsidRPr="00F6205B">
        <w:t>show</w:t>
      </w:r>
      <w:r w:rsidR="00921C8C" w:rsidRPr="00F6205B">
        <w:t xml:space="preserve">s ten-year aggregate savings by fuel type. As shown, </w:t>
      </w:r>
      <w:r w:rsidR="00FD3BB8" w:rsidRPr="00F6205B">
        <w:t xml:space="preserve">the majority of </w:t>
      </w:r>
      <w:r w:rsidR="00DE7819" w:rsidRPr="00F6205B">
        <w:t xml:space="preserve">fossil fuel </w:t>
      </w:r>
      <w:r w:rsidR="00FD3BB8" w:rsidRPr="00F6205B">
        <w:t>savings are in fuel oil for</w:t>
      </w:r>
      <w:r w:rsidR="00921C8C" w:rsidRPr="00F6205B">
        <w:t xml:space="preserve"> each of the potential analyses. This is primarily due to the fact that fuel oil is the most </w:t>
      </w:r>
      <w:r w:rsidR="00FD3BB8" w:rsidRPr="00F6205B">
        <w:t>common</w:t>
      </w:r>
      <w:r w:rsidR="00921C8C" w:rsidRPr="00F6205B">
        <w:t xml:space="preserve"> heating fuel among single-family homes in Connecticut.</w:t>
      </w:r>
      <w:r w:rsidR="00921C8C" w:rsidRPr="00F6205B">
        <w:rPr>
          <w:rStyle w:val="FootnoteReference"/>
        </w:rPr>
        <w:footnoteReference w:id="11"/>
      </w:r>
      <w:r w:rsidR="00921C8C" w:rsidRPr="00F6205B">
        <w:t xml:space="preserve"> </w:t>
      </w:r>
    </w:p>
    <w:p w14:paraId="3A9E96BE" w14:textId="19CF126E" w:rsidR="00921C8C" w:rsidRPr="00F6205B" w:rsidRDefault="00921C8C" w:rsidP="00177F58">
      <w:pPr>
        <w:pStyle w:val="Caption"/>
      </w:pPr>
      <w:bookmarkStart w:id="20" w:name="_Ref391888488"/>
      <w:bookmarkStart w:id="21" w:name="_Ref439150475"/>
      <w:bookmarkStart w:id="22" w:name="_Toc391887389"/>
      <w:bookmarkStart w:id="23" w:name="_Toc439931797"/>
      <w:r w:rsidRPr="00F6205B">
        <w:t xml:space="preserve">Figure </w:t>
      </w:r>
      <w:bookmarkEnd w:id="20"/>
      <w:r w:rsidR="00177F58" w:rsidRPr="00F6205B">
        <w:fldChar w:fldCharType="begin"/>
      </w:r>
      <w:r w:rsidR="00177F58" w:rsidRPr="00F6205B">
        <w:instrText xml:space="preserve"> SEQ Figure \* ARABIC </w:instrText>
      </w:r>
      <w:r w:rsidR="00177F58" w:rsidRPr="00F6205B">
        <w:fldChar w:fldCharType="separate"/>
      </w:r>
      <w:r w:rsidR="00FA26A9">
        <w:rPr>
          <w:noProof/>
        </w:rPr>
        <w:t>4</w:t>
      </w:r>
      <w:r w:rsidR="00177F58" w:rsidRPr="00F6205B">
        <w:fldChar w:fldCharType="end"/>
      </w:r>
      <w:bookmarkEnd w:id="21"/>
      <w:r w:rsidR="007410A6" w:rsidRPr="00F6205B">
        <w:t xml:space="preserve">: Ten-Year </w:t>
      </w:r>
      <w:r w:rsidRPr="00F6205B">
        <w:t>Aggregate Savings by Fuel Type</w:t>
      </w:r>
      <w:bookmarkEnd w:id="22"/>
      <w:r w:rsidR="007410A6" w:rsidRPr="00F6205B">
        <w:t xml:space="preserve"> (2016 to 2025)</w:t>
      </w:r>
      <w:bookmarkEnd w:id="23"/>
    </w:p>
    <w:p w14:paraId="1762ECAA" w14:textId="77777777" w:rsidR="00346A82" w:rsidRPr="00F6205B" w:rsidRDefault="00346A82" w:rsidP="00346A82">
      <w:pPr>
        <w:keepNext/>
        <w:jc w:val="center"/>
        <w:rPr>
          <w:rFonts w:ascii="Arial Bold" w:hAnsi="Arial Bold"/>
          <w:b/>
          <w:bCs/>
          <w:color w:val="0F673B"/>
          <w:sz w:val="18"/>
          <w:szCs w:val="18"/>
        </w:rPr>
      </w:pPr>
      <w:r w:rsidRPr="00F6205B">
        <w:rPr>
          <w:rFonts w:ascii="Arial Bold" w:hAnsi="Arial Bold"/>
          <w:b/>
          <w:bCs/>
          <w:color w:val="0F673B"/>
          <w:sz w:val="18"/>
          <w:szCs w:val="18"/>
        </w:rPr>
        <w:t>Base: all single-family homes (population-weighted)</w:t>
      </w:r>
    </w:p>
    <w:p w14:paraId="1DA91200" w14:textId="3A240AEB" w:rsidR="00921C8C" w:rsidRPr="00F6205B" w:rsidRDefault="001A153A" w:rsidP="00921C8C">
      <w:pPr>
        <w:tabs>
          <w:tab w:val="left" w:pos="1500"/>
        </w:tabs>
        <w:jc w:val="center"/>
      </w:pPr>
      <w:r>
        <w:rPr>
          <w:noProof/>
          <w:lang w:bidi="ar-SA"/>
        </w:rPr>
        <w:drawing>
          <wp:inline distT="0" distB="0" distL="0" distR="0" wp14:anchorId="62DAFF10" wp14:editId="242F6BEE">
            <wp:extent cx="5499100" cy="364553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9100" cy="3645535"/>
                    </a:xfrm>
                    <a:prstGeom prst="rect">
                      <a:avLst/>
                    </a:prstGeom>
                    <a:noFill/>
                  </pic:spPr>
                </pic:pic>
              </a:graphicData>
            </a:graphic>
          </wp:inline>
        </w:drawing>
      </w:r>
    </w:p>
    <w:p w14:paraId="7A244544" w14:textId="7728388A" w:rsidR="00921C8C" w:rsidRPr="00F6205B" w:rsidRDefault="00921C8C" w:rsidP="00921C8C"/>
    <w:p w14:paraId="134B3117" w14:textId="20911FEB" w:rsidR="00192861" w:rsidRPr="00F6205B" w:rsidRDefault="00192861" w:rsidP="00921C8C"/>
    <w:p w14:paraId="37B185D6" w14:textId="77777777" w:rsidR="00B53D8F" w:rsidRDefault="00B53D8F">
      <w:pPr>
        <w:spacing w:after="0" w:line="240" w:lineRule="auto"/>
      </w:pPr>
      <w:r>
        <w:br w:type="page"/>
      </w:r>
    </w:p>
    <w:p w14:paraId="5C82358A" w14:textId="6E89CE05" w:rsidR="00921C8C" w:rsidRPr="00F6205B" w:rsidRDefault="00E2650A" w:rsidP="00921C8C">
      <w:r w:rsidRPr="00F6205B">
        <w:lastRenderedPageBreak/>
        <w:fldChar w:fldCharType="begin"/>
      </w:r>
      <w:r w:rsidRPr="00F6205B">
        <w:instrText xml:space="preserve"> REF _Ref439243464 \h </w:instrText>
      </w:r>
      <w:r w:rsidR="00F6205B">
        <w:instrText xml:space="preserve"> \* MERGEFORMAT </w:instrText>
      </w:r>
      <w:r w:rsidRPr="00F6205B">
        <w:fldChar w:fldCharType="separate"/>
      </w:r>
      <w:r w:rsidR="00FA26A9" w:rsidRPr="00F6205B">
        <w:t xml:space="preserve">Table </w:t>
      </w:r>
      <w:r w:rsidR="00FA26A9">
        <w:rPr>
          <w:noProof/>
        </w:rPr>
        <w:t>1</w:t>
      </w:r>
      <w:r w:rsidRPr="00F6205B">
        <w:fldChar w:fldCharType="end"/>
      </w:r>
      <w:r w:rsidRPr="00F6205B">
        <w:t xml:space="preserve"> </w:t>
      </w:r>
      <w:r w:rsidR="00921C8C" w:rsidRPr="00F6205B">
        <w:t>shows the following detailed findings from the technical, cost-effective, and achievable potential analyses:</w:t>
      </w:r>
    </w:p>
    <w:p w14:paraId="437E13D0" w14:textId="06116B6F" w:rsidR="00921C8C" w:rsidRPr="00F6205B" w:rsidRDefault="00921C8C" w:rsidP="003A6CD9">
      <w:pPr>
        <w:pStyle w:val="ListParagraph"/>
        <w:numPr>
          <w:ilvl w:val="0"/>
          <w:numId w:val="9"/>
        </w:numPr>
        <w:contextualSpacing w:val="0"/>
      </w:pPr>
      <w:r w:rsidRPr="00F6205B">
        <w:t>Accounting for all applicable energy efficiency upgrade</w:t>
      </w:r>
      <w:r w:rsidR="00564D62" w:rsidRPr="00F6205B">
        <w:t>s</w:t>
      </w:r>
      <w:r w:rsidR="002B0484" w:rsidRPr="00F6205B">
        <w:t xml:space="preserve"> (</w:t>
      </w:r>
      <w:r w:rsidR="00D01509" w:rsidRPr="00F6205B">
        <w:t xml:space="preserve">including </w:t>
      </w:r>
      <w:r w:rsidRPr="00F6205B">
        <w:t>phot</w:t>
      </w:r>
      <w:r w:rsidR="00564D62" w:rsidRPr="00F6205B">
        <w:t>ovoltaics and solar hot water</w:t>
      </w:r>
      <w:r w:rsidR="002B0484" w:rsidRPr="00F6205B">
        <w:t xml:space="preserve">), </w:t>
      </w:r>
      <w:r w:rsidRPr="00F6205B">
        <w:t xml:space="preserve">single-family homes in Connecticut have the technical potential to save </w:t>
      </w:r>
      <w:r w:rsidR="005F1E70" w:rsidRPr="00F6205B">
        <w:t xml:space="preserve">about </w:t>
      </w:r>
      <w:r w:rsidRPr="00F6205B">
        <w:t>8</w:t>
      </w:r>
      <w:r w:rsidR="006F1FE9" w:rsidRPr="00F6205B">
        <w:t>5</w:t>
      </w:r>
      <w:r w:rsidRPr="00F6205B">
        <w:t>% of baseline fuel oil</w:t>
      </w:r>
      <w:r w:rsidR="006F1FE9" w:rsidRPr="00F6205B">
        <w:t xml:space="preserve"> usage, 81</w:t>
      </w:r>
      <w:r w:rsidRPr="00F6205B">
        <w:t xml:space="preserve">% </w:t>
      </w:r>
      <w:r w:rsidR="006F1FE9" w:rsidRPr="00F6205B">
        <w:t>of</w:t>
      </w:r>
      <w:r w:rsidRPr="00F6205B">
        <w:t xml:space="preserve"> natural gas</w:t>
      </w:r>
      <w:r w:rsidR="006F1FE9" w:rsidRPr="00F6205B">
        <w:t xml:space="preserve"> usage</w:t>
      </w:r>
      <w:r w:rsidRPr="00F6205B">
        <w:t xml:space="preserve">, and 59% </w:t>
      </w:r>
      <w:r w:rsidR="006F1FE9" w:rsidRPr="00F6205B">
        <w:t>o</w:t>
      </w:r>
      <w:r w:rsidR="00542737" w:rsidRPr="00F6205B">
        <w:t>f electric usage over the ten years from 2016 to 2025</w:t>
      </w:r>
      <w:r w:rsidR="00D25ADF" w:rsidRPr="00F6205B">
        <w:t>.</w:t>
      </w:r>
    </w:p>
    <w:p w14:paraId="56CAE775" w14:textId="3FE8A577" w:rsidR="00921C8C" w:rsidRPr="00F6205B" w:rsidRDefault="005444E9" w:rsidP="003A6CD9">
      <w:pPr>
        <w:pStyle w:val="ListParagraph"/>
        <w:numPr>
          <w:ilvl w:val="0"/>
          <w:numId w:val="9"/>
        </w:numPr>
        <w:contextualSpacing w:val="0"/>
      </w:pPr>
      <w:r w:rsidRPr="00F6205B">
        <w:t>S</w:t>
      </w:r>
      <w:r w:rsidR="004A645C" w:rsidRPr="00F6205B">
        <w:t>creening</w:t>
      </w:r>
      <w:r w:rsidR="00921C8C" w:rsidRPr="00F6205B">
        <w:t xml:space="preserve"> measures</w:t>
      </w:r>
      <w:r w:rsidR="004A645C" w:rsidRPr="00F6205B">
        <w:t xml:space="preserve"> for cost-effectiveness</w:t>
      </w:r>
      <w:r w:rsidR="00D01509" w:rsidRPr="00F6205B">
        <w:t xml:space="preserve"> diminishes</w:t>
      </w:r>
      <w:r w:rsidRPr="00F6205B">
        <w:t xml:space="preserve"> potential savings substantially. Cost-effective fuel oil savings again account for the greatest proportion of baseline consumption, at </w:t>
      </w:r>
      <w:r w:rsidR="004A645C" w:rsidRPr="00F6205B">
        <w:t>29%</w:t>
      </w:r>
      <w:r w:rsidRPr="00F6205B">
        <w:t xml:space="preserve">. Natural gas savings also represent a relatively high proportion of baseline usage in </w:t>
      </w:r>
      <w:r w:rsidR="004C241A" w:rsidRPr="00F6205B">
        <w:t>this stage of the study (</w:t>
      </w:r>
      <w:r w:rsidRPr="00F6205B">
        <w:t>26%</w:t>
      </w:r>
      <w:r w:rsidR="004C241A" w:rsidRPr="00F6205B">
        <w:t>)</w:t>
      </w:r>
      <w:r w:rsidRPr="00F6205B">
        <w:t>. Propane (19%) and electric savings (15%) accounted for less savings relative to the baseline.</w:t>
      </w:r>
    </w:p>
    <w:p w14:paraId="640CA43A" w14:textId="589B7289" w:rsidR="00921C8C" w:rsidRPr="00F6205B" w:rsidRDefault="00921C8C" w:rsidP="003A6CD9">
      <w:pPr>
        <w:pStyle w:val="ListParagraph"/>
        <w:numPr>
          <w:ilvl w:val="0"/>
          <w:numId w:val="9"/>
        </w:numPr>
        <w:contextualSpacing w:val="0"/>
      </w:pPr>
      <w:r w:rsidRPr="00F6205B">
        <w:t>Achievable potential, which accounts for the likelihood of energy upgrade adoption as well as codes and standards, shows that fuel oil (</w:t>
      </w:r>
      <w:r w:rsidR="005C1774">
        <w:t>5</w:t>
      </w:r>
      <w:r w:rsidRPr="00F6205B">
        <w:t>%), natural gas (</w:t>
      </w:r>
      <w:r w:rsidR="005C1774">
        <w:t>5</w:t>
      </w:r>
      <w:r w:rsidRPr="00F6205B">
        <w:t>%), propane (</w:t>
      </w:r>
      <w:r w:rsidR="005C1774">
        <w:t>3</w:t>
      </w:r>
      <w:r w:rsidRPr="00F6205B">
        <w:t>%), and electricity (</w:t>
      </w:r>
      <w:r w:rsidR="005C1774">
        <w:t>5</w:t>
      </w:r>
      <w:r w:rsidRPr="00F6205B">
        <w:t xml:space="preserve">%) all have a savings potential between </w:t>
      </w:r>
      <w:r w:rsidR="005C1774">
        <w:t>3</w:t>
      </w:r>
      <w:r w:rsidRPr="00F6205B">
        <w:t xml:space="preserve">% and </w:t>
      </w:r>
      <w:r w:rsidR="005C1774">
        <w:t>5</w:t>
      </w:r>
      <w:r w:rsidRPr="00F6205B">
        <w:t xml:space="preserve">% of baseline consumption over the ten-year period assessed in the analysis. </w:t>
      </w:r>
    </w:p>
    <w:p w14:paraId="098B6F5A" w14:textId="2C03623D" w:rsidR="00F47F77" w:rsidRPr="00F6205B" w:rsidRDefault="00921C8C" w:rsidP="00E2650A">
      <w:pPr>
        <w:pStyle w:val="Caption"/>
      </w:pPr>
      <w:bookmarkStart w:id="24" w:name="_Ref390938804"/>
      <w:bookmarkStart w:id="25" w:name="_Ref439236598"/>
      <w:bookmarkStart w:id="26" w:name="_Ref439243464"/>
      <w:bookmarkStart w:id="27" w:name="_Toc439931832"/>
      <w:bookmarkStart w:id="28" w:name="_Toc391887336"/>
      <w:r w:rsidRPr="00F6205B">
        <w:t>Table</w:t>
      </w:r>
      <w:bookmarkEnd w:id="24"/>
      <w:bookmarkEnd w:id="25"/>
      <w:r w:rsidR="00E2650A" w:rsidRPr="00F6205B">
        <w:t xml:space="preserve"> </w:t>
      </w:r>
      <w:fldSimple w:instr=" SEQ Table \* ARABIC ">
        <w:r w:rsidR="00FA26A9">
          <w:rPr>
            <w:noProof/>
          </w:rPr>
          <w:t>1</w:t>
        </w:r>
      </w:fldSimple>
      <w:bookmarkEnd w:id="26"/>
      <w:r w:rsidRPr="00F6205B">
        <w:t>: Savings from All Applicable Measures</w:t>
      </w:r>
      <w:r w:rsidR="00100AE7" w:rsidRPr="00F6205B">
        <w:t xml:space="preserve"> by Fuel</w:t>
      </w:r>
      <w:r w:rsidR="00F47F77" w:rsidRPr="00F6205B">
        <w:t>—Ten-Year Aggregate</w:t>
      </w:r>
      <w:bookmarkEnd w:id="27"/>
    </w:p>
    <w:p w14:paraId="5405396F" w14:textId="17894E3E" w:rsidR="00921C8C" w:rsidRPr="00F6205B" w:rsidRDefault="00356947" w:rsidP="005C1774">
      <w:pPr>
        <w:pStyle w:val="Caption"/>
        <w:spacing w:before="0"/>
      </w:pPr>
      <w:r w:rsidRPr="00F6205B">
        <w:t>(2016 to 2025</w:t>
      </w:r>
      <w:r w:rsidR="00921C8C" w:rsidRPr="00F6205B">
        <w:t>)*</w:t>
      </w:r>
      <w:bookmarkEnd w:id="28"/>
    </w:p>
    <w:p w14:paraId="63BC9E4C" w14:textId="77777777" w:rsidR="00346A82" w:rsidRPr="00F6205B" w:rsidRDefault="00346A82" w:rsidP="005C1774">
      <w:pPr>
        <w:keepNext/>
        <w:jc w:val="center"/>
        <w:rPr>
          <w:rFonts w:ascii="Arial Bold" w:hAnsi="Arial Bold"/>
          <w:b/>
          <w:bCs/>
          <w:color w:val="0F673B"/>
          <w:sz w:val="18"/>
          <w:szCs w:val="18"/>
        </w:rPr>
      </w:pPr>
      <w:r w:rsidRPr="00F6205B">
        <w:rPr>
          <w:rFonts w:ascii="Arial Bold" w:hAnsi="Arial Bold"/>
          <w:b/>
          <w:bCs/>
          <w:color w:val="0F673B"/>
          <w:sz w:val="18"/>
          <w:szCs w:val="18"/>
        </w:rPr>
        <w:t>Base: all single-family homes (population-weighted)</w:t>
      </w:r>
    </w:p>
    <w:tbl>
      <w:tblPr>
        <w:tblStyle w:val="TableGrid"/>
        <w:tblW w:w="10236"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3507"/>
        <w:gridCol w:w="1099"/>
        <w:gridCol w:w="1099"/>
        <w:gridCol w:w="1099"/>
        <w:gridCol w:w="1144"/>
        <w:gridCol w:w="1144"/>
        <w:gridCol w:w="1144"/>
      </w:tblGrid>
      <w:tr w:rsidR="00BF67B8" w:rsidRPr="00F6205B" w14:paraId="411AE1AB" w14:textId="77777777" w:rsidTr="00983DE7">
        <w:trPr>
          <w:trHeight w:val="288"/>
          <w:jc w:val="center"/>
        </w:trPr>
        <w:tc>
          <w:tcPr>
            <w:tcW w:w="3507" w:type="dxa"/>
            <w:tcBorders>
              <w:top w:val="single" w:sz="4" w:space="0" w:color="auto"/>
              <w:left w:val="single" w:sz="4" w:space="0" w:color="auto"/>
              <w:bottom w:val="single" w:sz="4" w:space="0" w:color="auto"/>
              <w:right w:val="single" w:sz="4" w:space="0" w:color="000000" w:themeColor="text1"/>
            </w:tcBorders>
            <w:shd w:val="clear" w:color="auto" w:fill="0B4D2C" w:themeFill="background2" w:themeFillShade="BF"/>
            <w:vAlign w:val="center"/>
          </w:tcPr>
          <w:p w14:paraId="2FE1441C" w14:textId="77777777" w:rsidR="00BF67B8" w:rsidRPr="00F6205B" w:rsidRDefault="00BF67B8" w:rsidP="005C1774">
            <w:pPr>
              <w:keepNext/>
              <w:keepLines/>
              <w:spacing w:after="0"/>
              <w:contextualSpacing/>
              <w:rPr>
                <w:b/>
                <w:color w:val="FFFFFF" w:themeColor="background1"/>
                <w:sz w:val="20"/>
                <w:szCs w:val="20"/>
              </w:rPr>
            </w:pPr>
          </w:p>
        </w:tc>
        <w:tc>
          <w:tcPr>
            <w:tcW w:w="1099" w:type="dxa"/>
            <w:tcBorders>
              <w:top w:val="single" w:sz="4" w:space="0" w:color="auto"/>
              <w:bottom w:val="single" w:sz="4" w:space="0" w:color="auto"/>
              <w:right w:val="single" w:sz="4" w:space="0" w:color="000000" w:themeColor="text1"/>
            </w:tcBorders>
            <w:shd w:val="clear" w:color="auto" w:fill="0B4D2C" w:themeFill="background2" w:themeFillShade="BF"/>
            <w:vAlign w:val="center"/>
          </w:tcPr>
          <w:p w14:paraId="6FFEC5ED" w14:textId="788511A3" w:rsidR="00BF67B8" w:rsidRPr="00F6205B" w:rsidRDefault="00BF67B8">
            <w:pPr>
              <w:keepNext/>
              <w:keepLines/>
              <w:spacing w:after="0"/>
              <w:contextualSpacing/>
              <w:jc w:val="center"/>
              <w:rPr>
                <w:b/>
                <w:color w:val="FFFFFF" w:themeColor="background1"/>
                <w:sz w:val="20"/>
                <w:szCs w:val="20"/>
              </w:rPr>
            </w:pPr>
            <w:r w:rsidRPr="00F6205B">
              <w:rPr>
                <w:b/>
                <w:color w:val="FFFFFF" w:themeColor="background1"/>
                <w:sz w:val="20"/>
                <w:szCs w:val="20"/>
              </w:rPr>
              <w:t>Fuel Oil (gal)</w:t>
            </w:r>
          </w:p>
        </w:tc>
        <w:tc>
          <w:tcPr>
            <w:tcW w:w="1099" w:type="dxa"/>
            <w:tcBorders>
              <w:top w:val="single" w:sz="4" w:space="0" w:color="auto"/>
              <w:bottom w:val="single" w:sz="4" w:space="0" w:color="auto"/>
              <w:right w:val="single" w:sz="4" w:space="0" w:color="000000" w:themeColor="text1"/>
            </w:tcBorders>
            <w:shd w:val="clear" w:color="auto" w:fill="0B4D2C" w:themeFill="background2" w:themeFillShade="BF"/>
            <w:vAlign w:val="center"/>
          </w:tcPr>
          <w:p w14:paraId="28A13F49" w14:textId="77777777" w:rsidR="00B426FD" w:rsidRPr="00F6205B" w:rsidRDefault="00BF67B8">
            <w:pPr>
              <w:keepNext/>
              <w:keepLines/>
              <w:spacing w:after="0"/>
              <w:contextualSpacing/>
              <w:jc w:val="center"/>
              <w:rPr>
                <w:b/>
                <w:color w:val="FFFFFF" w:themeColor="background1"/>
                <w:sz w:val="20"/>
                <w:szCs w:val="20"/>
              </w:rPr>
            </w:pPr>
            <w:r w:rsidRPr="00F6205B">
              <w:rPr>
                <w:b/>
                <w:color w:val="FFFFFF" w:themeColor="background1"/>
                <w:sz w:val="20"/>
                <w:szCs w:val="20"/>
              </w:rPr>
              <w:t>Nat</w:t>
            </w:r>
            <w:r w:rsidR="00B426FD" w:rsidRPr="00F6205B">
              <w:rPr>
                <w:b/>
                <w:color w:val="FFFFFF" w:themeColor="background1"/>
                <w:sz w:val="20"/>
                <w:szCs w:val="20"/>
              </w:rPr>
              <w:t>ural Gas</w:t>
            </w:r>
          </w:p>
          <w:p w14:paraId="1BFC1A8C" w14:textId="2D3A176B" w:rsidR="00BF67B8" w:rsidRPr="00F6205B" w:rsidRDefault="00BF67B8">
            <w:pPr>
              <w:keepNext/>
              <w:keepLines/>
              <w:spacing w:after="0"/>
              <w:contextualSpacing/>
              <w:jc w:val="center"/>
              <w:rPr>
                <w:b/>
                <w:color w:val="FFFFFF" w:themeColor="background1"/>
                <w:sz w:val="20"/>
                <w:szCs w:val="20"/>
              </w:rPr>
            </w:pPr>
            <w:r w:rsidRPr="00F6205B">
              <w:rPr>
                <w:b/>
                <w:color w:val="FFFFFF" w:themeColor="background1"/>
                <w:sz w:val="20"/>
                <w:szCs w:val="20"/>
              </w:rPr>
              <w:t>(ccf)</w:t>
            </w:r>
          </w:p>
        </w:tc>
        <w:tc>
          <w:tcPr>
            <w:tcW w:w="1099" w:type="dxa"/>
            <w:tcBorders>
              <w:top w:val="single" w:sz="4" w:space="0" w:color="auto"/>
              <w:bottom w:val="single" w:sz="4" w:space="0" w:color="auto"/>
              <w:right w:val="single" w:sz="4" w:space="0" w:color="000000" w:themeColor="text1"/>
            </w:tcBorders>
            <w:shd w:val="clear" w:color="auto" w:fill="0B4D2C" w:themeFill="background2" w:themeFillShade="BF"/>
            <w:vAlign w:val="center"/>
          </w:tcPr>
          <w:p w14:paraId="319333AB" w14:textId="4EB8B571" w:rsidR="00BF67B8" w:rsidRPr="00F6205B" w:rsidRDefault="00BF67B8">
            <w:pPr>
              <w:keepNext/>
              <w:keepLines/>
              <w:spacing w:after="0"/>
              <w:contextualSpacing/>
              <w:jc w:val="center"/>
              <w:rPr>
                <w:b/>
                <w:color w:val="FFFFFF" w:themeColor="background1"/>
                <w:sz w:val="20"/>
                <w:szCs w:val="20"/>
              </w:rPr>
            </w:pPr>
            <w:r w:rsidRPr="00F6205B">
              <w:rPr>
                <w:b/>
                <w:color w:val="FFFFFF" w:themeColor="background1"/>
                <w:sz w:val="20"/>
                <w:szCs w:val="20"/>
              </w:rPr>
              <w:t>Propane (gal)</w:t>
            </w:r>
          </w:p>
        </w:tc>
        <w:tc>
          <w:tcPr>
            <w:tcW w:w="1144" w:type="dxa"/>
            <w:tcBorders>
              <w:top w:val="single" w:sz="4" w:space="0" w:color="auto"/>
              <w:bottom w:val="single" w:sz="4" w:space="0" w:color="auto"/>
              <w:right w:val="single" w:sz="4" w:space="0" w:color="000000" w:themeColor="text1"/>
            </w:tcBorders>
            <w:shd w:val="clear" w:color="auto" w:fill="0B4D2C" w:themeFill="background2" w:themeFillShade="BF"/>
            <w:vAlign w:val="center"/>
          </w:tcPr>
          <w:p w14:paraId="7731F38B" w14:textId="58BD9E75" w:rsidR="00BF67B8" w:rsidRPr="00F6205B" w:rsidRDefault="00BF67B8">
            <w:pPr>
              <w:keepNext/>
              <w:keepLines/>
              <w:spacing w:after="0"/>
              <w:contextualSpacing/>
              <w:jc w:val="center"/>
              <w:rPr>
                <w:b/>
                <w:color w:val="FFFFFF" w:themeColor="background1"/>
                <w:sz w:val="20"/>
                <w:szCs w:val="20"/>
              </w:rPr>
            </w:pPr>
            <w:r w:rsidRPr="00F6205B">
              <w:rPr>
                <w:b/>
                <w:color w:val="FFFFFF" w:themeColor="background1"/>
                <w:sz w:val="20"/>
                <w:szCs w:val="20"/>
              </w:rPr>
              <w:t>Electric (kWh)</w:t>
            </w:r>
          </w:p>
        </w:tc>
        <w:tc>
          <w:tcPr>
            <w:tcW w:w="1144" w:type="dxa"/>
            <w:tcBorders>
              <w:top w:val="single" w:sz="4" w:space="0" w:color="auto"/>
              <w:bottom w:val="single" w:sz="4" w:space="0" w:color="auto"/>
              <w:right w:val="single" w:sz="4" w:space="0" w:color="000000" w:themeColor="text1"/>
            </w:tcBorders>
            <w:shd w:val="clear" w:color="auto" w:fill="0B4D2C" w:themeFill="background2" w:themeFillShade="BF"/>
          </w:tcPr>
          <w:p w14:paraId="166B20E0" w14:textId="55241027" w:rsidR="00BF67B8" w:rsidRPr="00F6205B" w:rsidRDefault="00BF67B8">
            <w:pPr>
              <w:keepNext/>
              <w:keepLines/>
              <w:spacing w:after="0"/>
              <w:contextualSpacing/>
              <w:jc w:val="center"/>
              <w:rPr>
                <w:b/>
                <w:color w:val="FFFFFF" w:themeColor="background1"/>
                <w:sz w:val="20"/>
                <w:szCs w:val="20"/>
              </w:rPr>
            </w:pPr>
            <w:r w:rsidRPr="00F6205B">
              <w:rPr>
                <w:b/>
                <w:color w:val="FFFFFF" w:themeColor="background1"/>
                <w:sz w:val="20"/>
                <w:szCs w:val="20"/>
              </w:rPr>
              <w:t>Fossil Fuels (MMBtu)</w:t>
            </w:r>
          </w:p>
        </w:tc>
        <w:tc>
          <w:tcPr>
            <w:tcW w:w="1144" w:type="dxa"/>
            <w:tcBorders>
              <w:top w:val="single" w:sz="4" w:space="0" w:color="auto"/>
              <w:left w:val="single" w:sz="4" w:space="0" w:color="000000" w:themeColor="text1"/>
              <w:bottom w:val="single" w:sz="4" w:space="0" w:color="auto"/>
              <w:right w:val="single" w:sz="4" w:space="0" w:color="auto"/>
            </w:tcBorders>
            <w:shd w:val="clear" w:color="auto" w:fill="0B4D2C" w:themeFill="background2" w:themeFillShade="BF"/>
            <w:vAlign w:val="center"/>
          </w:tcPr>
          <w:p w14:paraId="52592630" w14:textId="2E5F3B1A" w:rsidR="00BF67B8" w:rsidRPr="00F6205B" w:rsidRDefault="00BF67B8">
            <w:pPr>
              <w:keepNext/>
              <w:keepLines/>
              <w:spacing w:after="0"/>
              <w:contextualSpacing/>
              <w:jc w:val="center"/>
              <w:rPr>
                <w:b/>
                <w:color w:val="FFFFFF" w:themeColor="background1"/>
                <w:sz w:val="20"/>
                <w:szCs w:val="20"/>
              </w:rPr>
            </w:pPr>
            <w:r w:rsidRPr="00F6205B">
              <w:rPr>
                <w:b/>
                <w:color w:val="FFFFFF" w:themeColor="background1"/>
                <w:sz w:val="20"/>
                <w:szCs w:val="20"/>
              </w:rPr>
              <w:t>All Fuels (MMBtu)</w:t>
            </w:r>
          </w:p>
        </w:tc>
      </w:tr>
      <w:tr w:rsidR="006E434F" w:rsidRPr="00F6205B" w14:paraId="29FF80C9" w14:textId="77777777" w:rsidTr="00FF55D5">
        <w:trPr>
          <w:trHeight w:val="288"/>
          <w:jc w:val="center"/>
        </w:trPr>
        <w:tc>
          <w:tcPr>
            <w:tcW w:w="3507" w:type="dxa"/>
            <w:tcBorders>
              <w:top w:val="single" w:sz="4" w:space="0" w:color="auto"/>
              <w:left w:val="single" w:sz="4" w:space="0" w:color="auto"/>
              <w:bottom w:val="single" w:sz="4" w:space="0" w:color="auto"/>
              <w:right w:val="single" w:sz="4" w:space="0" w:color="000000" w:themeColor="text1"/>
            </w:tcBorders>
            <w:shd w:val="clear" w:color="auto" w:fill="auto"/>
            <w:vAlign w:val="center"/>
          </w:tcPr>
          <w:p w14:paraId="01E20540" w14:textId="32354CDE" w:rsidR="006E434F" w:rsidRPr="00F6205B" w:rsidRDefault="00597324" w:rsidP="005C1774">
            <w:pPr>
              <w:keepNext/>
              <w:keepLines/>
              <w:spacing w:after="0"/>
              <w:contextualSpacing/>
              <w:rPr>
                <w:sz w:val="20"/>
                <w:szCs w:val="20"/>
              </w:rPr>
            </w:pPr>
            <w:r w:rsidRPr="00F6205B">
              <w:rPr>
                <w:sz w:val="20"/>
                <w:szCs w:val="20"/>
              </w:rPr>
              <w:t>Ten-y</w:t>
            </w:r>
            <w:r w:rsidR="004C4F13" w:rsidRPr="00F6205B">
              <w:rPr>
                <w:sz w:val="20"/>
                <w:szCs w:val="20"/>
              </w:rPr>
              <w:t xml:space="preserve">ear </w:t>
            </w:r>
            <w:r w:rsidRPr="00F6205B">
              <w:rPr>
                <w:sz w:val="20"/>
                <w:szCs w:val="20"/>
              </w:rPr>
              <w:t>b</w:t>
            </w:r>
            <w:r w:rsidR="006E434F" w:rsidRPr="00F6205B">
              <w:rPr>
                <w:sz w:val="20"/>
                <w:szCs w:val="20"/>
              </w:rPr>
              <w:t xml:space="preserve">aseline </w:t>
            </w:r>
            <w:r w:rsidRPr="00F6205B">
              <w:rPr>
                <w:sz w:val="20"/>
                <w:szCs w:val="20"/>
              </w:rPr>
              <w:t>c</w:t>
            </w:r>
            <w:r w:rsidR="006E434F" w:rsidRPr="00F6205B">
              <w:rPr>
                <w:sz w:val="20"/>
                <w:szCs w:val="20"/>
              </w:rPr>
              <w:t>onsumption</w:t>
            </w:r>
          </w:p>
        </w:tc>
        <w:tc>
          <w:tcPr>
            <w:tcW w:w="1099" w:type="dxa"/>
            <w:tcBorders>
              <w:top w:val="single" w:sz="4" w:space="0" w:color="auto"/>
              <w:bottom w:val="single" w:sz="4" w:space="0" w:color="auto"/>
              <w:right w:val="single" w:sz="4" w:space="0" w:color="000000" w:themeColor="text1"/>
            </w:tcBorders>
            <w:shd w:val="clear" w:color="auto" w:fill="auto"/>
            <w:vAlign w:val="center"/>
          </w:tcPr>
          <w:p w14:paraId="56F00ACA" w14:textId="5BB49698" w:rsidR="006E434F" w:rsidRPr="00F6205B" w:rsidRDefault="006E434F" w:rsidP="005C1774">
            <w:pPr>
              <w:keepNext/>
              <w:keepLines/>
              <w:spacing w:after="0"/>
              <w:contextualSpacing/>
              <w:jc w:val="center"/>
              <w:rPr>
                <w:sz w:val="20"/>
                <w:szCs w:val="20"/>
              </w:rPr>
            </w:pPr>
            <w:r w:rsidRPr="00F6205B">
              <w:rPr>
                <w:sz w:val="20"/>
                <w:szCs w:val="20"/>
              </w:rPr>
              <w:t>4,795.2</w:t>
            </w:r>
          </w:p>
        </w:tc>
        <w:tc>
          <w:tcPr>
            <w:tcW w:w="1099" w:type="dxa"/>
            <w:tcBorders>
              <w:top w:val="single" w:sz="4" w:space="0" w:color="auto"/>
              <w:bottom w:val="single" w:sz="4" w:space="0" w:color="auto"/>
              <w:right w:val="single" w:sz="4" w:space="0" w:color="000000" w:themeColor="text1"/>
            </w:tcBorders>
            <w:shd w:val="clear" w:color="auto" w:fill="auto"/>
            <w:vAlign w:val="center"/>
          </w:tcPr>
          <w:p w14:paraId="51DADD79" w14:textId="5224C249" w:rsidR="006E434F" w:rsidRPr="00F6205B" w:rsidRDefault="006E434F" w:rsidP="005C1774">
            <w:pPr>
              <w:keepNext/>
              <w:keepLines/>
              <w:spacing w:after="0"/>
              <w:contextualSpacing/>
              <w:jc w:val="center"/>
              <w:rPr>
                <w:sz w:val="20"/>
                <w:szCs w:val="20"/>
              </w:rPr>
            </w:pPr>
            <w:r w:rsidRPr="00F6205B">
              <w:rPr>
                <w:sz w:val="20"/>
                <w:szCs w:val="20"/>
              </w:rPr>
              <w:t>3,372.9</w:t>
            </w:r>
          </w:p>
        </w:tc>
        <w:tc>
          <w:tcPr>
            <w:tcW w:w="1099" w:type="dxa"/>
            <w:tcBorders>
              <w:top w:val="single" w:sz="4" w:space="0" w:color="auto"/>
              <w:bottom w:val="single" w:sz="4" w:space="0" w:color="auto"/>
              <w:right w:val="single" w:sz="4" w:space="0" w:color="000000" w:themeColor="text1"/>
            </w:tcBorders>
            <w:shd w:val="clear" w:color="auto" w:fill="auto"/>
            <w:vAlign w:val="center"/>
          </w:tcPr>
          <w:p w14:paraId="546F3FA0" w14:textId="476B34F1" w:rsidR="006E434F" w:rsidRPr="00F6205B" w:rsidRDefault="006E434F">
            <w:pPr>
              <w:keepNext/>
              <w:keepLines/>
              <w:spacing w:after="0"/>
              <w:contextualSpacing/>
              <w:jc w:val="center"/>
              <w:rPr>
                <w:sz w:val="20"/>
                <w:szCs w:val="20"/>
              </w:rPr>
            </w:pPr>
            <w:r w:rsidRPr="00F6205B">
              <w:rPr>
                <w:sz w:val="20"/>
                <w:szCs w:val="20"/>
              </w:rPr>
              <w:t>350.3</w:t>
            </w:r>
          </w:p>
        </w:tc>
        <w:tc>
          <w:tcPr>
            <w:tcW w:w="1144" w:type="dxa"/>
            <w:tcBorders>
              <w:top w:val="single" w:sz="4" w:space="0" w:color="auto"/>
              <w:bottom w:val="single" w:sz="4" w:space="0" w:color="auto"/>
              <w:right w:val="single" w:sz="4" w:space="0" w:color="000000" w:themeColor="text1"/>
            </w:tcBorders>
            <w:shd w:val="clear" w:color="auto" w:fill="auto"/>
            <w:vAlign w:val="center"/>
          </w:tcPr>
          <w:p w14:paraId="4AE8C0B4" w14:textId="27D817B9" w:rsidR="006E434F" w:rsidRPr="00F6205B" w:rsidRDefault="006E434F">
            <w:pPr>
              <w:keepNext/>
              <w:keepLines/>
              <w:spacing w:after="0"/>
              <w:contextualSpacing/>
              <w:jc w:val="center"/>
              <w:rPr>
                <w:sz w:val="20"/>
                <w:szCs w:val="20"/>
              </w:rPr>
            </w:pPr>
            <w:r w:rsidRPr="00F6205B">
              <w:rPr>
                <w:sz w:val="20"/>
                <w:szCs w:val="20"/>
              </w:rPr>
              <w:t>126,040.4</w:t>
            </w:r>
          </w:p>
        </w:tc>
        <w:tc>
          <w:tcPr>
            <w:tcW w:w="1144" w:type="dxa"/>
            <w:tcBorders>
              <w:top w:val="single" w:sz="4" w:space="0" w:color="auto"/>
              <w:bottom w:val="single" w:sz="4" w:space="0" w:color="auto"/>
              <w:right w:val="single" w:sz="4" w:space="0" w:color="000000" w:themeColor="text1"/>
            </w:tcBorders>
            <w:shd w:val="clear" w:color="auto" w:fill="auto"/>
          </w:tcPr>
          <w:p w14:paraId="5E35A297" w14:textId="058318D0" w:rsidR="006E434F" w:rsidRPr="00F6205B" w:rsidRDefault="006E434F">
            <w:pPr>
              <w:keepNext/>
              <w:keepLines/>
              <w:spacing w:after="0"/>
              <w:contextualSpacing/>
              <w:jc w:val="center"/>
              <w:rPr>
                <w:sz w:val="20"/>
                <w:szCs w:val="20"/>
              </w:rPr>
            </w:pPr>
            <w:r w:rsidRPr="00F6205B">
              <w:rPr>
                <w:sz w:val="20"/>
                <w:szCs w:val="20"/>
              </w:rPr>
              <w:t>1,034.3</w:t>
            </w:r>
          </w:p>
        </w:tc>
        <w:tc>
          <w:tcPr>
            <w:tcW w:w="1144" w:type="dxa"/>
            <w:tcBorders>
              <w:top w:val="single" w:sz="4" w:space="0" w:color="auto"/>
              <w:left w:val="single" w:sz="4" w:space="0" w:color="000000" w:themeColor="text1"/>
              <w:bottom w:val="single" w:sz="4" w:space="0" w:color="auto"/>
              <w:right w:val="single" w:sz="4" w:space="0" w:color="auto"/>
            </w:tcBorders>
            <w:shd w:val="clear" w:color="auto" w:fill="auto"/>
            <w:vAlign w:val="center"/>
          </w:tcPr>
          <w:p w14:paraId="4AAB5598" w14:textId="3FC88398" w:rsidR="006E434F" w:rsidRPr="00F6205B" w:rsidRDefault="006E434F">
            <w:pPr>
              <w:keepNext/>
              <w:keepLines/>
              <w:spacing w:after="0"/>
              <w:contextualSpacing/>
              <w:jc w:val="center"/>
              <w:rPr>
                <w:sz w:val="20"/>
                <w:szCs w:val="20"/>
              </w:rPr>
            </w:pPr>
            <w:r w:rsidRPr="00F6205B">
              <w:rPr>
                <w:sz w:val="20"/>
                <w:szCs w:val="20"/>
              </w:rPr>
              <w:t>1,464.4</w:t>
            </w:r>
          </w:p>
        </w:tc>
      </w:tr>
      <w:tr w:rsidR="00B01518" w:rsidRPr="00F6205B" w14:paraId="0419E461" w14:textId="77777777" w:rsidTr="00B01518">
        <w:trPr>
          <w:trHeight w:val="288"/>
          <w:jc w:val="center"/>
        </w:trPr>
        <w:tc>
          <w:tcPr>
            <w:tcW w:w="10236" w:type="dxa"/>
            <w:gridSpan w:val="7"/>
            <w:tcBorders>
              <w:top w:val="single" w:sz="4" w:space="0" w:color="auto"/>
              <w:left w:val="single" w:sz="4" w:space="0" w:color="auto"/>
              <w:right w:val="single" w:sz="4" w:space="0" w:color="auto"/>
            </w:tcBorders>
            <w:shd w:val="clear" w:color="auto" w:fill="404040" w:themeFill="text1" w:themeFillTint="BF"/>
          </w:tcPr>
          <w:p w14:paraId="3F503BFB" w14:textId="26D8EF58" w:rsidR="00BF67B8" w:rsidRPr="00F6205B" w:rsidRDefault="00BF67B8" w:rsidP="005C1774">
            <w:pPr>
              <w:keepNext/>
              <w:keepLines/>
              <w:tabs>
                <w:tab w:val="decimal" w:pos="623"/>
              </w:tabs>
              <w:spacing w:after="0"/>
              <w:contextualSpacing/>
              <w:jc w:val="center"/>
              <w:rPr>
                <w:b/>
                <w:color w:val="FFFFFF" w:themeColor="background1"/>
                <w:sz w:val="20"/>
                <w:szCs w:val="20"/>
              </w:rPr>
            </w:pPr>
            <w:r w:rsidRPr="00F6205B">
              <w:rPr>
                <w:b/>
                <w:color w:val="FFFFFF" w:themeColor="background1"/>
                <w:sz w:val="20"/>
                <w:szCs w:val="20"/>
              </w:rPr>
              <w:t>Ten-Year Aggregate Savings (2016-2025)</w:t>
            </w:r>
          </w:p>
        </w:tc>
      </w:tr>
      <w:tr w:rsidR="00BF67B8" w:rsidRPr="00F6205B" w14:paraId="3DA03129" w14:textId="77777777" w:rsidTr="00983DE7">
        <w:trPr>
          <w:trHeight w:val="288"/>
          <w:jc w:val="center"/>
        </w:trPr>
        <w:tc>
          <w:tcPr>
            <w:tcW w:w="3507" w:type="dxa"/>
            <w:tcBorders>
              <w:top w:val="single" w:sz="4" w:space="0" w:color="auto"/>
              <w:left w:val="single" w:sz="4" w:space="0" w:color="auto"/>
              <w:right w:val="single" w:sz="4" w:space="0" w:color="000000" w:themeColor="text1"/>
            </w:tcBorders>
            <w:vAlign w:val="center"/>
          </w:tcPr>
          <w:p w14:paraId="705B08B2" w14:textId="68CC691E" w:rsidR="00BF67B8" w:rsidRPr="00F6205B" w:rsidRDefault="00597324" w:rsidP="005C1774">
            <w:pPr>
              <w:keepNext/>
              <w:keepLines/>
              <w:spacing w:after="0"/>
              <w:contextualSpacing/>
              <w:rPr>
                <w:sz w:val="20"/>
                <w:szCs w:val="20"/>
              </w:rPr>
            </w:pPr>
            <w:r w:rsidRPr="00F6205B">
              <w:rPr>
                <w:sz w:val="20"/>
                <w:szCs w:val="20"/>
              </w:rPr>
              <w:t>Technical potential including s</w:t>
            </w:r>
            <w:r w:rsidR="00BF67B8" w:rsidRPr="00F6205B">
              <w:rPr>
                <w:sz w:val="20"/>
                <w:szCs w:val="20"/>
              </w:rPr>
              <w:t>olar</w:t>
            </w:r>
          </w:p>
        </w:tc>
        <w:tc>
          <w:tcPr>
            <w:tcW w:w="1099" w:type="dxa"/>
            <w:tcBorders>
              <w:top w:val="single" w:sz="4" w:space="0" w:color="auto"/>
              <w:right w:val="single" w:sz="4" w:space="0" w:color="000000" w:themeColor="text1"/>
            </w:tcBorders>
            <w:vAlign w:val="center"/>
          </w:tcPr>
          <w:p w14:paraId="6F697BFD" w14:textId="43551346" w:rsidR="00BF67B8" w:rsidRPr="00F6205B" w:rsidRDefault="00C04F77" w:rsidP="005C1774">
            <w:pPr>
              <w:keepNext/>
              <w:keepLines/>
              <w:tabs>
                <w:tab w:val="decimal" w:pos="579"/>
              </w:tabs>
              <w:spacing w:after="0"/>
              <w:contextualSpacing/>
              <w:rPr>
                <w:sz w:val="20"/>
                <w:szCs w:val="20"/>
              </w:rPr>
            </w:pPr>
            <w:r w:rsidRPr="00F6205B">
              <w:rPr>
                <w:sz w:val="20"/>
                <w:szCs w:val="20"/>
              </w:rPr>
              <w:t>4,081.7</w:t>
            </w:r>
          </w:p>
        </w:tc>
        <w:tc>
          <w:tcPr>
            <w:tcW w:w="1099" w:type="dxa"/>
            <w:tcBorders>
              <w:top w:val="single" w:sz="4" w:space="0" w:color="auto"/>
              <w:right w:val="single" w:sz="4" w:space="0" w:color="000000" w:themeColor="text1"/>
            </w:tcBorders>
            <w:vAlign w:val="center"/>
          </w:tcPr>
          <w:p w14:paraId="3CC68555" w14:textId="36DDD9B7" w:rsidR="00BF67B8" w:rsidRPr="00F6205B" w:rsidRDefault="00C04F77" w:rsidP="005C1774">
            <w:pPr>
              <w:keepNext/>
              <w:keepLines/>
              <w:tabs>
                <w:tab w:val="decimal" w:pos="560"/>
              </w:tabs>
              <w:spacing w:after="0"/>
              <w:contextualSpacing/>
              <w:rPr>
                <w:sz w:val="20"/>
                <w:szCs w:val="20"/>
              </w:rPr>
            </w:pPr>
            <w:r w:rsidRPr="00F6205B">
              <w:rPr>
                <w:sz w:val="20"/>
                <w:szCs w:val="20"/>
              </w:rPr>
              <w:t>2,729.2</w:t>
            </w:r>
          </w:p>
        </w:tc>
        <w:tc>
          <w:tcPr>
            <w:tcW w:w="1099" w:type="dxa"/>
            <w:tcBorders>
              <w:top w:val="single" w:sz="4" w:space="0" w:color="auto"/>
              <w:right w:val="single" w:sz="4" w:space="0" w:color="000000" w:themeColor="text1"/>
            </w:tcBorders>
            <w:vAlign w:val="center"/>
          </w:tcPr>
          <w:p w14:paraId="26F5E16D" w14:textId="79777818" w:rsidR="00BF67B8" w:rsidRPr="00F6205B" w:rsidRDefault="00C04F77">
            <w:pPr>
              <w:keepNext/>
              <w:keepLines/>
              <w:tabs>
                <w:tab w:val="decimal" w:pos="451"/>
              </w:tabs>
              <w:spacing w:after="0"/>
              <w:contextualSpacing/>
              <w:rPr>
                <w:sz w:val="20"/>
                <w:szCs w:val="20"/>
              </w:rPr>
            </w:pPr>
            <w:r w:rsidRPr="00F6205B">
              <w:rPr>
                <w:sz w:val="20"/>
                <w:szCs w:val="20"/>
              </w:rPr>
              <w:t>234.5</w:t>
            </w:r>
          </w:p>
        </w:tc>
        <w:tc>
          <w:tcPr>
            <w:tcW w:w="1144" w:type="dxa"/>
            <w:tcBorders>
              <w:top w:val="single" w:sz="4" w:space="0" w:color="auto"/>
              <w:right w:val="single" w:sz="4" w:space="0" w:color="000000" w:themeColor="text1"/>
            </w:tcBorders>
            <w:vAlign w:val="center"/>
          </w:tcPr>
          <w:p w14:paraId="41D5DA61" w14:textId="19956967" w:rsidR="00BF67B8" w:rsidRPr="00F6205B" w:rsidRDefault="00C04F77">
            <w:pPr>
              <w:keepNext/>
              <w:keepLines/>
              <w:tabs>
                <w:tab w:val="decimal" w:pos="612"/>
              </w:tabs>
              <w:spacing w:after="0"/>
              <w:contextualSpacing/>
              <w:rPr>
                <w:sz w:val="20"/>
                <w:szCs w:val="20"/>
              </w:rPr>
            </w:pPr>
            <w:r w:rsidRPr="00F6205B">
              <w:rPr>
                <w:sz w:val="20"/>
                <w:szCs w:val="20"/>
              </w:rPr>
              <w:t>74,022.4</w:t>
            </w:r>
          </w:p>
        </w:tc>
        <w:tc>
          <w:tcPr>
            <w:tcW w:w="1144" w:type="dxa"/>
            <w:tcBorders>
              <w:top w:val="single" w:sz="4" w:space="0" w:color="auto"/>
              <w:right w:val="single" w:sz="4" w:space="0" w:color="000000" w:themeColor="text1"/>
            </w:tcBorders>
          </w:tcPr>
          <w:p w14:paraId="309DE052" w14:textId="67841C5D" w:rsidR="00BF67B8" w:rsidRPr="00F6205B" w:rsidRDefault="00C04F77">
            <w:pPr>
              <w:keepNext/>
              <w:keepLines/>
              <w:tabs>
                <w:tab w:val="decimal" w:pos="488"/>
              </w:tabs>
              <w:spacing w:after="0"/>
              <w:contextualSpacing/>
              <w:rPr>
                <w:sz w:val="20"/>
                <w:szCs w:val="20"/>
              </w:rPr>
            </w:pPr>
            <w:r w:rsidRPr="00F6205B">
              <w:rPr>
                <w:sz w:val="20"/>
                <w:szCs w:val="20"/>
              </w:rPr>
              <w:t>860.4</w:t>
            </w:r>
          </w:p>
        </w:tc>
        <w:tc>
          <w:tcPr>
            <w:tcW w:w="1144" w:type="dxa"/>
            <w:tcBorders>
              <w:top w:val="single" w:sz="4" w:space="0" w:color="auto"/>
              <w:left w:val="single" w:sz="4" w:space="0" w:color="000000" w:themeColor="text1"/>
              <w:right w:val="single" w:sz="4" w:space="0" w:color="auto"/>
            </w:tcBorders>
            <w:vAlign w:val="center"/>
          </w:tcPr>
          <w:p w14:paraId="44279587" w14:textId="2821C9C8" w:rsidR="00BF67B8" w:rsidRPr="00F6205B" w:rsidRDefault="00C04F77">
            <w:pPr>
              <w:keepNext/>
              <w:keepLines/>
              <w:tabs>
                <w:tab w:val="decimal" w:pos="488"/>
              </w:tabs>
              <w:spacing w:after="0"/>
              <w:contextualSpacing/>
              <w:rPr>
                <w:sz w:val="20"/>
                <w:szCs w:val="20"/>
              </w:rPr>
            </w:pPr>
            <w:r w:rsidRPr="00F6205B">
              <w:rPr>
                <w:sz w:val="20"/>
                <w:szCs w:val="20"/>
              </w:rPr>
              <w:t>1,113.0</w:t>
            </w:r>
          </w:p>
        </w:tc>
      </w:tr>
      <w:tr w:rsidR="00BF67B8" w:rsidRPr="00F6205B" w14:paraId="062618FF" w14:textId="77777777" w:rsidTr="00983DE7">
        <w:trPr>
          <w:trHeight w:val="288"/>
          <w:jc w:val="center"/>
        </w:trPr>
        <w:tc>
          <w:tcPr>
            <w:tcW w:w="3507" w:type="dxa"/>
            <w:tcBorders>
              <w:left w:val="single" w:sz="4" w:space="0" w:color="auto"/>
              <w:right w:val="single" w:sz="4" w:space="0" w:color="000000" w:themeColor="text1"/>
            </w:tcBorders>
            <w:vAlign w:val="center"/>
          </w:tcPr>
          <w:p w14:paraId="458AD8EC" w14:textId="2AE5648B" w:rsidR="00BF67B8" w:rsidRPr="00F6205B" w:rsidRDefault="00597324" w:rsidP="005C1774">
            <w:pPr>
              <w:keepNext/>
              <w:keepLines/>
              <w:spacing w:after="0"/>
              <w:contextualSpacing/>
              <w:rPr>
                <w:sz w:val="20"/>
                <w:szCs w:val="20"/>
              </w:rPr>
            </w:pPr>
            <w:r w:rsidRPr="00F6205B">
              <w:rPr>
                <w:sz w:val="20"/>
                <w:szCs w:val="20"/>
              </w:rPr>
              <w:t>Technical potential excluding s</w:t>
            </w:r>
            <w:r w:rsidR="00BF67B8" w:rsidRPr="00F6205B">
              <w:rPr>
                <w:sz w:val="20"/>
                <w:szCs w:val="20"/>
              </w:rPr>
              <w:t>olar</w:t>
            </w:r>
          </w:p>
        </w:tc>
        <w:tc>
          <w:tcPr>
            <w:tcW w:w="1099" w:type="dxa"/>
            <w:tcBorders>
              <w:right w:val="single" w:sz="4" w:space="0" w:color="000000" w:themeColor="text1"/>
            </w:tcBorders>
            <w:vAlign w:val="center"/>
          </w:tcPr>
          <w:p w14:paraId="7AB0A634" w14:textId="1A953041" w:rsidR="00BF67B8" w:rsidRPr="00F6205B" w:rsidRDefault="00C04F77" w:rsidP="005C1774">
            <w:pPr>
              <w:keepNext/>
              <w:keepLines/>
              <w:tabs>
                <w:tab w:val="decimal" w:pos="579"/>
              </w:tabs>
              <w:spacing w:after="0"/>
              <w:contextualSpacing/>
              <w:rPr>
                <w:sz w:val="20"/>
                <w:szCs w:val="20"/>
              </w:rPr>
            </w:pPr>
            <w:r w:rsidRPr="00F6205B">
              <w:rPr>
                <w:sz w:val="20"/>
                <w:szCs w:val="20"/>
              </w:rPr>
              <w:t>3,847.7</w:t>
            </w:r>
          </w:p>
        </w:tc>
        <w:tc>
          <w:tcPr>
            <w:tcW w:w="1099" w:type="dxa"/>
            <w:tcBorders>
              <w:right w:val="single" w:sz="4" w:space="0" w:color="000000" w:themeColor="text1"/>
            </w:tcBorders>
            <w:vAlign w:val="center"/>
          </w:tcPr>
          <w:p w14:paraId="65E51C3D" w14:textId="7EDBC785" w:rsidR="00BF67B8" w:rsidRPr="00F6205B" w:rsidRDefault="00C04F77" w:rsidP="005C1774">
            <w:pPr>
              <w:keepNext/>
              <w:keepLines/>
              <w:tabs>
                <w:tab w:val="decimal" w:pos="560"/>
              </w:tabs>
              <w:spacing w:after="0"/>
              <w:contextualSpacing/>
              <w:rPr>
                <w:sz w:val="20"/>
                <w:szCs w:val="20"/>
              </w:rPr>
            </w:pPr>
            <w:r w:rsidRPr="00F6205B">
              <w:rPr>
                <w:sz w:val="20"/>
                <w:szCs w:val="20"/>
              </w:rPr>
              <w:t>2,590.9</w:t>
            </w:r>
          </w:p>
        </w:tc>
        <w:tc>
          <w:tcPr>
            <w:tcW w:w="1099" w:type="dxa"/>
            <w:tcBorders>
              <w:right w:val="single" w:sz="4" w:space="0" w:color="000000" w:themeColor="text1"/>
            </w:tcBorders>
            <w:vAlign w:val="center"/>
          </w:tcPr>
          <w:p w14:paraId="21793A09" w14:textId="600A9E72" w:rsidR="00BF67B8" w:rsidRPr="00F6205B" w:rsidRDefault="00C04F77">
            <w:pPr>
              <w:keepNext/>
              <w:keepLines/>
              <w:tabs>
                <w:tab w:val="decimal" w:pos="451"/>
              </w:tabs>
              <w:spacing w:after="0"/>
              <w:contextualSpacing/>
              <w:rPr>
                <w:sz w:val="20"/>
                <w:szCs w:val="20"/>
              </w:rPr>
            </w:pPr>
            <w:r w:rsidRPr="00F6205B">
              <w:rPr>
                <w:sz w:val="20"/>
                <w:szCs w:val="20"/>
              </w:rPr>
              <w:t>200.9</w:t>
            </w:r>
          </w:p>
        </w:tc>
        <w:tc>
          <w:tcPr>
            <w:tcW w:w="1144" w:type="dxa"/>
            <w:tcBorders>
              <w:right w:val="single" w:sz="4" w:space="0" w:color="000000" w:themeColor="text1"/>
            </w:tcBorders>
            <w:vAlign w:val="center"/>
          </w:tcPr>
          <w:p w14:paraId="42B437FF" w14:textId="61627936" w:rsidR="00BF67B8" w:rsidRPr="00F6205B" w:rsidRDefault="00C04F77">
            <w:pPr>
              <w:keepNext/>
              <w:keepLines/>
              <w:tabs>
                <w:tab w:val="decimal" w:pos="612"/>
              </w:tabs>
              <w:spacing w:after="0"/>
              <w:contextualSpacing/>
              <w:rPr>
                <w:sz w:val="20"/>
                <w:szCs w:val="20"/>
              </w:rPr>
            </w:pPr>
            <w:r w:rsidRPr="00F6205B">
              <w:rPr>
                <w:sz w:val="20"/>
                <w:szCs w:val="20"/>
              </w:rPr>
              <w:t>21,843.2</w:t>
            </w:r>
          </w:p>
        </w:tc>
        <w:tc>
          <w:tcPr>
            <w:tcW w:w="1144" w:type="dxa"/>
            <w:tcBorders>
              <w:right w:val="single" w:sz="4" w:space="0" w:color="000000" w:themeColor="text1"/>
            </w:tcBorders>
          </w:tcPr>
          <w:p w14:paraId="0896EB9F" w14:textId="0FA38C59" w:rsidR="00BF67B8" w:rsidRPr="00F6205B" w:rsidRDefault="00C04F77">
            <w:pPr>
              <w:keepNext/>
              <w:keepLines/>
              <w:tabs>
                <w:tab w:val="decimal" w:pos="488"/>
              </w:tabs>
              <w:spacing w:after="0"/>
              <w:contextualSpacing/>
              <w:rPr>
                <w:sz w:val="20"/>
                <w:szCs w:val="20"/>
              </w:rPr>
            </w:pPr>
            <w:r w:rsidRPr="00F6205B">
              <w:rPr>
                <w:sz w:val="20"/>
                <w:szCs w:val="20"/>
              </w:rPr>
              <w:t>811.1</w:t>
            </w:r>
          </w:p>
        </w:tc>
        <w:tc>
          <w:tcPr>
            <w:tcW w:w="1144" w:type="dxa"/>
            <w:tcBorders>
              <w:left w:val="single" w:sz="4" w:space="0" w:color="000000" w:themeColor="text1"/>
              <w:right w:val="single" w:sz="4" w:space="0" w:color="auto"/>
            </w:tcBorders>
            <w:vAlign w:val="center"/>
          </w:tcPr>
          <w:p w14:paraId="16D50B7B" w14:textId="6EC4761F" w:rsidR="00BF67B8" w:rsidRPr="00F6205B" w:rsidRDefault="00C04F77">
            <w:pPr>
              <w:keepNext/>
              <w:keepLines/>
              <w:tabs>
                <w:tab w:val="decimal" w:pos="488"/>
              </w:tabs>
              <w:spacing w:after="0"/>
              <w:contextualSpacing/>
              <w:rPr>
                <w:sz w:val="20"/>
                <w:szCs w:val="20"/>
              </w:rPr>
            </w:pPr>
            <w:r w:rsidRPr="00F6205B">
              <w:rPr>
                <w:sz w:val="20"/>
                <w:szCs w:val="20"/>
              </w:rPr>
              <w:t>885.6</w:t>
            </w:r>
          </w:p>
        </w:tc>
      </w:tr>
      <w:tr w:rsidR="00BF67B8" w:rsidRPr="00F6205B" w14:paraId="4F1FEC26" w14:textId="77777777" w:rsidTr="00983DE7">
        <w:trPr>
          <w:trHeight w:val="288"/>
          <w:jc w:val="center"/>
        </w:trPr>
        <w:tc>
          <w:tcPr>
            <w:tcW w:w="3507" w:type="dxa"/>
            <w:tcBorders>
              <w:left w:val="single" w:sz="4" w:space="0" w:color="auto"/>
              <w:right w:val="single" w:sz="4" w:space="0" w:color="000000" w:themeColor="text1"/>
            </w:tcBorders>
            <w:vAlign w:val="center"/>
          </w:tcPr>
          <w:p w14:paraId="7E99A1A9" w14:textId="47DF4146" w:rsidR="00BF67B8" w:rsidRPr="00F6205B" w:rsidRDefault="00597324" w:rsidP="005C1774">
            <w:pPr>
              <w:keepNext/>
              <w:keepLines/>
              <w:spacing w:after="0"/>
              <w:contextualSpacing/>
              <w:rPr>
                <w:sz w:val="20"/>
                <w:szCs w:val="20"/>
              </w:rPr>
            </w:pPr>
            <w:r w:rsidRPr="00F6205B">
              <w:rPr>
                <w:sz w:val="20"/>
                <w:szCs w:val="20"/>
              </w:rPr>
              <w:t>Cost-effective p</w:t>
            </w:r>
            <w:r w:rsidR="00BF67B8" w:rsidRPr="00F6205B">
              <w:rPr>
                <w:sz w:val="20"/>
                <w:szCs w:val="20"/>
              </w:rPr>
              <w:t>otential</w:t>
            </w:r>
          </w:p>
        </w:tc>
        <w:tc>
          <w:tcPr>
            <w:tcW w:w="1099" w:type="dxa"/>
            <w:tcBorders>
              <w:right w:val="single" w:sz="4" w:space="0" w:color="000000" w:themeColor="text1"/>
            </w:tcBorders>
            <w:vAlign w:val="center"/>
          </w:tcPr>
          <w:p w14:paraId="66DBC4FB" w14:textId="35B6A1A9" w:rsidR="00BF67B8" w:rsidRPr="00F6205B" w:rsidRDefault="00C04F77" w:rsidP="005C1774">
            <w:pPr>
              <w:keepNext/>
              <w:keepLines/>
              <w:tabs>
                <w:tab w:val="decimal" w:pos="579"/>
              </w:tabs>
              <w:spacing w:after="0"/>
              <w:contextualSpacing/>
              <w:rPr>
                <w:sz w:val="20"/>
                <w:szCs w:val="20"/>
              </w:rPr>
            </w:pPr>
            <w:r w:rsidRPr="00F6205B">
              <w:rPr>
                <w:sz w:val="20"/>
                <w:szCs w:val="20"/>
              </w:rPr>
              <w:t>1,369.6</w:t>
            </w:r>
          </w:p>
        </w:tc>
        <w:tc>
          <w:tcPr>
            <w:tcW w:w="1099" w:type="dxa"/>
            <w:tcBorders>
              <w:right w:val="single" w:sz="4" w:space="0" w:color="000000" w:themeColor="text1"/>
            </w:tcBorders>
            <w:vAlign w:val="center"/>
          </w:tcPr>
          <w:p w14:paraId="1820C34D" w14:textId="0CEA3CA6" w:rsidR="00BF67B8" w:rsidRPr="00F6205B" w:rsidRDefault="00C04F77" w:rsidP="005C1774">
            <w:pPr>
              <w:keepNext/>
              <w:keepLines/>
              <w:tabs>
                <w:tab w:val="decimal" w:pos="560"/>
              </w:tabs>
              <w:spacing w:after="0"/>
              <w:contextualSpacing/>
              <w:rPr>
                <w:sz w:val="20"/>
                <w:szCs w:val="20"/>
              </w:rPr>
            </w:pPr>
            <w:r w:rsidRPr="00F6205B">
              <w:rPr>
                <w:sz w:val="20"/>
                <w:szCs w:val="20"/>
              </w:rPr>
              <w:t>880.0</w:t>
            </w:r>
          </w:p>
        </w:tc>
        <w:tc>
          <w:tcPr>
            <w:tcW w:w="1099" w:type="dxa"/>
            <w:tcBorders>
              <w:right w:val="single" w:sz="4" w:space="0" w:color="000000" w:themeColor="text1"/>
            </w:tcBorders>
            <w:vAlign w:val="center"/>
          </w:tcPr>
          <w:p w14:paraId="3BF12CF3" w14:textId="204A787F" w:rsidR="00BF67B8" w:rsidRPr="00F6205B" w:rsidRDefault="00C04F77">
            <w:pPr>
              <w:keepNext/>
              <w:keepLines/>
              <w:tabs>
                <w:tab w:val="decimal" w:pos="451"/>
              </w:tabs>
              <w:spacing w:after="0"/>
              <w:contextualSpacing/>
              <w:rPr>
                <w:sz w:val="20"/>
                <w:szCs w:val="20"/>
              </w:rPr>
            </w:pPr>
            <w:r w:rsidRPr="00F6205B">
              <w:rPr>
                <w:sz w:val="20"/>
                <w:szCs w:val="20"/>
              </w:rPr>
              <w:t>68.1</w:t>
            </w:r>
          </w:p>
        </w:tc>
        <w:tc>
          <w:tcPr>
            <w:tcW w:w="1144" w:type="dxa"/>
            <w:tcBorders>
              <w:right w:val="single" w:sz="4" w:space="0" w:color="000000" w:themeColor="text1"/>
            </w:tcBorders>
            <w:vAlign w:val="center"/>
          </w:tcPr>
          <w:p w14:paraId="2E564729" w14:textId="35E2E404" w:rsidR="00BF67B8" w:rsidRPr="00F6205B" w:rsidRDefault="00C04F77">
            <w:pPr>
              <w:keepNext/>
              <w:keepLines/>
              <w:tabs>
                <w:tab w:val="decimal" w:pos="612"/>
              </w:tabs>
              <w:spacing w:after="0"/>
              <w:contextualSpacing/>
              <w:rPr>
                <w:sz w:val="20"/>
                <w:szCs w:val="20"/>
              </w:rPr>
            </w:pPr>
            <w:r w:rsidRPr="00F6205B">
              <w:rPr>
                <w:sz w:val="20"/>
                <w:szCs w:val="20"/>
              </w:rPr>
              <w:t>18,399.2</w:t>
            </w:r>
          </w:p>
        </w:tc>
        <w:tc>
          <w:tcPr>
            <w:tcW w:w="1144" w:type="dxa"/>
            <w:tcBorders>
              <w:right w:val="single" w:sz="4" w:space="0" w:color="000000" w:themeColor="text1"/>
            </w:tcBorders>
          </w:tcPr>
          <w:p w14:paraId="628DA1E4" w14:textId="6EBEE15B" w:rsidR="00BF67B8" w:rsidRPr="00F6205B" w:rsidRDefault="00C04F77">
            <w:pPr>
              <w:keepNext/>
              <w:keepLines/>
              <w:tabs>
                <w:tab w:val="decimal" w:pos="488"/>
              </w:tabs>
              <w:spacing w:after="0"/>
              <w:contextualSpacing/>
              <w:rPr>
                <w:sz w:val="20"/>
                <w:szCs w:val="20"/>
              </w:rPr>
            </w:pPr>
            <w:r w:rsidRPr="00F6205B">
              <w:rPr>
                <w:sz w:val="20"/>
                <w:szCs w:val="20"/>
              </w:rPr>
              <w:t>284.2</w:t>
            </w:r>
          </w:p>
        </w:tc>
        <w:tc>
          <w:tcPr>
            <w:tcW w:w="1144" w:type="dxa"/>
            <w:tcBorders>
              <w:left w:val="single" w:sz="4" w:space="0" w:color="000000" w:themeColor="text1"/>
              <w:right w:val="single" w:sz="4" w:space="0" w:color="auto"/>
            </w:tcBorders>
            <w:vAlign w:val="center"/>
          </w:tcPr>
          <w:p w14:paraId="3EF4C46A" w14:textId="07FCB797" w:rsidR="00BF67B8" w:rsidRPr="00F6205B" w:rsidRDefault="00C04F77">
            <w:pPr>
              <w:keepNext/>
              <w:keepLines/>
              <w:tabs>
                <w:tab w:val="decimal" w:pos="488"/>
              </w:tabs>
              <w:spacing w:after="0"/>
              <w:contextualSpacing/>
              <w:rPr>
                <w:sz w:val="20"/>
                <w:szCs w:val="20"/>
              </w:rPr>
            </w:pPr>
            <w:r w:rsidRPr="00F6205B">
              <w:rPr>
                <w:sz w:val="20"/>
                <w:szCs w:val="20"/>
              </w:rPr>
              <w:t>346.9</w:t>
            </w:r>
          </w:p>
        </w:tc>
      </w:tr>
      <w:tr w:rsidR="00BF67B8" w:rsidRPr="00F6205B" w14:paraId="34CC8804" w14:textId="77777777" w:rsidTr="00983DE7">
        <w:trPr>
          <w:trHeight w:val="288"/>
          <w:jc w:val="center"/>
        </w:trPr>
        <w:tc>
          <w:tcPr>
            <w:tcW w:w="3507" w:type="dxa"/>
            <w:tcBorders>
              <w:left w:val="single" w:sz="4" w:space="0" w:color="auto"/>
              <w:bottom w:val="single" w:sz="4" w:space="0" w:color="auto"/>
              <w:right w:val="single" w:sz="4" w:space="0" w:color="000000" w:themeColor="text1"/>
            </w:tcBorders>
            <w:vAlign w:val="center"/>
          </w:tcPr>
          <w:p w14:paraId="16B35F40" w14:textId="2BB134E3" w:rsidR="00BF67B8" w:rsidRPr="00F6205B" w:rsidRDefault="00D01509" w:rsidP="005C1774">
            <w:pPr>
              <w:keepNext/>
              <w:keepLines/>
              <w:spacing w:after="0"/>
              <w:contextualSpacing/>
              <w:rPr>
                <w:sz w:val="20"/>
                <w:szCs w:val="20"/>
              </w:rPr>
            </w:pPr>
            <w:r w:rsidRPr="00F6205B">
              <w:rPr>
                <w:sz w:val="20"/>
                <w:szCs w:val="20"/>
              </w:rPr>
              <w:t>Maximum a</w:t>
            </w:r>
            <w:r w:rsidR="00597324" w:rsidRPr="00F6205B">
              <w:rPr>
                <w:sz w:val="20"/>
                <w:szCs w:val="20"/>
              </w:rPr>
              <w:t>chievable p</w:t>
            </w:r>
            <w:r w:rsidR="00BF67B8" w:rsidRPr="00F6205B">
              <w:rPr>
                <w:sz w:val="20"/>
                <w:szCs w:val="20"/>
              </w:rPr>
              <w:t>otential</w:t>
            </w:r>
          </w:p>
        </w:tc>
        <w:tc>
          <w:tcPr>
            <w:tcW w:w="1099" w:type="dxa"/>
            <w:tcBorders>
              <w:bottom w:val="single" w:sz="4" w:space="0" w:color="auto"/>
              <w:right w:val="single" w:sz="4" w:space="0" w:color="000000" w:themeColor="text1"/>
            </w:tcBorders>
            <w:vAlign w:val="center"/>
          </w:tcPr>
          <w:p w14:paraId="7A59CDDF" w14:textId="5F22D2CC" w:rsidR="00BF67B8" w:rsidRPr="00F6205B" w:rsidRDefault="00A70A3F" w:rsidP="005C1774">
            <w:pPr>
              <w:keepNext/>
              <w:keepLines/>
              <w:tabs>
                <w:tab w:val="decimal" w:pos="579"/>
              </w:tabs>
              <w:spacing w:after="0"/>
              <w:contextualSpacing/>
              <w:rPr>
                <w:sz w:val="20"/>
                <w:szCs w:val="20"/>
              </w:rPr>
            </w:pPr>
            <w:r w:rsidRPr="00F6205B">
              <w:rPr>
                <w:sz w:val="20"/>
                <w:szCs w:val="20"/>
              </w:rPr>
              <w:t>251.7</w:t>
            </w:r>
          </w:p>
        </w:tc>
        <w:tc>
          <w:tcPr>
            <w:tcW w:w="1099" w:type="dxa"/>
            <w:tcBorders>
              <w:bottom w:val="single" w:sz="4" w:space="0" w:color="auto"/>
              <w:right w:val="single" w:sz="4" w:space="0" w:color="000000" w:themeColor="text1"/>
            </w:tcBorders>
            <w:vAlign w:val="center"/>
          </w:tcPr>
          <w:p w14:paraId="623BE9FB" w14:textId="7818EFF8" w:rsidR="00BF67B8" w:rsidRPr="00F6205B" w:rsidRDefault="00A70A3F" w:rsidP="005C1774">
            <w:pPr>
              <w:keepNext/>
              <w:keepLines/>
              <w:tabs>
                <w:tab w:val="decimal" w:pos="560"/>
              </w:tabs>
              <w:spacing w:after="0"/>
              <w:contextualSpacing/>
              <w:rPr>
                <w:sz w:val="20"/>
                <w:szCs w:val="20"/>
              </w:rPr>
            </w:pPr>
            <w:r w:rsidRPr="00F6205B">
              <w:rPr>
                <w:sz w:val="20"/>
                <w:szCs w:val="20"/>
              </w:rPr>
              <w:t>165.5</w:t>
            </w:r>
          </w:p>
        </w:tc>
        <w:tc>
          <w:tcPr>
            <w:tcW w:w="1099" w:type="dxa"/>
            <w:tcBorders>
              <w:bottom w:val="single" w:sz="4" w:space="0" w:color="auto"/>
              <w:right w:val="single" w:sz="4" w:space="0" w:color="000000" w:themeColor="text1"/>
            </w:tcBorders>
            <w:vAlign w:val="center"/>
          </w:tcPr>
          <w:p w14:paraId="2F8C39B2" w14:textId="2D08E572" w:rsidR="00BF67B8" w:rsidRPr="00F6205B" w:rsidRDefault="00A70A3F">
            <w:pPr>
              <w:keepNext/>
              <w:keepLines/>
              <w:tabs>
                <w:tab w:val="decimal" w:pos="451"/>
              </w:tabs>
              <w:spacing w:after="0"/>
              <w:contextualSpacing/>
              <w:rPr>
                <w:sz w:val="20"/>
                <w:szCs w:val="20"/>
              </w:rPr>
            </w:pPr>
            <w:r w:rsidRPr="00F6205B">
              <w:rPr>
                <w:sz w:val="20"/>
                <w:szCs w:val="20"/>
              </w:rPr>
              <w:t>11.4</w:t>
            </w:r>
          </w:p>
        </w:tc>
        <w:tc>
          <w:tcPr>
            <w:tcW w:w="1144" w:type="dxa"/>
            <w:tcBorders>
              <w:bottom w:val="single" w:sz="4" w:space="0" w:color="auto"/>
              <w:right w:val="single" w:sz="4" w:space="0" w:color="000000" w:themeColor="text1"/>
            </w:tcBorders>
            <w:vAlign w:val="center"/>
          </w:tcPr>
          <w:p w14:paraId="318E30A4" w14:textId="516483BC" w:rsidR="00BF67B8" w:rsidRPr="00F6205B" w:rsidRDefault="00A70A3F">
            <w:pPr>
              <w:keepNext/>
              <w:keepLines/>
              <w:tabs>
                <w:tab w:val="decimal" w:pos="612"/>
              </w:tabs>
              <w:spacing w:after="0"/>
              <w:contextualSpacing/>
              <w:rPr>
                <w:sz w:val="20"/>
                <w:szCs w:val="20"/>
              </w:rPr>
            </w:pPr>
            <w:r w:rsidRPr="00F6205B">
              <w:rPr>
                <w:sz w:val="20"/>
                <w:szCs w:val="20"/>
              </w:rPr>
              <w:t>5,913.6</w:t>
            </w:r>
          </w:p>
        </w:tc>
        <w:tc>
          <w:tcPr>
            <w:tcW w:w="1144" w:type="dxa"/>
            <w:tcBorders>
              <w:bottom w:val="single" w:sz="4" w:space="0" w:color="auto"/>
              <w:right w:val="single" w:sz="4" w:space="0" w:color="000000" w:themeColor="text1"/>
            </w:tcBorders>
          </w:tcPr>
          <w:p w14:paraId="080E15D6" w14:textId="05703299" w:rsidR="00BF67B8" w:rsidRPr="00F6205B" w:rsidRDefault="00A70A3F">
            <w:pPr>
              <w:keepNext/>
              <w:keepLines/>
              <w:tabs>
                <w:tab w:val="decimal" w:pos="488"/>
              </w:tabs>
              <w:spacing w:after="0"/>
              <w:contextualSpacing/>
              <w:rPr>
                <w:sz w:val="20"/>
                <w:szCs w:val="20"/>
              </w:rPr>
            </w:pPr>
            <w:r w:rsidRPr="00F6205B">
              <w:rPr>
                <w:sz w:val="20"/>
                <w:szCs w:val="20"/>
              </w:rPr>
              <w:t>52.5</w:t>
            </w:r>
          </w:p>
        </w:tc>
        <w:tc>
          <w:tcPr>
            <w:tcW w:w="1144" w:type="dxa"/>
            <w:tcBorders>
              <w:left w:val="single" w:sz="4" w:space="0" w:color="000000" w:themeColor="text1"/>
              <w:bottom w:val="single" w:sz="4" w:space="0" w:color="auto"/>
              <w:right w:val="single" w:sz="4" w:space="0" w:color="auto"/>
            </w:tcBorders>
            <w:vAlign w:val="center"/>
          </w:tcPr>
          <w:p w14:paraId="36ECC84A" w14:textId="036AE68C" w:rsidR="00BF67B8" w:rsidRPr="00F6205B" w:rsidRDefault="00A70A3F">
            <w:pPr>
              <w:keepNext/>
              <w:keepLines/>
              <w:tabs>
                <w:tab w:val="decimal" w:pos="488"/>
              </w:tabs>
              <w:spacing w:after="0"/>
              <w:contextualSpacing/>
              <w:rPr>
                <w:sz w:val="20"/>
                <w:szCs w:val="20"/>
              </w:rPr>
            </w:pPr>
            <w:r w:rsidRPr="00F6205B">
              <w:rPr>
                <w:sz w:val="20"/>
                <w:szCs w:val="20"/>
              </w:rPr>
              <w:t>72.7</w:t>
            </w:r>
          </w:p>
        </w:tc>
      </w:tr>
      <w:tr w:rsidR="00B01518" w:rsidRPr="00F6205B" w14:paraId="56E9CD82" w14:textId="77777777" w:rsidTr="00B01518">
        <w:trPr>
          <w:trHeight w:val="288"/>
          <w:jc w:val="center"/>
        </w:trPr>
        <w:tc>
          <w:tcPr>
            <w:tcW w:w="10236" w:type="dxa"/>
            <w:gridSpan w:val="7"/>
            <w:tcBorders>
              <w:top w:val="single" w:sz="4" w:space="0" w:color="auto"/>
              <w:left w:val="single" w:sz="4" w:space="0" w:color="auto"/>
              <w:bottom w:val="single" w:sz="4" w:space="0" w:color="auto"/>
              <w:right w:val="single" w:sz="4" w:space="0" w:color="auto"/>
            </w:tcBorders>
            <w:shd w:val="clear" w:color="auto" w:fill="404040" w:themeFill="text1" w:themeFillTint="BF"/>
          </w:tcPr>
          <w:p w14:paraId="258ABFB8" w14:textId="1F68701C" w:rsidR="00BF67B8" w:rsidRPr="00F6205B" w:rsidRDefault="00BF67B8" w:rsidP="005C1774">
            <w:pPr>
              <w:keepNext/>
              <w:keepLines/>
              <w:tabs>
                <w:tab w:val="decimal" w:pos="623"/>
              </w:tabs>
              <w:spacing w:after="0"/>
              <w:contextualSpacing/>
              <w:jc w:val="center"/>
              <w:rPr>
                <w:b/>
                <w:color w:val="FFFFFF" w:themeColor="background1"/>
                <w:sz w:val="20"/>
                <w:szCs w:val="20"/>
              </w:rPr>
            </w:pPr>
            <w:r w:rsidRPr="00F6205B">
              <w:rPr>
                <w:b/>
                <w:color w:val="FFFFFF" w:themeColor="background1"/>
                <w:sz w:val="20"/>
                <w:szCs w:val="20"/>
              </w:rPr>
              <w:t>Percent Savings from Baseline (2016-2025)</w:t>
            </w:r>
          </w:p>
        </w:tc>
      </w:tr>
      <w:tr w:rsidR="00597324" w:rsidRPr="00F6205B" w14:paraId="7FEEA0FD" w14:textId="77777777" w:rsidTr="00FF55D5">
        <w:trPr>
          <w:trHeight w:val="288"/>
          <w:jc w:val="center"/>
        </w:trPr>
        <w:tc>
          <w:tcPr>
            <w:tcW w:w="3507" w:type="dxa"/>
            <w:tcBorders>
              <w:top w:val="single" w:sz="4" w:space="0" w:color="auto"/>
              <w:left w:val="single" w:sz="4" w:space="0" w:color="auto"/>
              <w:right w:val="single" w:sz="4" w:space="0" w:color="000000" w:themeColor="text1"/>
            </w:tcBorders>
            <w:shd w:val="clear" w:color="auto" w:fill="auto"/>
            <w:vAlign w:val="center"/>
          </w:tcPr>
          <w:p w14:paraId="627DE1FF" w14:textId="5E58AD6C" w:rsidR="00597324" w:rsidRPr="00F6205B" w:rsidRDefault="00597324" w:rsidP="005C1774">
            <w:pPr>
              <w:keepNext/>
              <w:keepLines/>
              <w:spacing w:after="0"/>
              <w:contextualSpacing/>
              <w:rPr>
                <w:sz w:val="20"/>
                <w:szCs w:val="20"/>
              </w:rPr>
            </w:pPr>
            <w:r w:rsidRPr="00F6205B">
              <w:rPr>
                <w:sz w:val="20"/>
                <w:szCs w:val="20"/>
              </w:rPr>
              <w:t>Technical potential including solar</w:t>
            </w:r>
          </w:p>
        </w:tc>
        <w:tc>
          <w:tcPr>
            <w:tcW w:w="1099" w:type="dxa"/>
            <w:tcBorders>
              <w:top w:val="single" w:sz="4" w:space="0" w:color="auto"/>
              <w:right w:val="single" w:sz="4" w:space="0" w:color="000000" w:themeColor="text1"/>
            </w:tcBorders>
            <w:shd w:val="clear" w:color="auto" w:fill="auto"/>
            <w:vAlign w:val="center"/>
          </w:tcPr>
          <w:p w14:paraId="1253D173" w14:textId="4EB55981" w:rsidR="00597324" w:rsidRPr="00F6205B" w:rsidRDefault="00597324" w:rsidP="00F52E2F">
            <w:pPr>
              <w:keepNext/>
              <w:tabs>
                <w:tab w:val="decimal" w:pos="489"/>
              </w:tabs>
              <w:contextualSpacing/>
              <w:rPr>
                <w:color w:val="000000"/>
                <w:sz w:val="20"/>
                <w:szCs w:val="20"/>
              </w:rPr>
            </w:pPr>
            <w:r w:rsidRPr="00F6205B">
              <w:rPr>
                <w:color w:val="000000"/>
                <w:sz w:val="20"/>
                <w:szCs w:val="20"/>
              </w:rPr>
              <w:t>85%</w:t>
            </w:r>
          </w:p>
        </w:tc>
        <w:tc>
          <w:tcPr>
            <w:tcW w:w="1099" w:type="dxa"/>
            <w:tcBorders>
              <w:top w:val="single" w:sz="4" w:space="0" w:color="auto"/>
              <w:right w:val="single" w:sz="4" w:space="0" w:color="000000" w:themeColor="text1"/>
            </w:tcBorders>
            <w:shd w:val="clear" w:color="auto" w:fill="auto"/>
            <w:vAlign w:val="center"/>
          </w:tcPr>
          <w:p w14:paraId="3496EC24" w14:textId="3F95C482" w:rsidR="00597324" w:rsidRPr="00F6205B" w:rsidRDefault="00597324" w:rsidP="00F52E2F">
            <w:pPr>
              <w:keepNext/>
              <w:tabs>
                <w:tab w:val="decimal" w:pos="489"/>
              </w:tabs>
              <w:contextualSpacing/>
              <w:rPr>
                <w:color w:val="000000"/>
                <w:sz w:val="20"/>
                <w:szCs w:val="20"/>
              </w:rPr>
            </w:pPr>
            <w:r w:rsidRPr="00F6205B">
              <w:rPr>
                <w:color w:val="000000"/>
                <w:sz w:val="20"/>
                <w:szCs w:val="20"/>
              </w:rPr>
              <w:t>81%</w:t>
            </w:r>
          </w:p>
        </w:tc>
        <w:tc>
          <w:tcPr>
            <w:tcW w:w="1099" w:type="dxa"/>
            <w:tcBorders>
              <w:top w:val="single" w:sz="4" w:space="0" w:color="auto"/>
              <w:right w:val="single" w:sz="4" w:space="0" w:color="000000" w:themeColor="text1"/>
            </w:tcBorders>
            <w:shd w:val="clear" w:color="auto" w:fill="auto"/>
            <w:vAlign w:val="center"/>
          </w:tcPr>
          <w:p w14:paraId="1CEDDFDF" w14:textId="76615F2B" w:rsidR="00597324" w:rsidRPr="00F6205B" w:rsidRDefault="00597324" w:rsidP="00F52E2F">
            <w:pPr>
              <w:keepNext/>
              <w:tabs>
                <w:tab w:val="decimal" w:pos="489"/>
              </w:tabs>
              <w:contextualSpacing/>
              <w:rPr>
                <w:color w:val="000000"/>
                <w:sz w:val="20"/>
                <w:szCs w:val="20"/>
              </w:rPr>
            </w:pPr>
            <w:r w:rsidRPr="00F6205B">
              <w:rPr>
                <w:color w:val="000000"/>
                <w:sz w:val="20"/>
                <w:szCs w:val="20"/>
              </w:rPr>
              <w:t>67%</w:t>
            </w:r>
          </w:p>
        </w:tc>
        <w:tc>
          <w:tcPr>
            <w:tcW w:w="1144" w:type="dxa"/>
            <w:tcBorders>
              <w:top w:val="single" w:sz="4" w:space="0" w:color="auto"/>
              <w:right w:val="single" w:sz="4" w:space="0" w:color="000000" w:themeColor="text1"/>
            </w:tcBorders>
            <w:shd w:val="clear" w:color="auto" w:fill="auto"/>
            <w:vAlign w:val="center"/>
          </w:tcPr>
          <w:p w14:paraId="6CB229BA" w14:textId="2A53592F" w:rsidR="00597324" w:rsidRPr="00F6205B" w:rsidRDefault="00597324" w:rsidP="00F52E2F">
            <w:pPr>
              <w:keepNext/>
              <w:tabs>
                <w:tab w:val="decimal" w:pos="489"/>
              </w:tabs>
              <w:contextualSpacing/>
              <w:rPr>
                <w:color w:val="000000"/>
                <w:sz w:val="20"/>
                <w:szCs w:val="20"/>
              </w:rPr>
            </w:pPr>
            <w:r w:rsidRPr="00F6205B">
              <w:rPr>
                <w:color w:val="000000"/>
                <w:sz w:val="20"/>
                <w:szCs w:val="20"/>
              </w:rPr>
              <w:t>59%</w:t>
            </w:r>
          </w:p>
        </w:tc>
        <w:tc>
          <w:tcPr>
            <w:tcW w:w="1144" w:type="dxa"/>
            <w:tcBorders>
              <w:top w:val="single" w:sz="4" w:space="0" w:color="auto"/>
              <w:right w:val="single" w:sz="4" w:space="0" w:color="000000" w:themeColor="text1"/>
            </w:tcBorders>
            <w:shd w:val="clear" w:color="auto" w:fill="auto"/>
          </w:tcPr>
          <w:p w14:paraId="16945576" w14:textId="72D9DB6A" w:rsidR="00597324" w:rsidRPr="00F6205B" w:rsidRDefault="00597324" w:rsidP="00F52E2F">
            <w:pPr>
              <w:keepNext/>
              <w:tabs>
                <w:tab w:val="decimal" w:pos="489"/>
              </w:tabs>
              <w:contextualSpacing/>
              <w:rPr>
                <w:color w:val="000000"/>
                <w:sz w:val="20"/>
                <w:szCs w:val="20"/>
              </w:rPr>
            </w:pPr>
            <w:r w:rsidRPr="00F6205B">
              <w:rPr>
                <w:color w:val="000000"/>
                <w:sz w:val="20"/>
                <w:szCs w:val="20"/>
              </w:rPr>
              <w:t>83%</w:t>
            </w:r>
          </w:p>
        </w:tc>
        <w:tc>
          <w:tcPr>
            <w:tcW w:w="1144" w:type="dxa"/>
            <w:tcBorders>
              <w:top w:val="single" w:sz="4" w:space="0" w:color="auto"/>
              <w:left w:val="single" w:sz="4" w:space="0" w:color="000000" w:themeColor="text1"/>
              <w:right w:val="single" w:sz="4" w:space="0" w:color="auto"/>
            </w:tcBorders>
            <w:shd w:val="clear" w:color="auto" w:fill="auto"/>
            <w:vAlign w:val="center"/>
          </w:tcPr>
          <w:p w14:paraId="09F7BBDC" w14:textId="1CF98B78" w:rsidR="00597324" w:rsidRPr="00F6205B" w:rsidRDefault="00597324" w:rsidP="00F52E2F">
            <w:pPr>
              <w:keepNext/>
              <w:tabs>
                <w:tab w:val="decimal" w:pos="489"/>
              </w:tabs>
              <w:contextualSpacing/>
              <w:rPr>
                <w:color w:val="000000"/>
                <w:sz w:val="20"/>
                <w:szCs w:val="20"/>
              </w:rPr>
            </w:pPr>
            <w:r w:rsidRPr="00F6205B">
              <w:rPr>
                <w:color w:val="000000"/>
                <w:sz w:val="20"/>
                <w:szCs w:val="20"/>
              </w:rPr>
              <w:t>76%</w:t>
            </w:r>
          </w:p>
        </w:tc>
      </w:tr>
      <w:tr w:rsidR="00597324" w:rsidRPr="00F6205B" w14:paraId="4103FEC8" w14:textId="77777777" w:rsidTr="00FF55D5">
        <w:trPr>
          <w:trHeight w:val="288"/>
          <w:jc w:val="center"/>
        </w:trPr>
        <w:tc>
          <w:tcPr>
            <w:tcW w:w="3507" w:type="dxa"/>
            <w:tcBorders>
              <w:left w:val="single" w:sz="4" w:space="0" w:color="auto"/>
              <w:right w:val="single" w:sz="4" w:space="0" w:color="000000" w:themeColor="text1"/>
            </w:tcBorders>
            <w:shd w:val="clear" w:color="auto" w:fill="auto"/>
            <w:vAlign w:val="center"/>
          </w:tcPr>
          <w:p w14:paraId="00A3015A" w14:textId="65AEDD84" w:rsidR="00597324" w:rsidRPr="00F6205B" w:rsidRDefault="00597324" w:rsidP="005C1774">
            <w:pPr>
              <w:keepNext/>
              <w:keepLines/>
              <w:spacing w:after="0"/>
              <w:contextualSpacing/>
              <w:rPr>
                <w:sz w:val="20"/>
                <w:szCs w:val="20"/>
              </w:rPr>
            </w:pPr>
            <w:r w:rsidRPr="00F6205B">
              <w:rPr>
                <w:sz w:val="20"/>
                <w:szCs w:val="20"/>
              </w:rPr>
              <w:t>Technical potential excluding solar</w:t>
            </w:r>
          </w:p>
        </w:tc>
        <w:tc>
          <w:tcPr>
            <w:tcW w:w="1099" w:type="dxa"/>
            <w:tcBorders>
              <w:right w:val="single" w:sz="4" w:space="0" w:color="000000" w:themeColor="text1"/>
            </w:tcBorders>
            <w:shd w:val="clear" w:color="auto" w:fill="auto"/>
            <w:vAlign w:val="center"/>
          </w:tcPr>
          <w:p w14:paraId="08777B7E" w14:textId="2A992C60" w:rsidR="00597324" w:rsidRPr="00F6205B" w:rsidRDefault="00597324" w:rsidP="00F52E2F">
            <w:pPr>
              <w:keepNext/>
              <w:tabs>
                <w:tab w:val="decimal" w:pos="489"/>
              </w:tabs>
              <w:contextualSpacing/>
              <w:rPr>
                <w:color w:val="000000"/>
                <w:sz w:val="20"/>
                <w:szCs w:val="20"/>
              </w:rPr>
            </w:pPr>
            <w:r w:rsidRPr="00F6205B">
              <w:rPr>
                <w:color w:val="000000"/>
                <w:sz w:val="20"/>
                <w:szCs w:val="20"/>
              </w:rPr>
              <w:t>80%</w:t>
            </w:r>
          </w:p>
        </w:tc>
        <w:tc>
          <w:tcPr>
            <w:tcW w:w="1099" w:type="dxa"/>
            <w:tcBorders>
              <w:right w:val="single" w:sz="4" w:space="0" w:color="000000" w:themeColor="text1"/>
            </w:tcBorders>
            <w:shd w:val="clear" w:color="auto" w:fill="auto"/>
            <w:vAlign w:val="center"/>
          </w:tcPr>
          <w:p w14:paraId="6AC9412D" w14:textId="542CE67F" w:rsidR="00597324" w:rsidRPr="00F6205B" w:rsidRDefault="00597324" w:rsidP="00F52E2F">
            <w:pPr>
              <w:keepNext/>
              <w:tabs>
                <w:tab w:val="decimal" w:pos="489"/>
              </w:tabs>
              <w:contextualSpacing/>
              <w:rPr>
                <w:color w:val="000000"/>
                <w:sz w:val="20"/>
                <w:szCs w:val="20"/>
              </w:rPr>
            </w:pPr>
            <w:r w:rsidRPr="00F6205B">
              <w:rPr>
                <w:color w:val="000000"/>
                <w:sz w:val="20"/>
                <w:szCs w:val="20"/>
              </w:rPr>
              <w:t>77%</w:t>
            </w:r>
          </w:p>
        </w:tc>
        <w:tc>
          <w:tcPr>
            <w:tcW w:w="1099" w:type="dxa"/>
            <w:tcBorders>
              <w:right w:val="single" w:sz="4" w:space="0" w:color="000000" w:themeColor="text1"/>
            </w:tcBorders>
            <w:shd w:val="clear" w:color="auto" w:fill="auto"/>
            <w:vAlign w:val="center"/>
          </w:tcPr>
          <w:p w14:paraId="45D64DBA" w14:textId="1492522C" w:rsidR="00597324" w:rsidRPr="00F6205B" w:rsidRDefault="00597324" w:rsidP="00F52E2F">
            <w:pPr>
              <w:keepNext/>
              <w:tabs>
                <w:tab w:val="decimal" w:pos="489"/>
              </w:tabs>
              <w:contextualSpacing/>
              <w:rPr>
                <w:color w:val="000000"/>
                <w:sz w:val="20"/>
                <w:szCs w:val="20"/>
              </w:rPr>
            </w:pPr>
            <w:r w:rsidRPr="00F6205B">
              <w:rPr>
                <w:color w:val="000000"/>
                <w:sz w:val="20"/>
                <w:szCs w:val="20"/>
              </w:rPr>
              <w:t>57%</w:t>
            </w:r>
          </w:p>
        </w:tc>
        <w:tc>
          <w:tcPr>
            <w:tcW w:w="1144" w:type="dxa"/>
            <w:tcBorders>
              <w:right w:val="single" w:sz="4" w:space="0" w:color="000000" w:themeColor="text1"/>
            </w:tcBorders>
            <w:shd w:val="clear" w:color="auto" w:fill="auto"/>
            <w:vAlign w:val="center"/>
          </w:tcPr>
          <w:p w14:paraId="4970A9DE" w14:textId="58FCC6FA" w:rsidR="00597324" w:rsidRPr="00F6205B" w:rsidRDefault="00597324" w:rsidP="00F52E2F">
            <w:pPr>
              <w:keepNext/>
              <w:tabs>
                <w:tab w:val="decimal" w:pos="489"/>
              </w:tabs>
              <w:contextualSpacing/>
              <w:rPr>
                <w:color w:val="000000"/>
                <w:sz w:val="20"/>
                <w:szCs w:val="20"/>
              </w:rPr>
            </w:pPr>
            <w:r w:rsidRPr="00F6205B">
              <w:rPr>
                <w:color w:val="000000"/>
                <w:sz w:val="20"/>
                <w:szCs w:val="20"/>
              </w:rPr>
              <w:t>17%</w:t>
            </w:r>
          </w:p>
        </w:tc>
        <w:tc>
          <w:tcPr>
            <w:tcW w:w="1144" w:type="dxa"/>
            <w:tcBorders>
              <w:right w:val="single" w:sz="4" w:space="0" w:color="000000" w:themeColor="text1"/>
            </w:tcBorders>
            <w:shd w:val="clear" w:color="auto" w:fill="auto"/>
          </w:tcPr>
          <w:p w14:paraId="22DE3680" w14:textId="132C0B3B" w:rsidR="00597324" w:rsidRPr="00F6205B" w:rsidRDefault="00597324" w:rsidP="00F52E2F">
            <w:pPr>
              <w:keepNext/>
              <w:tabs>
                <w:tab w:val="decimal" w:pos="489"/>
              </w:tabs>
              <w:contextualSpacing/>
              <w:rPr>
                <w:color w:val="000000"/>
                <w:sz w:val="20"/>
                <w:szCs w:val="20"/>
              </w:rPr>
            </w:pPr>
            <w:r w:rsidRPr="00F6205B">
              <w:rPr>
                <w:color w:val="000000"/>
                <w:sz w:val="20"/>
                <w:szCs w:val="20"/>
              </w:rPr>
              <w:t>78%</w:t>
            </w:r>
          </w:p>
        </w:tc>
        <w:tc>
          <w:tcPr>
            <w:tcW w:w="1144" w:type="dxa"/>
            <w:tcBorders>
              <w:left w:val="single" w:sz="4" w:space="0" w:color="000000" w:themeColor="text1"/>
              <w:right w:val="single" w:sz="4" w:space="0" w:color="auto"/>
            </w:tcBorders>
            <w:shd w:val="clear" w:color="auto" w:fill="auto"/>
            <w:vAlign w:val="center"/>
          </w:tcPr>
          <w:p w14:paraId="02318690" w14:textId="798ABE93" w:rsidR="00597324" w:rsidRPr="00F6205B" w:rsidRDefault="00597324" w:rsidP="00F52E2F">
            <w:pPr>
              <w:keepNext/>
              <w:tabs>
                <w:tab w:val="decimal" w:pos="489"/>
              </w:tabs>
              <w:contextualSpacing/>
              <w:rPr>
                <w:color w:val="000000"/>
                <w:sz w:val="20"/>
                <w:szCs w:val="20"/>
              </w:rPr>
            </w:pPr>
            <w:r w:rsidRPr="00F6205B">
              <w:rPr>
                <w:color w:val="000000"/>
                <w:sz w:val="20"/>
                <w:szCs w:val="20"/>
              </w:rPr>
              <w:t>60%</w:t>
            </w:r>
          </w:p>
        </w:tc>
      </w:tr>
      <w:tr w:rsidR="00597324" w:rsidRPr="00F6205B" w14:paraId="2917F807" w14:textId="77777777" w:rsidTr="00FF55D5">
        <w:trPr>
          <w:trHeight w:val="288"/>
          <w:jc w:val="center"/>
        </w:trPr>
        <w:tc>
          <w:tcPr>
            <w:tcW w:w="3507" w:type="dxa"/>
            <w:tcBorders>
              <w:left w:val="single" w:sz="4" w:space="0" w:color="auto"/>
              <w:bottom w:val="single" w:sz="4" w:space="0" w:color="000000" w:themeColor="text1"/>
              <w:right w:val="single" w:sz="4" w:space="0" w:color="000000" w:themeColor="text1"/>
            </w:tcBorders>
            <w:shd w:val="clear" w:color="auto" w:fill="auto"/>
            <w:vAlign w:val="center"/>
          </w:tcPr>
          <w:p w14:paraId="5152088A" w14:textId="23851B35" w:rsidR="00597324" w:rsidRPr="00F6205B" w:rsidRDefault="00597324" w:rsidP="005C1774">
            <w:pPr>
              <w:keepNext/>
              <w:keepLines/>
              <w:spacing w:after="0"/>
              <w:contextualSpacing/>
              <w:rPr>
                <w:sz w:val="20"/>
                <w:szCs w:val="20"/>
              </w:rPr>
            </w:pPr>
            <w:r w:rsidRPr="00F6205B">
              <w:rPr>
                <w:sz w:val="20"/>
                <w:szCs w:val="20"/>
              </w:rPr>
              <w:t>Cost-effective potential</w:t>
            </w:r>
          </w:p>
        </w:tc>
        <w:tc>
          <w:tcPr>
            <w:tcW w:w="1099" w:type="dxa"/>
            <w:tcBorders>
              <w:bottom w:val="single" w:sz="4" w:space="0" w:color="000000" w:themeColor="text1"/>
              <w:right w:val="single" w:sz="4" w:space="0" w:color="000000" w:themeColor="text1"/>
            </w:tcBorders>
            <w:shd w:val="clear" w:color="auto" w:fill="auto"/>
            <w:vAlign w:val="center"/>
          </w:tcPr>
          <w:p w14:paraId="531E645B" w14:textId="66F33D2C" w:rsidR="00597324" w:rsidRPr="00F6205B" w:rsidRDefault="00597324" w:rsidP="00F52E2F">
            <w:pPr>
              <w:keepNext/>
              <w:tabs>
                <w:tab w:val="decimal" w:pos="489"/>
              </w:tabs>
              <w:contextualSpacing/>
              <w:rPr>
                <w:color w:val="000000"/>
                <w:sz w:val="20"/>
                <w:szCs w:val="20"/>
              </w:rPr>
            </w:pPr>
            <w:r w:rsidRPr="00F6205B">
              <w:rPr>
                <w:color w:val="000000"/>
                <w:sz w:val="20"/>
                <w:szCs w:val="20"/>
              </w:rPr>
              <w:t>29%</w:t>
            </w:r>
          </w:p>
        </w:tc>
        <w:tc>
          <w:tcPr>
            <w:tcW w:w="1099" w:type="dxa"/>
            <w:tcBorders>
              <w:bottom w:val="single" w:sz="4" w:space="0" w:color="000000" w:themeColor="text1"/>
              <w:right w:val="single" w:sz="4" w:space="0" w:color="000000" w:themeColor="text1"/>
            </w:tcBorders>
            <w:shd w:val="clear" w:color="auto" w:fill="auto"/>
            <w:vAlign w:val="center"/>
          </w:tcPr>
          <w:p w14:paraId="4FFCE92C" w14:textId="2817C2E3" w:rsidR="00597324" w:rsidRPr="00F6205B" w:rsidRDefault="00597324" w:rsidP="00F52E2F">
            <w:pPr>
              <w:keepNext/>
              <w:tabs>
                <w:tab w:val="decimal" w:pos="489"/>
              </w:tabs>
              <w:contextualSpacing/>
              <w:rPr>
                <w:color w:val="000000"/>
                <w:sz w:val="20"/>
                <w:szCs w:val="20"/>
              </w:rPr>
            </w:pPr>
            <w:r w:rsidRPr="00F6205B">
              <w:rPr>
                <w:color w:val="000000"/>
                <w:sz w:val="20"/>
                <w:szCs w:val="20"/>
              </w:rPr>
              <w:t>26%</w:t>
            </w:r>
          </w:p>
        </w:tc>
        <w:tc>
          <w:tcPr>
            <w:tcW w:w="1099" w:type="dxa"/>
            <w:tcBorders>
              <w:bottom w:val="single" w:sz="4" w:space="0" w:color="000000" w:themeColor="text1"/>
              <w:right w:val="single" w:sz="4" w:space="0" w:color="000000" w:themeColor="text1"/>
            </w:tcBorders>
            <w:shd w:val="clear" w:color="auto" w:fill="auto"/>
            <w:vAlign w:val="center"/>
          </w:tcPr>
          <w:p w14:paraId="348A2F53" w14:textId="64002B27" w:rsidR="00597324" w:rsidRPr="00F6205B" w:rsidRDefault="00597324" w:rsidP="00F52E2F">
            <w:pPr>
              <w:keepNext/>
              <w:tabs>
                <w:tab w:val="decimal" w:pos="489"/>
              </w:tabs>
              <w:contextualSpacing/>
              <w:rPr>
                <w:color w:val="000000"/>
                <w:sz w:val="20"/>
                <w:szCs w:val="20"/>
              </w:rPr>
            </w:pPr>
            <w:r w:rsidRPr="00F6205B">
              <w:rPr>
                <w:color w:val="000000"/>
                <w:sz w:val="20"/>
                <w:szCs w:val="20"/>
              </w:rPr>
              <w:t>19%</w:t>
            </w:r>
          </w:p>
        </w:tc>
        <w:tc>
          <w:tcPr>
            <w:tcW w:w="1144" w:type="dxa"/>
            <w:tcBorders>
              <w:bottom w:val="single" w:sz="4" w:space="0" w:color="000000" w:themeColor="text1"/>
              <w:right w:val="single" w:sz="4" w:space="0" w:color="000000" w:themeColor="text1"/>
            </w:tcBorders>
            <w:shd w:val="clear" w:color="auto" w:fill="auto"/>
            <w:vAlign w:val="center"/>
          </w:tcPr>
          <w:p w14:paraId="34466409" w14:textId="35F9F717" w:rsidR="00597324" w:rsidRPr="00F6205B" w:rsidRDefault="00597324" w:rsidP="00F52E2F">
            <w:pPr>
              <w:keepNext/>
              <w:tabs>
                <w:tab w:val="decimal" w:pos="489"/>
              </w:tabs>
              <w:contextualSpacing/>
              <w:rPr>
                <w:color w:val="000000"/>
                <w:sz w:val="20"/>
                <w:szCs w:val="20"/>
              </w:rPr>
            </w:pPr>
            <w:r w:rsidRPr="00F6205B">
              <w:rPr>
                <w:color w:val="000000"/>
                <w:sz w:val="20"/>
                <w:szCs w:val="20"/>
              </w:rPr>
              <w:t>15%</w:t>
            </w:r>
          </w:p>
        </w:tc>
        <w:tc>
          <w:tcPr>
            <w:tcW w:w="1144" w:type="dxa"/>
            <w:tcBorders>
              <w:bottom w:val="single" w:sz="4" w:space="0" w:color="000000" w:themeColor="text1"/>
              <w:right w:val="single" w:sz="4" w:space="0" w:color="000000" w:themeColor="text1"/>
            </w:tcBorders>
            <w:shd w:val="clear" w:color="auto" w:fill="auto"/>
          </w:tcPr>
          <w:p w14:paraId="6D2101D9" w14:textId="73DCCC1A" w:rsidR="00597324" w:rsidRPr="00F6205B" w:rsidRDefault="00597324" w:rsidP="00F52E2F">
            <w:pPr>
              <w:keepNext/>
              <w:tabs>
                <w:tab w:val="decimal" w:pos="489"/>
              </w:tabs>
              <w:contextualSpacing/>
              <w:rPr>
                <w:color w:val="000000"/>
                <w:sz w:val="20"/>
                <w:szCs w:val="20"/>
              </w:rPr>
            </w:pPr>
            <w:r w:rsidRPr="00F6205B">
              <w:rPr>
                <w:color w:val="000000"/>
                <w:sz w:val="20"/>
                <w:szCs w:val="20"/>
              </w:rPr>
              <w:t>27%</w:t>
            </w:r>
          </w:p>
        </w:tc>
        <w:tc>
          <w:tcPr>
            <w:tcW w:w="1144" w:type="dxa"/>
            <w:tcBorders>
              <w:left w:val="single" w:sz="4" w:space="0" w:color="000000" w:themeColor="text1"/>
              <w:bottom w:val="single" w:sz="4" w:space="0" w:color="000000" w:themeColor="text1"/>
              <w:right w:val="single" w:sz="4" w:space="0" w:color="auto"/>
            </w:tcBorders>
            <w:shd w:val="clear" w:color="auto" w:fill="auto"/>
            <w:vAlign w:val="center"/>
          </w:tcPr>
          <w:p w14:paraId="0B7881CB" w14:textId="3D23BAD0" w:rsidR="00597324" w:rsidRPr="00F6205B" w:rsidRDefault="00597324" w:rsidP="00F52E2F">
            <w:pPr>
              <w:keepNext/>
              <w:tabs>
                <w:tab w:val="decimal" w:pos="489"/>
              </w:tabs>
              <w:contextualSpacing/>
              <w:rPr>
                <w:color w:val="000000"/>
                <w:sz w:val="20"/>
                <w:szCs w:val="20"/>
              </w:rPr>
            </w:pPr>
            <w:r w:rsidRPr="00F6205B">
              <w:rPr>
                <w:color w:val="000000"/>
                <w:sz w:val="20"/>
                <w:szCs w:val="20"/>
              </w:rPr>
              <w:t>24%</w:t>
            </w:r>
          </w:p>
        </w:tc>
      </w:tr>
      <w:tr w:rsidR="00597324" w:rsidRPr="00F6205B" w14:paraId="71CFA163" w14:textId="77777777" w:rsidTr="00FF55D5">
        <w:trPr>
          <w:trHeight w:val="288"/>
          <w:jc w:val="center"/>
        </w:trPr>
        <w:tc>
          <w:tcPr>
            <w:tcW w:w="3507" w:type="dxa"/>
            <w:tcBorders>
              <w:top w:val="single" w:sz="4" w:space="0" w:color="000000" w:themeColor="text1"/>
              <w:left w:val="single" w:sz="4" w:space="0" w:color="auto"/>
              <w:bottom w:val="single" w:sz="4" w:space="0" w:color="auto"/>
              <w:right w:val="single" w:sz="4" w:space="0" w:color="000000" w:themeColor="text1"/>
            </w:tcBorders>
            <w:shd w:val="clear" w:color="auto" w:fill="auto"/>
            <w:vAlign w:val="center"/>
          </w:tcPr>
          <w:p w14:paraId="1792EFA0" w14:textId="1A8D6839" w:rsidR="00597324" w:rsidRPr="00F6205B" w:rsidRDefault="00D01509" w:rsidP="005C1774">
            <w:pPr>
              <w:keepNext/>
              <w:keepLines/>
              <w:spacing w:after="0"/>
              <w:contextualSpacing/>
              <w:rPr>
                <w:sz w:val="20"/>
                <w:szCs w:val="20"/>
              </w:rPr>
            </w:pPr>
            <w:r w:rsidRPr="00F6205B">
              <w:rPr>
                <w:sz w:val="20"/>
                <w:szCs w:val="20"/>
              </w:rPr>
              <w:t>Maximum a</w:t>
            </w:r>
            <w:r w:rsidR="00597324" w:rsidRPr="00F6205B">
              <w:rPr>
                <w:sz w:val="20"/>
                <w:szCs w:val="20"/>
              </w:rPr>
              <w:t>chievable potential</w:t>
            </w:r>
          </w:p>
        </w:tc>
        <w:tc>
          <w:tcPr>
            <w:tcW w:w="1099" w:type="dxa"/>
            <w:tcBorders>
              <w:top w:val="single" w:sz="4" w:space="0" w:color="000000" w:themeColor="text1"/>
              <w:bottom w:val="single" w:sz="4" w:space="0" w:color="auto"/>
              <w:right w:val="single" w:sz="4" w:space="0" w:color="000000" w:themeColor="text1"/>
            </w:tcBorders>
            <w:shd w:val="clear" w:color="auto" w:fill="auto"/>
            <w:vAlign w:val="center"/>
          </w:tcPr>
          <w:p w14:paraId="7AFF80BF" w14:textId="7FB33AAC" w:rsidR="00597324" w:rsidRPr="00F6205B" w:rsidRDefault="00A70A3F" w:rsidP="00F52E2F">
            <w:pPr>
              <w:keepNext/>
              <w:tabs>
                <w:tab w:val="decimal" w:pos="489"/>
              </w:tabs>
              <w:contextualSpacing/>
              <w:rPr>
                <w:color w:val="000000"/>
                <w:sz w:val="20"/>
                <w:szCs w:val="20"/>
              </w:rPr>
            </w:pPr>
            <w:r w:rsidRPr="00F6205B">
              <w:rPr>
                <w:color w:val="000000"/>
                <w:sz w:val="20"/>
                <w:szCs w:val="20"/>
              </w:rPr>
              <w:t>5</w:t>
            </w:r>
            <w:r w:rsidR="00597324" w:rsidRPr="00F6205B">
              <w:rPr>
                <w:color w:val="000000"/>
                <w:sz w:val="20"/>
                <w:szCs w:val="20"/>
              </w:rPr>
              <w:t>%</w:t>
            </w:r>
          </w:p>
        </w:tc>
        <w:tc>
          <w:tcPr>
            <w:tcW w:w="1099" w:type="dxa"/>
            <w:tcBorders>
              <w:top w:val="single" w:sz="4" w:space="0" w:color="000000" w:themeColor="text1"/>
              <w:bottom w:val="single" w:sz="4" w:space="0" w:color="auto"/>
              <w:right w:val="single" w:sz="4" w:space="0" w:color="000000" w:themeColor="text1"/>
            </w:tcBorders>
            <w:shd w:val="clear" w:color="auto" w:fill="auto"/>
            <w:vAlign w:val="center"/>
          </w:tcPr>
          <w:p w14:paraId="36FB255C" w14:textId="064CBDFB" w:rsidR="00597324" w:rsidRPr="00F6205B" w:rsidRDefault="00A70A3F" w:rsidP="00F52E2F">
            <w:pPr>
              <w:keepNext/>
              <w:tabs>
                <w:tab w:val="decimal" w:pos="489"/>
              </w:tabs>
              <w:contextualSpacing/>
              <w:rPr>
                <w:color w:val="000000"/>
                <w:sz w:val="20"/>
                <w:szCs w:val="20"/>
              </w:rPr>
            </w:pPr>
            <w:r w:rsidRPr="00F6205B">
              <w:rPr>
                <w:color w:val="000000"/>
                <w:sz w:val="20"/>
                <w:szCs w:val="20"/>
              </w:rPr>
              <w:t>5</w:t>
            </w:r>
            <w:r w:rsidR="00597324" w:rsidRPr="00F6205B">
              <w:rPr>
                <w:color w:val="000000"/>
                <w:sz w:val="20"/>
                <w:szCs w:val="20"/>
              </w:rPr>
              <w:t>%</w:t>
            </w:r>
          </w:p>
        </w:tc>
        <w:tc>
          <w:tcPr>
            <w:tcW w:w="1099" w:type="dxa"/>
            <w:tcBorders>
              <w:top w:val="single" w:sz="4" w:space="0" w:color="000000" w:themeColor="text1"/>
              <w:bottom w:val="single" w:sz="4" w:space="0" w:color="auto"/>
              <w:right w:val="single" w:sz="4" w:space="0" w:color="000000" w:themeColor="text1"/>
            </w:tcBorders>
            <w:shd w:val="clear" w:color="auto" w:fill="auto"/>
            <w:vAlign w:val="center"/>
          </w:tcPr>
          <w:p w14:paraId="5BD50B91" w14:textId="1071FBA0" w:rsidR="00597324" w:rsidRPr="00F6205B" w:rsidRDefault="00A70A3F" w:rsidP="00F52E2F">
            <w:pPr>
              <w:keepNext/>
              <w:tabs>
                <w:tab w:val="decimal" w:pos="489"/>
              </w:tabs>
              <w:contextualSpacing/>
              <w:rPr>
                <w:color w:val="000000"/>
                <w:sz w:val="20"/>
                <w:szCs w:val="20"/>
              </w:rPr>
            </w:pPr>
            <w:r w:rsidRPr="00F6205B">
              <w:rPr>
                <w:color w:val="000000"/>
                <w:sz w:val="20"/>
                <w:szCs w:val="20"/>
              </w:rPr>
              <w:t>3</w:t>
            </w:r>
            <w:r w:rsidR="00597324" w:rsidRPr="00F6205B">
              <w:rPr>
                <w:color w:val="000000"/>
                <w:sz w:val="20"/>
                <w:szCs w:val="20"/>
              </w:rPr>
              <w:t>%</w:t>
            </w:r>
          </w:p>
        </w:tc>
        <w:tc>
          <w:tcPr>
            <w:tcW w:w="1144" w:type="dxa"/>
            <w:tcBorders>
              <w:top w:val="single" w:sz="4" w:space="0" w:color="000000" w:themeColor="text1"/>
              <w:bottom w:val="single" w:sz="4" w:space="0" w:color="auto"/>
              <w:right w:val="single" w:sz="4" w:space="0" w:color="000000" w:themeColor="text1"/>
            </w:tcBorders>
            <w:shd w:val="clear" w:color="auto" w:fill="auto"/>
            <w:vAlign w:val="center"/>
          </w:tcPr>
          <w:p w14:paraId="1729AF04" w14:textId="5E65704B" w:rsidR="00597324" w:rsidRPr="00F6205B" w:rsidRDefault="00A70A3F" w:rsidP="00F52E2F">
            <w:pPr>
              <w:keepNext/>
              <w:tabs>
                <w:tab w:val="decimal" w:pos="489"/>
              </w:tabs>
              <w:contextualSpacing/>
              <w:rPr>
                <w:color w:val="000000"/>
                <w:sz w:val="20"/>
                <w:szCs w:val="20"/>
              </w:rPr>
            </w:pPr>
            <w:r w:rsidRPr="00F6205B">
              <w:rPr>
                <w:color w:val="000000"/>
                <w:sz w:val="20"/>
                <w:szCs w:val="20"/>
              </w:rPr>
              <w:t>5</w:t>
            </w:r>
            <w:r w:rsidR="00597324" w:rsidRPr="00F6205B">
              <w:rPr>
                <w:color w:val="000000"/>
                <w:sz w:val="20"/>
                <w:szCs w:val="20"/>
              </w:rPr>
              <w:t>%</w:t>
            </w:r>
          </w:p>
        </w:tc>
        <w:tc>
          <w:tcPr>
            <w:tcW w:w="1144" w:type="dxa"/>
            <w:tcBorders>
              <w:top w:val="single" w:sz="4" w:space="0" w:color="000000" w:themeColor="text1"/>
              <w:bottom w:val="single" w:sz="4" w:space="0" w:color="auto"/>
              <w:right w:val="single" w:sz="4" w:space="0" w:color="000000" w:themeColor="text1"/>
            </w:tcBorders>
            <w:shd w:val="clear" w:color="auto" w:fill="auto"/>
          </w:tcPr>
          <w:p w14:paraId="0486ECDA" w14:textId="252FEBC5" w:rsidR="00597324" w:rsidRPr="00F6205B" w:rsidRDefault="00A70A3F" w:rsidP="00F52E2F">
            <w:pPr>
              <w:keepNext/>
              <w:tabs>
                <w:tab w:val="decimal" w:pos="489"/>
              </w:tabs>
              <w:contextualSpacing/>
              <w:rPr>
                <w:color w:val="000000"/>
                <w:sz w:val="20"/>
                <w:szCs w:val="20"/>
              </w:rPr>
            </w:pPr>
            <w:r w:rsidRPr="00F6205B">
              <w:rPr>
                <w:color w:val="000000"/>
                <w:sz w:val="20"/>
                <w:szCs w:val="20"/>
              </w:rPr>
              <w:t>5</w:t>
            </w:r>
            <w:r w:rsidR="00597324" w:rsidRPr="00F6205B">
              <w:rPr>
                <w:color w:val="000000"/>
                <w:sz w:val="20"/>
                <w:szCs w:val="20"/>
              </w:rPr>
              <w:t>%</w:t>
            </w:r>
          </w:p>
        </w:tc>
        <w:tc>
          <w:tcPr>
            <w:tcW w:w="1144" w:type="dxa"/>
            <w:tcBorders>
              <w:top w:val="single" w:sz="4" w:space="0" w:color="000000" w:themeColor="text1"/>
              <w:left w:val="single" w:sz="4" w:space="0" w:color="000000" w:themeColor="text1"/>
              <w:bottom w:val="single" w:sz="4" w:space="0" w:color="auto"/>
              <w:right w:val="single" w:sz="4" w:space="0" w:color="auto"/>
            </w:tcBorders>
            <w:shd w:val="clear" w:color="auto" w:fill="auto"/>
            <w:vAlign w:val="center"/>
          </w:tcPr>
          <w:p w14:paraId="352BF12A" w14:textId="77BE4E55" w:rsidR="00597324" w:rsidRPr="00F6205B" w:rsidRDefault="00A70A3F" w:rsidP="00F52E2F">
            <w:pPr>
              <w:keepNext/>
              <w:tabs>
                <w:tab w:val="decimal" w:pos="489"/>
              </w:tabs>
              <w:contextualSpacing/>
              <w:rPr>
                <w:color w:val="000000"/>
                <w:sz w:val="20"/>
                <w:szCs w:val="20"/>
              </w:rPr>
            </w:pPr>
            <w:r w:rsidRPr="00F6205B">
              <w:rPr>
                <w:color w:val="000000"/>
                <w:sz w:val="20"/>
                <w:szCs w:val="20"/>
              </w:rPr>
              <w:t>5</w:t>
            </w:r>
            <w:r w:rsidR="00597324" w:rsidRPr="00F6205B">
              <w:rPr>
                <w:color w:val="000000"/>
                <w:sz w:val="20"/>
                <w:szCs w:val="20"/>
              </w:rPr>
              <w:t>%</w:t>
            </w:r>
          </w:p>
        </w:tc>
      </w:tr>
    </w:tbl>
    <w:p w14:paraId="456F3798" w14:textId="10C7052A" w:rsidR="00921C8C" w:rsidRPr="00F6205B" w:rsidRDefault="0025056A" w:rsidP="00F52E2F">
      <w:pPr>
        <w:keepNext/>
        <w:tabs>
          <w:tab w:val="left" w:pos="90"/>
        </w:tabs>
        <w:rPr>
          <w:sz w:val="18"/>
          <w:szCs w:val="20"/>
        </w:rPr>
      </w:pPr>
      <w:r w:rsidRPr="00F6205B">
        <w:rPr>
          <w:sz w:val="18"/>
          <w:szCs w:val="20"/>
        </w:rPr>
        <w:tab/>
        <w:t xml:space="preserve">* </w:t>
      </w:r>
      <w:r w:rsidR="00921C8C" w:rsidRPr="00F6205B">
        <w:rPr>
          <w:sz w:val="18"/>
          <w:szCs w:val="20"/>
        </w:rPr>
        <w:t>Savings are in millions of units.</w:t>
      </w:r>
    </w:p>
    <w:p w14:paraId="5A25A25D" w14:textId="354B1B74" w:rsidR="00921C8C" w:rsidRPr="00F6205B" w:rsidRDefault="00921C8C" w:rsidP="00921C8C">
      <w:pPr>
        <w:contextualSpacing/>
      </w:pPr>
      <w:bookmarkStart w:id="29" w:name="_Toc391887292"/>
    </w:p>
    <w:p w14:paraId="5AE2C842" w14:textId="77777777" w:rsidR="00B53D8F" w:rsidRDefault="00B53D8F">
      <w:pPr>
        <w:spacing w:after="0" w:line="240" w:lineRule="auto"/>
        <w:rPr>
          <w:rFonts w:ascii="Arial Bold" w:eastAsiaTheme="majorEastAsia" w:hAnsi="Arial Bold" w:cstheme="majorBidi"/>
          <w:b/>
          <w:bCs/>
          <w:color w:val="76A240"/>
          <w:sz w:val="24"/>
        </w:rPr>
      </w:pPr>
      <w:r>
        <w:br w:type="page"/>
      </w:r>
    </w:p>
    <w:p w14:paraId="70D2BCA6" w14:textId="154022C2" w:rsidR="00921C8C" w:rsidRPr="00F6205B" w:rsidRDefault="00921C8C" w:rsidP="00921C8C">
      <w:pPr>
        <w:pStyle w:val="Heading3"/>
        <w:numPr>
          <w:ilvl w:val="0"/>
          <w:numId w:val="0"/>
        </w:numPr>
      </w:pPr>
      <w:bookmarkStart w:id="30" w:name="_Toc439939381"/>
      <w:r w:rsidRPr="009D159B">
        <w:lastRenderedPageBreak/>
        <w:t xml:space="preserve">Peak </w:t>
      </w:r>
      <w:r w:rsidR="00D25E0C">
        <w:t xml:space="preserve">Electric </w:t>
      </w:r>
      <w:r w:rsidRPr="009D159B">
        <w:t>Demand Savings</w:t>
      </w:r>
      <w:bookmarkEnd w:id="29"/>
      <w:bookmarkEnd w:id="30"/>
    </w:p>
    <w:p w14:paraId="5F9C179A" w14:textId="359BC165" w:rsidR="00921C8C" w:rsidRDefault="001400E4" w:rsidP="00921C8C">
      <w:pPr>
        <w:tabs>
          <w:tab w:val="left" w:pos="1770"/>
        </w:tabs>
      </w:pPr>
      <w:r w:rsidRPr="00F6205B">
        <w:fldChar w:fldCharType="begin"/>
      </w:r>
      <w:r w:rsidRPr="00F6205B">
        <w:instrText xml:space="preserve"> REF _Ref439335099 \h </w:instrText>
      </w:r>
      <w:r w:rsidR="00F6205B">
        <w:instrText xml:space="preserve"> \* MERGEFORMAT </w:instrText>
      </w:r>
      <w:r w:rsidRPr="00F6205B">
        <w:fldChar w:fldCharType="separate"/>
      </w:r>
      <w:r w:rsidR="00FA26A9" w:rsidRPr="00F6205B">
        <w:t xml:space="preserve">Figure </w:t>
      </w:r>
      <w:r w:rsidR="00FA26A9">
        <w:rPr>
          <w:noProof/>
        </w:rPr>
        <w:t>5</w:t>
      </w:r>
      <w:r w:rsidRPr="00F6205B">
        <w:fldChar w:fldCharType="end"/>
      </w:r>
      <w:r w:rsidRPr="00F6205B">
        <w:t xml:space="preserve"> </w:t>
      </w:r>
      <w:r w:rsidR="00921C8C" w:rsidRPr="00F6205B">
        <w:t xml:space="preserve">presents </w:t>
      </w:r>
      <w:r w:rsidR="00713C0F">
        <w:t xml:space="preserve">aggregate ten-year </w:t>
      </w:r>
      <w:r w:rsidR="00921C8C" w:rsidRPr="00F6205B">
        <w:t xml:space="preserve">peak </w:t>
      </w:r>
      <w:r w:rsidR="00D25E0C">
        <w:t>electric</w:t>
      </w:r>
      <w:r w:rsidR="005C1774">
        <w:t xml:space="preserve"> </w:t>
      </w:r>
      <w:r w:rsidR="00921C8C" w:rsidRPr="00F6205B">
        <w:t>demand savings estimates for each of the scenarios assessed as part of the potential study.</w:t>
      </w:r>
      <w:r w:rsidR="00921C8C" w:rsidRPr="00F6205B">
        <w:rPr>
          <w:rStyle w:val="FootnoteReference"/>
        </w:rPr>
        <w:footnoteReference w:id="12"/>
      </w:r>
      <w:r w:rsidR="00921C8C" w:rsidRPr="00F6205B">
        <w:t xml:space="preserve"> Below is a summary of the findings:</w:t>
      </w:r>
    </w:p>
    <w:p w14:paraId="33570C1F" w14:textId="21356BB4" w:rsidR="00713C0F" w:rsidRDefault="00713C0F" w:rsidP="00F52E2F">
      <w:pPr>
        <w:pStyle w:val="ListParagraph"/>
        <w:numPr>
          <w:ilvl w:val="0"/>
          <w:numId w:val="49"/>
        </w:numPr>
        <w:tabs>
          <w:tab w:val="left" w:pos="1770"/>
        </w:tabs>
      </w:pPr>
      <w:r>
        <w:t>In aggregate over the ten years from 2016 to 2025, cost-effective (24% vs. 20%) and maximum achievable (8% vs. 7%) peak electric demand savings are greater as a percentage of baseline peak demand in the winter than they are in the summer.</w:t>
      </w:r>
    </w:p>
    <w:p w14:paraId="1971AA24" w14:textId="6D4A3E12" w:rsidR="00713C0F" w:rsidRPr="00F6205B" w:rsidRDefault="00713C0F" w:rsidP="00F52E2F">
      <w:pPr>
        <w:pStyle w:val="ListParagraph"/>
        <w:numPr>
          <w:ilvl w:val="0"/>
          <w:numId w:val="49"/>
        </w:numPr>
        <w:tabs>
          <w:tab w:val="left" w:pos="1770"/>
        </w:tabs>
      </w:pPr>
      <w:r>
        <w:t>Over the same ten years, total technical potential peak electric demand savings are negative in the winter—i.e., demand increases—due to the impact of ductless mini-splits, which were modeled at all sites and result in substantial winter demand for heating. For the same reason, aggregate technical potential summer peak electric demand savings are substantial as a percentage of baseline demand; while the mini-splits result in more demand for heating, their efficiency offsets a sizable proportion of demand for cooling.</w:t>
      </w:r>
    </w:p>
    <w:p w14:paraId="01400DAF" w14:textId="04C1F391" w:rsidR="00921C8C" w:rsidRPr="00F6205B" w:rsidRDefault="00921C8C" w:rsidP="00DA1829">
      <w:pPr>
        <w:pStyle w:val="Caption"/>
      </w:pPr>
      <w:bookmarkStart w:id="31" w:name="_Ref391543932"/>
      <w:bookmarkStart w:id="32" w:name="_Ref439335099"/>
      <w:bookmarkStart w:id="33" w:name="_Toc391887391"/>
      <w:bookmarkStart w:id="34" w:name="_Toc439931798"/>
      <w:r w:rsidRPr="00F6205B">
        <w:t xml:space="preserve">Figure </w:t>
      </w:r>
      <w:bookmarkEnd w:id="31"/>
      <w:r w:rsidR="00DA1829" w:rsidRPr="00F6205B">
        <w:fldChar w:fldCharType="begin"/>
      </w:r>
      <w:r w:rsidR="00DA1829" w:rsidRPr="00F6205B">
        <w:instrText xml:space="preserve"> SEQ Figure \* ARABIC </w:instrText>
      </w:r>
      <w:r w:rsidR="00DA1829" w:rsidRPr="00F6205B">
        <w:fldChar w:fldCharType="separate"/>
      </w:r>
      <w:r w:rsidR="00FA26A9">
        <w:rPr>
          <w:noProof/>
        </w:rPr>
        <w:t>5</w:t>
      </w:r>
      <w:r w:rsidR="00DA1829" w:rsidRPr="00F6205B">
        <w:fldChar w:fldCharType="end"/>
      </w:r>
      <w:bookmarkEnd w:id="32"/>
      <w:r w:rsidRPr="00F6205B">
        <w:t xml:space="preserve">: </w:t>
      </w:r>
      <w:r w:rsidR="009D7BC8">
        <w:t xml:space="preserve">Ten-Year Aggregate </w:t>
      </w:r>
      <w:r w:rsidRPr="00F6205B">
        <w:t xml:space="preserve">Peak </w:t>
      </w:r>
      <w:r w:rsidR="00D25E0C">
        <w:t>Electric</w:t>
      </w:r>
      <w:r w:rsidR="005C1774">
        <w:t xml:space="preserve"> </w:t>
      </w:r>
      <w:r w:rsidRPr="00F6205B">
        <w:t>Demand Savings</w:t>
      </w:r>
      <w:bookmarkEnd w:id="33"/>
      <w:bookmarkEnd w:id="34"/>
    </w:p>
    <w:p w14:paraId="014DA898" w14:textId="77777777" w:rsidR="00346A82" w:rsidRPr="00F6205B" w:rsidRDefault="00346A82" w:rsidP="00346A82">
      <w:pPr>
        <w:keepNext/>
        <w:jc w:val="center"/>
        <w:rPr>
          <w:rFonts w:ascii="Arial Bold" w:hAnsi="Arial Bold"/>
          <w:b/>
          <w:bCs/>
          <w:color w:val="0F673B"/>
          <w:sz w:val="18"/>
          <w:szCs w:val="18"/>
        </w:rPr>
      </w:pPr>
      <w:r w:rsidRPr="00F6205B">
        <w:rPr>
          <w:rFonts w:ascii="Arial Bold" w:hAnsi="Arial Bold"/>
          <w:b/>
          <w:bCs/>
          <w:color w:val="0F673B"/>
          <w:sz w:val="18"/>
          <w:szCs w:val="18"/>
        </w:rPr>
        <w:t>Base: all single-family homes (population-weighted)</w:t>
      </w:r>
    </w:p>
    <w:p w14:paraId="2744C9A0" w14:textId="267868B7" w:rsidR="009D7BC8" w:rsidRDefault="00F17C77" w:rsidP="00921C8C">
      <w:pPr>
        <w:keepNext/>
        <w:keepLines/>
        <w:jc w:val="center"/>
      </w:pPr>
      <w:r>
        <w:rPr>
          <w:noProof/>
          <w:lang w:bidi="ar-SA"/>
        </w:rPr>
        <w:drawing>
          <wp:inline distT="0" distB="0" distL="0" distR="0" wp14:anchorId="30264AD5" wp14:editId="6645FFEF">
            <wp:extent cx="4883150" cy="309689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83150" cy="3096895"/>
                    </a:xfrm>
                    <a:prstGeom prst="rect">
                      <a:avLst/>
                    </a:prstGeom>
                    <a:noFill/>
                  </pic:spPr>
                </pic:pic>
              </a:graphicData>
            </a:graphic>
          </wp:inline>
        </w:drawing>
      </w:r>
    </w:p>
    <w:p w14:paraId="38ED7F42" w14:textId="0A30116C" w:rsidR="00921C8C" w:rsidRPr="00F6205B" w:rsidRDefault="00921C8C" w:rsidP="00921C8C">
      <w:pPr>
        <w:keepNext/>
        <w:keepLines/>
        <w:jc w:val="center"/>
      </w:pPr>
    </w:p>
    <w:p w14:paraId="0A37C967" w14:textId="77777777" w:rsidR="00921C8C" w:rsidRPr="00F6205B" w:rsidRDefault="00921C8C" w:rsidP="00921C8C"/>
    <w:p w14:paraId="19363C0D" w14:textId="77777777" w:rsidR="00921C8C" w:rsidRPr="00F6205B" w:rsidRDefault="00921C8C" w:rsidP="00921C8C">
      <w:pPr>
        <w:pStyle w:val="Heading2"/>
        <w:numPr>
          <w:ilvl w:val="0"/>
          <w:numId w:val="0"/>
        </w:numPr>
      </w:pPr>
      <w:bookmarkStart w:id="35" w:name="_Toc391887293"/>
      <w:bookmarkStart w:id="36" w:name="_Toc439939382"/>
      <w:r w:rsidRPr="00F6205B">
        <w:lastRenderedPageBreak/>
        <w:t>Fuel Switching Potential</w:t>
      </w:r>
      <w:bookmarkEnd w:id="35"/>
      <w:bookmarkEnd w:id="36"/>
    </w:p>
    <w:p w14:paraId="50AA8B13" w14:textId="6E3220F1" w:rsidR="00921C8C" w:rsidRPr="00F6205B" w:rsidRDefault="00DD286F" w:rsidP="00921C8C">
      <w:r w:rsidRPr="00F6205B">
        <w:t>For this analysis,</w:t>
      </w:r>
      <w:r w:rsidR="00921C8C" w:rsidRPr="00F6205B">
        <w:t xml:space="preserve"> conversions of heating and water heating equipment from oil or propane to natural gas or electricity (heat pumps) </w:t>
      </w:r>
      <w:r w:rsidRPr="00F6205B">
        <w:t xml:space="preserve">were modeled </w:t>
      </w:r>
      <w:r w:rsidR="00921C8C" w:rsidRPr="00F6205B">
        <w:t>in two ways:</w:t>
      </w:r>
    </w:p>
    <w:p w14:paraId="39A63544" w14:textId="711917E0" w:rsidR="00921C8C" w:rsidRPr="00F6205B" w:rsidRDefault="00921C8C" w:rsidP="00F52E2F">
      <w:pPr>
        <w:pStyle w:val="ListParagraph"/>
        <w:numPr>
          <w:ilvl w:val="0"/>
          <w:numId w:val="10"/>
        </w:numPr>
        <w:jc w:val="both"/>
      </w:pPr>
      <w:r w:rsidRPr="00F6205B">
        <w:t xml:space="preserve">A </w:t>
      </w:r>
      <w:r w:rsidRPr="00F6205B">
        <w:rPr>
          <w:b/>
        </w:rPr>
        <w:t>base case</w:t>
      </w:r>
      <w:r w:rsidRPr="00F6205B">
        <w:t>, where all new gas and electric equipment were modeled at baseline</w:t>
      </w:r>
      <w:r w:rsidR="009C2E31">
        <w:t xml:space="preserve"> </w:t>
      </w:r>
      <w:r w:rsidRPr="00F6205B">
        <w:t>efficiency levels, assuming no involvement of an energy efficiency program.</w:t>
      </w:r>
    </w:p>
    <w:p w14:paraId="3856319E" w14:textId="77777777" w:rsidR="00921C8C" w:rsidRPr="00F6205B" w:rsidRDefault="00921C8C" w:rsidP="00F52E2F">
      <w:pPr>
        <w:pStyle w:val="ListParagraph"/>
        <w:numPr>
          <w:ilvl w:val="0"/>
          <w:numId w:val="10"/>
        </w:numPr>
        <w:jc w:val="both"/>
      </w:pPr>
      <w:r w:rsidRPr="00F6205B">
        <w:t xml:space="preserve">An </w:t>
      </w:r>
      <w:r w:rsidRPr="00F6205B">
        <w:rPr>
          <w:b/>
        </w:rPr>
        <w:t>upgrade case</w:t>
      </w:r>
      <w:r w:rsidRPr="00F6205B">
        <w:t>, where all new gas and electric equipment was modeled at the higher efficiency levels utilized in the technical potential analysis. This case describes a scenario wherein the programs incentivize efficient equipment during the fuel switching process.</w:t>
      </w:r>
    </w:p>
    <w:p w14:paraId="5DBA51EA" w14:textId="37157498" w:rsidR="00921C8C" w:rsidRPr="00F6205B" w:rsidRDefault="00921C8C" w:rsidP="00921C8C">
      <w:r w:rsidRPr="00F6205B">
        <w:t>The fuel switch modeling was applied—using REM/Rate</w:t>
      </w:r>
      <w:r w:rsidRPr="00F6205B">
        <w:rPr>
          <w:rFonts w:cs="Times New Roman"/>
        </w:rPr>
        <w:t>™</w:t>
      </w:r>
      <w:r w:rsidRPr="00F6205B">
        <w:t xml:space="preserve"> energy modeling software—to all homes not currently heating with natural gas. This constitutes 134 (74%) of the 180 homes that were audited during the onsite assessments. </w:t>
      </w:r>
      <w:r w:rsidR="00A21389" w:rsidRPr="00F6205B">
        <w:t>A</w:t>
      </w:r>
      <w:r w:rsidRPr="00F6205B">
        <w:t xml:space="preserve"> fuel switch to natural gas </w:t>
      </w:r>
      <w:r w:rsidR="00A21389" w:rsidRPr="00F6205B">
        <w:t xml:space="preserve">was modeled </w:t>
      </w:r>
      <w:r w:rsidRPr="00F6205B">
        <w:t xml:space="preserve">for 19% of the sampled homes not currently fueled by natural gas. The remaining 47% of homes were modeled with a fuel switch to electricity for heating (and water heating in the upgrade scenario). </w:t>
      </w:r>
    </w:p>
    <w:p w14:paraId="4FE55DD7" w14:textId="5DE056EE" w:rsidR="00921C8C" w:rsidRPr="00F6205B" w:rsidRDefault="00921C8C" w:rsidP="00921C8C">
      <w:r w:rsidRPr="00F6205B">
        <w:t>The results of fuel switching are presented ove</w:t>
      </w:r>
      <w:r w:rsidR="00A21389" w:rsidRPr="00F6205B">
        <w:t>r a ten-</w:t>
      </w:r>
      <w:r w:rsidRPr="00F6205B">
        <w:t>year period with conversions increasing to the maximum 100% rate of uptake over that time as well as 25%, 50%, and 75% uptake rate</w:t>
      </w:r>
      <w:r w:rsidR="009C2E31">
        <w:t xml:space="preserve"> scenarios</w:t>
      </w:r>
      <w:r w:rsidRPr="00F6205B">
        <w:t>.</w:t>
      </w:r>
    </w:p>
    <w:p w14:paraId="2D4DE729" w14:textId="7B262687" w:rsidR="00921C8C" w:rsidRPr="00F6205B" w:rsidRDefault="00921C8C" w:rsidP="00921C8C">
      <w:r w:rsidRPr="00F6205B">
        <w:t>More detail on the fuel switching met</w:t>
      </w:r>
      <w:r w:rsidR="00DA23ED">
        <w:t xml:space="preserve">hodology can be found in the </w:t>
      </w:r>
      <w:r w:rsidR="00DA23ED">
        <w:fldChar w:fldCharType="begin"/>
      </w:r>
      <w:r w:rsidR="00DA23ED">
        <w:instrText xml:space="preserve"> REF _Ref439250164 \h </w:instrText>
      </w:r>
      <w:r w:rsidR="00DA23ED">
        <w:fldChar w:fldCharType="separate"/>
      </w:r>
      <w:r w:rsidR="00FA26A9" w:rsidRPr="00F6205B">
        <w:t>Methodology</w:t>
      </w:r>
      <w:r w:rsidR="00DA23ED">
        <w:fldChar w:fldCharType="end"/>
      </w:r>
      <w:r w:rsidR="00DA23ED">
        <w:t xml:space="preserve"> section of this report</w:t>
      </w:r>
      <w:r w:rsidRPr="00F6205B">
        <w:t>.</w:t>
      </w:r>
    </w:p>
    <w:p w14:paraId="20A9D282" w14:textId="77777777" w:rsidR="00921C8C" w:rsidRPr="00F6205B" w:rsidRDefault="00921C8C" w:rsidP="00921C8C">
      <w:r w:rsidRPr="00F6205B">
        <w:t>As previously mentioned, the fuel switching results should be viewed and considered independently from the technical, cost-effective, and achievable potential findings.  The fuel switching analysis results in a number of key findings.</w:t>
      </w:r>
    </w:p>
    <w:p w14:paraId="6604C7F4" w14:textId="77777777" w:rsidR="00B53D8F" w:rsidRDefault="00B53D8F">
      <w:pPr>
        <w:spacing w:after="0" w:line="240" w:lineRule="auto"/>
        <w:rPr>
          <w:rFonts w:ascii="Arial Bold" w:eastAsiaTheme="majorEastAsia" w:hAnsi="Arial Bold" w:cstheme="majorBidi"/>
          <w:b/>
          <w:bCs/>
          <w:color w:val="76A240"/>
          <w:sz w:val="24"/>
        </w:rPr>
      </w:pPr>
      <w:bookmarkStart w:id="37" w:name="_Toc373322723"/>
      <w:bookmarkStart w:id="38" w:name="_Toc391887294"/>
      <w:r>
        <w:br w:type="page"/>
      </w:r>
    </w:p>
    <w:p w14:paraId="2DFD8B10" w14:textId="33E1519D" w:rsidR="00921C8C" w:rsidRPr="00F6205B" w:rsidRDefault="00921C8C" w:rsidP="00921C8C">
      <w:pPr>
        <w:pStyle w:val="Heading3"/>
        <w:numPr>
          <w:ilvl w:val="0"/>
          <w:numId w:val="0"/>
        </w:numPr>
      </w:pPr>
      <w:bookmarkStart w:id="39" w:name="_Toc439939383"/>
      <w:r w:rsidRPr="00F6205B">
        <w:lastRenderedPageBreak/>
        <w:t>Base Case Scenario</w:t>
      </w:r>
      <w:bookmarkEnd w:id="37"/>
      <w:bookmarkEnd w:id="38"/>
      <w:bookmarkEnd w:id="39"/>
    </w:p>
    <w:p w14:paraId="72CCA360" w14:textId="4924FE85" w:rsidR="00921C8C" w:rsidRPr="00F6205B" w:rsidRDefault="00921C8C" w:rsidP="00921C8C">
      <w:pPr>
        <w:keepNext/>
      </w:pPr>
      <w:r w:rsidRPr="00F6205B">
        <w:t xml:space="preserve">As </w:t>
      </w:r>
      <w:r w:rsidR="009027EC">
        <w:fldChar w:fldCharType="begin"/>
      </w:r>
      <w:r w:rsidR="009027EC">
        <w:instrText xml:space="preserve"> REF _Ref439767490 \h </w:instrText>
      </w:r>
      <w:r w:rsidR="009027EC">
        <w:fldChar w:fldCharType="separate"/>
      </w:r>
      <w:r w:rsidR="009027EC" w:rsidRPr="00F6205B">
        <w:t xml:space="preserve">Figure </w:t>
      </w:r>
      <w:r w:rsidR="009027EC">
        <w:rPr>
          <w:noProof/>
        </w:rPr>
        <w:t>6</w:t>
      </w:r>
      <w:r w:rsidR="009027EC">
        <w:fldChar w:fldCharType="end"/>
      </w:r>
      <w:r w:rsidR="009027EC">
        <w:t xml:space="preserve"> </w:t>
      </w:r>
      <w:r w:rsidRPr="00F6205B">
        <w:t xml:space="preserve">demonstrates, total annual fuel consumption in the state </w:t>
      </w:r>
      <w:r w:rsidR="009C2E31">
        <w:t>is projected to</w:t>
      </w:r>
      <w:r w:rsidR="009C2E31" w:rsidRPr="00F6205B">
        <w:t xml:space="preserve"> </w:t>
      </w:r>
      <w:r w:rsidRPr="00F6205B">
        <w:t>decrease by 5% in the next decade (from 155.9 million MMBtu to 147.7 million MMBtu) if its current trajectory</w:t>
      </w:r>
      <w:r w:rsidR="009C2E31">
        <w:t xml:space="preserve"> continues</w:t>
      </w:r>
      <w:r w:rsidRPr="00F6205B">
        <w:t>.</w:t>
      </w:r>
      <w:r w:rsidRPr="00F6205B">
        <w:rPr>
          <w:rStyle w:val="FootnoteReference"/>
        </w:rPr>
        <w:footnoteReference w:id="13"/>
      </w:r>
      <w:r w:rsidRPr="00F6205B">
        <w:t xml:space="preserve"> Fuel switching could potentially lead to an additional 4% (base case scenario with 25% conversion rate) to 17% (base case scenario with 100% conversion rate) decrease in annual fuel consumption </w:t>
      </w:r>
      <w:r w:rsidR="00F323FF">
        <w:t>over</w:t>
      </w:r>
      <w:r w:rsidRPr="00F6205B">
        <w:t xml:space="preserve"> th</w:t>
      </w:r>
      <w:r w:rsidR="00F323FF">
        <w:t>e</w:t>
      </w:r>
      <w:r w:rsidRPr="00F6205B">
        <w:t xml:space="preserve"> same time period. These savings are primarily due to the fact that naturally-occurring replacement </w:t>
      </w:r>
      <w:r w:rsidR="005418E0">
        <w:t xml:space="preserve">with </w:t>
      </w:r>
      <w:r w:rsidRPr="00F6205B">
        <w:t xml:space="preserve">equipment </w:t>
      </w:r>
      <w:r w:rsidR="005418E0">
        <w:t xml:space="preserve">that meets federal minimum standards </w:t>
      </w:r>
      <w:r w:rsidRPr="00F6205B">
        <w:t>(</w:t>
      </w:r>
      <w:r w:rsidR="005418E0">
        <w:t xml:space="preserve">i.e., </w:t>
      </w:r>
      <w:r w:rsidRPr="00F6205B">
        <w:t xml:space="preserve">equipment that would be installed without any program intervention) </w:t>
      </w:r>
      <w:r w:rsidR="005418E0">
        <w:t>results in</w:t>
      </w:r>
      <w:r w:rsidRPr="00F6205B">
        <w:t xml:space="preserve"> more efficient </w:t>
      </w:r>
      <w:r w:rsidR="005418E0">
        <w:t xml:space="preserve">equipment </w:t>
      </w:r>
      <w:r w:rsidRPr="00F6205B">
        <w:t xml:space="preserve">than </w:t>
      </w:r>
      <w:r w:rsidR="005418E0">
        <w:t>what is</w:t>
      </w:r>
      <w:r w:rsidRPr="00F6205B">
        <w:t xml:space="preserve"> currently present in homes.</w:t>
      </w:r>
    </w:p>
    <w:p w14:paraId="2FA48D6A" w14:textId="77777777" w:rsidR="00921C8C" w:rsidRPr="00F6205B" w:rsidRDefault="00921C8C" w:rsidP="00921C8C"/>
    <w:p w14:paraId="56D1F8F1" w14:textId="0E87FBA8" w:rsidR="00921C8C" w:rsidRPr="00F6205B" w:rsidRDefault="00921C8C" w:rsidP="000F5ED7">
      <w:pPr>
        <w:pStyle w:val="Caption"/>
        <w:rPr>
          <w:caps/>
        </w:rPr>
      </w:pPr>
      <w:bookmarkStart w:id="40" w:name="_Ref390331759"/>
      <w:bookmarkStart w:id="41" w:name="_Ref373325805"/>
      <w:bookmarkStart w:id="42" w:name="_Ref439767490"/>
      <w:bookmarkStart w:id="43" w:name="_Toc373318442"/>
      <w:bookmarkStart w:id="44" w:name="_Toc391887392"/>
      <w:bookmarkStart w:id="45" w:name="_Toc439931799"/>
      <w:r w:rsidRPr="00F6205B">
        <w:t xml:space="preserve">Figure </w:t>
      </w:r>
      <w:bookmarkEnd w:id="40"/>
      <w:bookmarkEnd w:id="41"/>
      <w:r w:rsidR="000F5ED7" w:rsidRPr="00F6205B">
        <w:fldChar w:fldCharType="begin"/>
      </w:r>
      <w:r w:rsidR="000F5ED7" w:rsidRPr="00F6205B">
        <w:instrText xml:space="preserve"> SEQ Figure \* ARABIC </w:instrText>
      </w:r>
      <w:r w:rsidR="000F5ED7" w:rsidRPr="00F6205B">
        <w:fldChar w:fldCharType="separate"/>
      </w:r>
      <w:r w:rsidR="00FA26A9">
        <w:rPr>
          <w:noProof/>
        </w:rPr>
        <w:t>6</w:t>
      </w:r>
      <w:r w:rsidR="000F5ED7" w:rsidRPr="00F6205B">
        <w:fldChar w:fldCharType="end"/>
      </w:r>
      <w:bookmarkEnd w:id="42"/>
      <w:r w:rsidRPr="00F6205B">
        <w:t xml:space="preserve">: </w:t>
      </w:r>
      <w:r w:rsidR="00F323FF">
        <w:t xml:space="preserve">Fuel Switching - </w:t>
      </w:r>
      <w:r w:rsidRPr="00F6205B">
        <w:t>Change in Overall Consumption Under the Base Case Scenario (MMBtu)</w:t>
      </w:r>
      <w:bookmarkEnd w:id="43"/>
      <w:bookmarkEnd w:id="44"/>
      <w:bookmarkEnd w:id="45"/>
    </w:p>
    <w:p w14:paraId="504822CC" w14:textId="77777777" w:rsidR="00921C8C" w:rsidRPr="00F6205B" w:rsidRDefault="00921C8C" w:rsidP="00921C8C">
      <w:pPr>
        <w:spacing w:after="0"/>
        <w:jc w:val="center"/>
      </w:pPr>
      <w:r w:rsidRPr="00F6205B">
        <w:rPr>
          <w:noProof/>
          <w:lang w:bidi="ar-SA"/>
        </w:rPr>
        <w:drawing>
          <wp:inline distT="0" distB="0" distL="0" distR="0" wp14:anchorId="4DF2228D" wp14:editId="42B925C3">
            <wp:extent cx="4858428" cy="28007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Btu Base Cas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58428" cy="2800741"/>
                    </a:xfrm>
                    <a:prstGeom prst="rect">
                      <a:avLst/>
                    </a:prstGeom>
                  </pic:spPr>
                </pic:pic>
              </a:graphicData>
            </a:graphic>
          </wp:inline>
        </w:drawing>
      </w:r>
    </w:p>
    <w:p w14:paraId="7A6BBF80" w14:textId="77777777" w:rsidR="00921C8C" w:rsidRPr="00F6205B" w:rsidRDefault="00921C8C" w:rsidP="00921C8C"/>
    <w:p w14:paraId="193CF6AC" w14:textId="77777777" w:rsidR="00B53D8F" w:rsidRDefault="00B53D8F">
      <w:pPr>
        <w:spacing w:after="0" w:line="240" w:lineRule="auto"/>
      </w:pPr>
      <w:r>
        <w:br w:type="page"/>
      </w:r>
    </w:p>
    <w:p w14:paraId="129E9813" w14:textId="3D69ECD7" w:rsidR="00921C8C" w:rsidRPr="00F6205B" w:rsidRDefault="00921C8C" w:rsidP="00921C8C">
      <w:pPr>
        <w:keepNext/>
        <w:spacing w:before="200" w:after="200"/>
      </w:pPr>
      <w:r w:rsidRPr="00F6205B">
        <w:lastRenderedPageBreak/>
        <w:t>Potential maximum changes in fuel use due to base case fuel switching include a 77% decrease in annual fuel oil consumption, a 59% decrease in annual propane consumption, an 89% increase in annual consumption of natural gas, and a 13% increase in annual electric usage ten years from now (</w:t>
      </w:r>
      <w:r w:rsidR="009027EC">
        <w:fldChar w:fldCharType="begin"/>
      </w:r>
      <w:r w:rsidR="009027EC">
        <w:instrText xml:space="preserve"> REF _Ref439767804 \h </w:instrText>
      </w:r>
      <w:r w:rsidR="009027EC">
        <w:fldChar w:fldCharType="separate"/>
      </w:r>
      <w:r w:rsidR="009027EC" w:rsidRPr="00F6205B">
        <w:t xml:space="preserve">Figure </w:t>
      </w:r>
      <w:r w:rsidR="009027EC">
        <w:rPr>
          <w:noProof/>
        </w:rPr>
        <w:t>7</w:t>
      </w:r>
      <w:r w:rsidR="009027EC">
        <w:fldChar w:fldCharType="end"/>
      </w:r>
      <w:r w:rsidRPr="00F6205B">
        <w:t xml:space="preserve">). The </w:t>
      </w:r>
      <w:r w:rsidR="00A21389" w:rsidRPr="00F6205B">
        <w:t>analysis</w:t>
      </w:r>
      <w:r w:rsidRPr="00F6205B">
        <w:t xml:space="preserve"> assume</w:t>
      </w:r>
      <w:r w:rsidR="00A21389" w:rsidRPr="00F6205B">
        <w:t>s</w:t>
      </w:r>
      <w:r w:rsidRPr="00F6205B">
        <w:t xml:space="preserve"> a gradual increase in fuel </w:t>
      </w:r>
      <w:r w:rsidR="00A21389" w:rsidRPr="00F6205B">
        <w:t>switch conversions over the ten-</w:t>
      </w:r>
      <w:r w:rsidRPr="00F6205B">
        <w:t>year period. For this reason, the percent change in energy consumption in year ten is greater than the same change measured in aggregate over ten years.</w:t>
      </w:r>
    </w:p>
    <w:p w14:paraId="693CCD11" w14:textId="5D1A3219" w:rsidR="00921C8C" w:rsidRPr="00F6205B" w:rsidRDefault="00921C8C" w:rsidP="000F5ED7">
      <w:pPr>
        <w:pStyle w:val="Caption"/>
      </w:pPr>
      <w:bookmarkStart w:id="46" w:name="_Ref389646341"/>
      <w:bookmarkStart w:id="47" w:name="_Ref439767804"/>
      <w:bookmarkStart w:id="48" w:name="_Toc391887393"/>
      <w:bookmarkStart w:id="49" w:name="_Toc439931800"/>
      <w:r w:rsidRPr="00F6205B">
        <w:t xml:space="preserve">Figure </w:t>
      </w:r>
      <w:bookmarkEnd w:id="46"/>
      <w:r w:rsidR="000F5ED7" w:rsidRPr="00F6205B">
        <w:fldChar w:fldCharType="begin"/>
      </w:r>
      <w:r w:rsidR="000F5ED7" w:rsidRPr="00F6205B">
        <w:instrText xml:space="preserve"> SEQ Figure \* ARABIC </w:instrText>
      </w:r>
      <w:r w:rsidR="000F5ED7" w:rsidRPr="00F6205B">
        <w:fldChar w:fldCharType="separate"/>
      </w:r>
      <w:r w:rsidR="00FA26A9">
        <w:rPr>
          <w:noProof/>
        </w:rPr>
        <w:t>7</w:t>
      </w:r>
      <w:r w:rsidR="000F5ED7" w:rsidRPr="00F6205B">
        <w:fldChar w:fldCharType="end"/>
      </w:r>
      <w:bookmarkEnd w:id="47"/>
      <w:r w:rsidRPr="00F6205B">
        <w:t xml:space="preserve">: </w:t>
      </w:r>
      <w:r w:rsidR="0009064B">
        <w:t xml:space="preserve">Fuel Switching - </w:t>
      </w:r>
      <w:r w:rsidRPr="00F6205B">
        <w:t>Percent Change in Energy Consumption by Fuel Type Under the 100% Conversion Rate</w:t>
      </w:r>
      <w:bookmarkEnd w:id="48"/>
      <w:r w:rsidR="0009064B">
        <w:t xml:space="preserve"> Base Case Scenario</w:t>
      </w:r>
      <w:bookmarkEnd w:id="49"/>
    </w:p>
    <w:p w14:paraId="5C93FFE8" w14:textId="77777777" w:rsidR="00921C8C" w:rsidRPr="00F6205B" w:rsidRDefault="00921C8C" w:rsidP="00F52E2F">
      <w:pPr>
        <w:pStyle w:val="ListParagraph"/>
        <w:keepNext/>
        <w:spacing w:before="200" w:after="200"/>
        <w:ind w:left="0"/>
        <w:contextualSpacing w:val="0"/>
        <w:jc w:val="center"/>
      </w:pPr>
      <w:r w:rsidRPr="00F6205B">
        <w:rPr>
          <w:noProof/>
          <w:lang w:bidi="ar-SA"/>
        </w:rPr>
        <w:drawing>
          <wp:inline distT="0" distB="0" distL="0" distR="0" wp14:anchorId="58839A17" wp14:editId="53EA71C5">
            <wp:extent cx="4584700" cy="2755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9039242" w14:textId="77777777" w:rsidR="00B53D8F" w:rsidRDefault="00B53D8F">
      <w:pPr>
        <w:spacing w:after="0" w:line="240" w:lineRule="auto"/>
        <w:rPr>
          <w:rFonts w:ascii="Arial Bold" w:eastAsiaTheme="majorEastAsia" w:hAnsi="Arial Bold" w:cstheme="majorBidi"/>
          <w:b/>
          <w:bCs/>
          <w:color w:val="76A240"/>
          <w:sz w:val="24"/>
        </w:rPr>
      </w:pPr>
      <w:bookmarkStart w:id="50" w:name="_Toc373322724"/>
      <w:bookmarkStart w:id="51" w:name="_Toc391887295"/>
      <w:r>
        <w:br w:type="page"/>
      </w:r>
    </w:p>
    <w:p w14:paraId="34CD555A" w14:textId="7A22EDA3" w:rsidR="00921C8C" w:rsidRPr="00F6205B" w:rsidRDefault="00921C8C" w:rsidP="00B53D8F">
      <w:pPr>
        <w:pStyle w:val="Heading3"/>
        <w:numPr>
          <w:ilvl w:val="0"/>
          <w:numId w:val="0"/>
        </w:numPr>
      </w:pPr>
      <w:bookmarkStart w:id="52" w:name="_Toc439939384"/>
      <w:r w:rsidRPr="00F6205B">
        <w:lastRenderedPageBreak/>
        <w:t>Upgrade Case Scenario</w:t>
      </w:r>
      <w:bookmarkEnd w:id="50"/>
      <w:bookmarkEnd w:id="51"/>
      <w:bookmarkEnd w:id="52"/>
    </w:p>
    <w:p w14:paraId="44503104" w14:textId="77777777" w:rsidR="00921C8C" w:rsidRPr="00F6205B" w:rsidRDefault="00921C8C">
      <w:pPr>
        <w:keepNext/>
      </w:pPr>
      <w:r w:rsidRPr="00F6205B">
        <w:t>The energy savings from possible program incentives for higher-efficiency equipment (the upgrade case scenario) are substantially smaller than the energy savings from the base case scenario (fuel switching without incentives).</w:t>
      </w:r>
    </w:p>
    <w:p w14:paraId="53753FB1" w14:textId="14AA22FE" w:rsidR="00921C8C" w:rsidRPr="00F6205B" w:rsidRDefault="00921C8C">
      <w:pPr>
        <w:keepNext/>
      </w:pPr>
      <w:r w:rsidRPr="00F6205B">
        <w:t>The analysis showed that the maximum impact of program incentives for higher-efficiency equipment would decrease overall annual consumption by about 6% relative to the expected annual consumption ten years from now under the base case fuel switching scenario (</w:t>
      </w:r>
      <w:r w:rsidR="00E143BA">
        <w:fldChar w:fldCharType="begin"/>
      </w:r>
      <w:r w:rsidR="00E143BA">
        <w:instrText xml:space="preserve"> REF _Ref439768320 \h </w:instrText>
      </w:r>
      <w:r w:rsidR="00E143BA">
        <w:fldChar w:fldCharType="separate"/>
      </w:r>
      <w:r w:rsidR="00FA26A9" w:rsidRPr="00F6205B">
        <w:t xml:space="preserve">Figure </w:t>
      </w:r>
      <w:r w:rsidR="00FA26A9">
        <w:rPr>
          <w:noProof/>
        </w:rPr>
        <w:t>8</w:t>
      </w:r>
      <w:r w:rsidR="00E143BA">
        <w:fldChar w:fldCharType="end"/>
      </w:r>
      <w:r w:rsidRPr="00F6205B">
        <w:t xml:space="preserve">). </w:t>
      </w:r>
    </w:p>
    <w:p w14:paraId="54194FF4" w14:textId="74CA7166" w:rsidR="00921C8C" w:rsidRPr="00F6205B" w:rsidRDefault="00921C8C">
      <w:pPr>
        <w:pStyle w:val="Caption"/>
        <w:rPr>
          <w:caps/>
        </w:rPr>
      </w:pPr>
      <w:bookmarkStart w:id="53" w:name="_Ref373326029"/>
      <w:bookmarkStart w:id="54" w:name="_Ref439768320"/>
      <w:bookmarkStart w:id="55" w:name="_Toc373318444"/>
      <w:bookmarkStart w:id="56" w:name="_Toc391887394"/>
      <w:bookmarkStart w:id="57" w:name="_Toc439931801"/>
      <w:r w:rsidRPr="00F6205B">
        <w:t xml:space="preserve">Figure </w:t>
      </w:r>
      <w:bookmarkEnd w:id="53"/>
      <w:r w:rsidR="000F5ED7" w:rsidRPr="00F6205B">
        <w:fldChar w:fldCharType="begin"/>
      </w:r>
      <w:r w:rsidR="000F5ED7" w:rsidRPr="00F6205B">
        <w:instrText xml:space="preserve"> SEQ Figure \* ARABIC </w:instrText>
      </w:r>
      <w:r w:rsidR="000F5ED7" w:rsidRPr="00F6205B">
        <w:fldChar w:fldCharType="separate"/>
      </w:r>
      <w:r w:rsidR="00FA26A9">
        <w:rPr>
          <w:noProof/>
        </w:rPr>
        <w:t>8</w:t>
      </w:r>
      <w:r w:rsidR="000F5ED7" w:rsidRPr="00F6205B">
        <w:fldChar w:fldCharType="end"/>
      </w:r>
      <w:bookmarkEnd w:id="54"/>
      <w:r w:rsidRPr="00F6205B">
        <w:t xml:space="preserve">: </w:t>
      </w:r>
      <w:r w:rsidR="00E143BA">
        <w:t xml:space="preserve">Fuel Switching - </w:t>
      </w:r>
      <w:r w:rsidRPr="00F6205B">
        <w:t>Incentive Impact on Overall Consumption</w:t>
      </w:r>
      <w:r w:rsidR="00E143BA">
        <w:t xml:space="preserve"> in Upgrade Case Scenario</w:t>
      </w:r>
      <w:r w:rsidRPr="00F6205B">
        <w:t xml:space="preserve"> (MMBtu)</w:t>
      </w:r>
      <w:bookmarkEnd w:id="55"/>
      <w:bookmarkEnd w:id="56"/>
      <w:r w:rsidR="00E143BA">
        <w:t>*</w:t>
      </w:r>
      <w:bookmarkEnd w:id="57"/>
    </w:p>
    <w:p w14:paraId="6A1D17A2" w14:textId="77777777" w:rsidR="00921C8C" w:rsidRPr="00F6205B" w:rsidRDefault="00921C8C" w:rsidP="00F52E2F">
      <w:pPr>
        <w:keepNext/>
        <w:spacing w:after="0"/>
        <w:jc w:val="center"/>
      </w:pPr>
      <w:r w:rsidRPr="00F6205B">
        <w:rPr>
          <w:noProof/>
          <w:lang w:bidi="ar-SA"/>
        </w:rPr>
        <w:drawing>
          <wp:inline distT="0" distB="0" distL="0" distR="0" wp14:anchorId="6D95048F" wp14:editId="641B7ACA">
            <wp:extent cx="5419090" cy="28759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19090" cy="2875915"/>
                    </a:xfrm>
                    <a:prstGeom prst="rect">
                      <a:avLst/>
                    </a:prstGeom>
                    <a:noFill/>
                  </pic:spPr>
                </pic:pic>
              </a:graphicData>
            </a:graphic>
          </wp:inline>
        </w:drawing>
      </w:r>
    </w:p>
    <w:p w14:paraId="79209371" w14:textId="5E0D31E7" w:rsidR="00921C8C" w:rsidRPr="00D65454" w:rsidRDefault="00921C8C" w:rsidP="00D65454">
      <w:pPr>
        <w:keepNext/>
        <w:spacing w:after="0"/>
        <w:ind w:left="270" w:right="360"/>
        <w:rPr>
          <w:sz w:val="18"/>
        </w:rPr>
      </w:pPr>
      <w:r w:rsidRPr="00D65454">
        <w:rPr>
          <w:sz w:val="18"/>
        </w:rPr>
        <w:t>* Base case data labels show percent difference from a scenario without fuel switching at year ten. Upgrade case labels (in orange) show percent difference from the base case.</w:t>
      </w:r>
    </w:p>
    <w:p w14:paraId="71C53DF9" w14:textId="77777777" w:rsidR="00921C8C" w:rsidRPr="00F6205B" w:rsidRDefault="00921C8C" w:rsidP="00921C8C"/>
    <w:p w14:paraId="36E77743" w14:textId="61C736B6" w:rsidR="00921C8C" w:rsidRPr="00F6205B" w:rsidRDefault="00921C8C" w:rsidP="00921C8C">
      <w:pPr>
        <w:keepNext/>
        <w:keepLines/>
      </w:pPr>
      <w:r w:rsidRPr="00F6205B">
        <w:lastRenderedPageBreak/>
        <w:t>The maximum potential impacts (under the 100% conversion rate) due to program incentives include annual decreases of 30.1 million gallons of oil (30% decrease from the base case), 4.8 million gallons of propane (33% decrease), 24.3 million ccf of natural gas (4% decrease), and 188.7 million kWh (1% decrease) (</w:t>
      </w:r>
      <w:r w:rsidR="009027EC">
        <w:fldChar w:fldCharType="begin"/>
      </w:r>
      <w:r w:rsidR="009027EC">
        <w:instrText xml:space="preserve"> REF _Ref439768332 \h </w:instrText>
      </w:r>
      <w:r w:rsidR="009027EC">
        <w:fldChar w:fldCharType="separate"/>
      </w:r>
      <w:r w:rsidR="009027EC" w:rsidRPr="00F6205B">
        <w:t xml:space="preserve">Figure </w:t>
      </w:r>
      <w:r w:rsidR="009027EC">
        <w:rPr>
          <w:noProof/>
        </w:rPr>
        <w:t>9</w:t>
      </w:r>
      <w:r w:rsidR="009027EC">
        <w:fldChar w:fldCharType="end"/>
      </w:r>
      <w:r w:rsidRPr="00F6205B">
        <w:t>).</w:t>
      </w:r>
    </w:p>
    <w:p w14:paraId="68D71E47" w14:textId="77777777" w:rsidR="00921C8C" w:rsidRPr="00F6205B" w:rsidRDefault="00921C8C" w:rsidP="00921C8C">
      <w:pPr>
        <w:keepNext/>
        <w:keepLines/>
        <w:spacing w:before="200" w:after="200"/>
      </w:pPr>
      <w:r w:rsidRPr="00F6205B">
        <w:t xml:space="preserve">The percent decreases for oil and propane are higher because base case fuel switching captures most savings associated with those fuels and these numbers are presented relative to base case consumption. Fuel oil and propane savings occur entirely at the water heating end use as heating consumption for these fuels was eliminated in the base case. </w:t>
      </w:r>
    </w:p>
    <w:p w14:paraId="1FB17AF0" w14:textId="1CBF805F" w:rsidR="00921C8C" w:rsidRPr="00F6205B" w:rsidRDefault="00921C8C" w:rsidP="000F5ED7">
      <w:pPr>
        <w:pStyle w:val="Caption"/>
      </w:pPr>
      <w:bookmarkStart w:id="58" w:name="_Ref391488707"/>
      <w:bookmarkStart w:id="59" w:name="_Ref439768332"/>
      <w:bookmarkStart w:id="60" w:name="_Toc391887395"/>
      <w:bookmarkStart w:id="61" w:name="_Toc439931802"/>
      <w:r w:rsidRPr="00F6205B">
        <w:t xml:space="preserve">Figure </w:t>
      </w:r>
      <w:bookmarkEnd w:id="58"/>
      <w:r w:rsidR="000F5ED7" w:rsidRPr="00F6205B">
        <w:fldChar w:fldCharType="begin"/>
      </w:r>
      <w:r w:rsidR="000F5ED7" w:rsidRPr="00F6205B">
        <w:instrText xml:space="preserve"> SEQ Figure \* ARABIC </w:instrText>
      </w:r>
      <w:r w:rsidR="000F5ED7" w:rsidRPr="00F6205B">
        <w:fldChar w:fldCharType="separate"/>
      </w:r>
      <w:r w:rsidR="00FA26A9">
        <w:rPr>
          <w:noProof/>
        </w:rPr>
        <w:t>9</w:t>
      </w:r>
      <w:r w:rsidR="000F5ED7" w:rsidRPr="00F6205B">
        <w:fldChar w:fldCharType="end"/>
      </w:r>
      <w:bookmarkEnd w:id="59"/>
      <w:r w:rsidRPr="00F6205B">
        <w:t xml:space="preserve">: </w:t>
      </w:r>
      <w:r w:rsidR="00E143BA">
        <w:t xml:space="preserve">Fuel Switching - </w:t>
      </w:r>
      <w:r w:rsidRPr="00F6205B">
        <w:t>Percent Change From Base Case,</w:t>
      </w:r>
      <w:r w:rsidRPr="00F6205B">
        <w:br/>
        <w:t xml:space="preserve"> in Energy Consumption, by Fuel Type Under the 100% Conversion Rate</w:t>
      </w:r>
      <w:bookmarkEnd w:id="60"/>
      <w:bookmarkEnd w:id="61"/>
    </w:p>
    <w:p w14:paraId="76C6074D" w14:textId="77777777" w:rsidR="00921C8C" w:rsidRPr="00F6205B" w:rsidRDefault="00921C8C" w:rsidP="00921C8C">
      <w:pPr>
        <w:spacing w:before="200" w:after="200"/>
        <w:ind w:left="360"/>
        <w:jc w:val="center"/>
      </w:pPr>
      <w:r w:rsidRPr="00F6205B">
        <w:rPr>
          <w:noProof/>
          <w:lang w:bidi="ar-SA"/>
        </w:rPr>
        <w:drawing>
          <wp:inline distT="0" distB="0" distL="0" distR="0" wp14:anchorId="1D35DFFC" wp14:editId="0D428AA0">
            <wp:extent cx="4584700" cy="27559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2B62CD3" w14:textId="77777777" w:rsidR="00921C8C" w:rsidRPr="00F6205B" w:rsidRDefault="00921C8C" w:rsidP="00921C8C">
      <w:pPr>
        <w:pStyle w:val="Heading2"/>
        <w:numPr>
          <w:ilvl w:val="0"/>
          <w:numId w:val="0"/>
        </w:numPr>
      </w:pPr>
      <w:bookmarkStart w:id="62" w:name="_Toc391887296"/>
      <w:bookmarkStart w:id="63" w:name="_Toc439939385"/>
      <w:r w:rsidRPr="00F6205B">
        <w:t>Conclusions</w:t>
      </w:r>
      <w:bookmarkEnd w:id="62"/>
      <w:r w:rsidRPr="00F6205B">
        <w:t xml:space="preserve"> and Recommendations</w:t>
      </w:r>
      <w:bookmarkEnd w:id="63"/>
    </w:p>
    <w:p w14:paraId="4382364E" w14:textId="77777777" w:rsidR="0010137C" w:rsidRPr="00F6205B" w:rsidRDefault="0010137C" w:rsidP="0010137C">
      <w:pPr>
        <w:keepNext/>
      </w:pPr>
      <w:r w:rsidRPr="00F6205B">
        <w:t xml:space="preserve">The following conclusions and associated recommendations were identified as part of this evaluation. Conclusions and recommendations from the potential </w:t>
      </w:r>
      <w:r>
        <w:t xml:space="preserve">savings </w:t>
      </w:r>
      <w:r w:rsidRPr="00F6205B">
        <w:t>and fuel switching analyses are listed separately as these results should be conside</w:t>
      </w:r>
      <w:r>
        <w:t>red independent of one another.</w:t>
      </w:r>
    </w:p>
    <w:p w14:paraId="756A3223" w14:textId="77777777" w:rsidR="0010137C" w:rsidRPr="00F6205B" w:rsidRDefault="0010137C" w:rsidP="0010137C">
      <w:pPr>
        <w:pStyle w:val="Heading3"/>
        <w:numPr>
          <w:ilvl w:val="0"/>
          <w:numId w:val="0"/>
        </w:numPr>
      </w:pPr>
      <w:bookmarkStart w:id="64" w:name="_Toc439939386"/>
      <w:r w:rsidRPr="00F6205B">
        <w:t>Technical, Cost-Effective, and Achievable Potential</w:t>
      </w:r>
      <w:bookmarkEnd w:id="64"/>
    </w:p>
    <w:p w14:paraId="48C48463" w14:textId="77777777" w:rsidR="00833F6C" w:rsidRPr="00F6205B" w:rsidRDefault="00833F6C" w:rsidP="00833F6C">
      <w:pPr>
        <w:pStyle w:val="Heading4"/>
        <w:keepNext/>
        <w:numPr>
          <w:ilvl w:val="0"/>
          <w:numId w:val="0"/>
        </w:numPr>
      </w:pPr>
      <w:r w:rsidRPr="00F6205B">
        <w:t>Conclusions</w:t>
      </w:r>
    </w:p>
    <w:p w14:paraId="3617A381" w14:textId="77777777" w:rsidR="00833F6C" w:rsidRPr="00F6205B" w:rsidRDefault="00833F6C" w:rsidP="00833F6C">
      <w:pPr>
        <w:pStyle w:val="ListParagraph"/>
        <w:keepNext/>
        <w:numPr>
          <w:ilvl w:val="0"/>
          <w:numId w:val="11"/>
        </w:numPr>
        <w:contextualSpacing w:val="0"/>
      </w:pPr>
      <w:r w:rsidRPr="00F6205B">
        <w:t xml:space="preserve">Of the 43 measures considered in </w:t>
      </w:r>
      <w:r>
        <w:t>this study, ductless mini-splits have the great</w:t>
      </w:r>
      <w:r w:rsidRPr="00F6205B">
        <w:t xml:space="preserve">est technical potential for energy savings. This is due to the high efficiency of the units, </w:t>
      </w:r>
      <w:r w:rsidRPr="00F6205B">
        <w:lastRenderedPageBreak/>
        <w:t>the fact that they can displace a high percentage of a home’s heating load, and the versatility of the technology</w:t>
      </w:r>
      <w:r>
        <w:t>.</w:t>
      </w:r>
      <w:r>
        <w:rPr>
          <w:rStyle w:val="FootnoteReference"/>
        </w:rPr>
        <w:footnoteReference w:id="14"/>
      </w:r>
    </w:p>
    <w:p w14:paraId="43E86806" w14:textId="77777777" w:rsidR="00833F6C" w:rsidRPr="00F6205B" w:rsidRDefault="00833F6C" w:rsidP="00833F6C">
      <w:pPr>
        <w:pStyle w:val="ListParagraph"/>
        <w:keepNext/>
        <w:numPr>
          <w:ilvl w:val="0"/>
          <w:numId w:val="6"/>
        </w:numPr>
        <w:contextualSpacing w:val="0"/>
      </w:pPr>
      <w:r>
        <w:t>For 20</w:t>
      </w:r>
      <w:r w:rsidRPr="00F6205B">
        <w:t xml:space="preserve"> out of the 43 measures</w:t>
      </w:r>
      <w:r>
        <w:t>, cost-effectiveness screening resulted in an average total resource cost value (TRC)</w:t>
      </w:r>
      <w:r>
        <w:rPr>
          <w:rStyle w:val="FootnoteReference"/>
        </w:rPr>
        <w:footnoteReference w:id="15"/>
      </w:r>
      <w:r>
        <w:t xml:space="preserve"> greater than one</w:t>
      </w:r>
      <w:r w:rsidRPr="00F6205B">
        <w:t xml:space="preserve"> (</w:t>
      </w:r>
      <w:r>
        <w:fldChar w:fldCharType="begin"/>
      </w:r>
      <w:r>
        <w:instrText xml:space="preserve"> REF _Ref439321264 \h </w:instrText>
      </w:r>
      <w:r>
        <w:fldChar w:fldCharType="separate"/>
      </w:r>
      <w:r w:rsidRPr="00F6205B">
        <w:t xml:space="preserve">Table </w:t>
      </w:r>
      <w:r>
        <w:rPr>
          <w:noProof/>
        </w:rPr>
        <w:t>23</w:t>
      </w:r>
      <w:r>
        <w:fldChar w:fldCharType="end"/>
      </w:r>
      <w:r>
        <w:t xml:space="preserve"> and </w:t>
      </w:r>
      <w:r>
        <w:fldChar w:fldCharType="begin"/>
      </w:r>
      <w:r>
        <w:instrText xml:space="preserve"> REF _Ref439321265 \h </w:instrText>
      </w:r>
      <w:r>
        <w:fldChar w:fldCharType="separate"/>
      </w:r>
      <w:r w:rsidRPr="00F6205B">
        <w:t xml:space="preserve">Table </w:t>
      </w:r>
      <w:r>
        <w:rPr>
          <w:noProof/>
        </w:rPr>
        <w:t>24</w:t>
      </w:r>
      <w:r>
        <w:fldChar w:fldCharType="end"/>
      </w:r>
      <w:r w:rsidRPr="00F6205B">
        <w:t xml:space="preserve">). </w:t>
      </w:r>
      <w:r>
        <w:t>Four of these are not currently incentivized through the HES/HES-IE program: water heater tank wrap, foundation wall insulation, dishwashers, and efficient oil storage water heaters</w:t>
      </w:r>
      <w:r w:rsidRPr="00F6205B">
        <w:t>. These results indicate that the HES and HES-IE programs are already targeting the majority of cost-effective measures t</w:t>
      </w:r>
      <w:r>
        <w:t>hrough their incentive efforts.</w:t>
      </w:r>
    </w:p>
    <w:p w14:paraId="45EB980E" w14:textId="77777777" w:rsidR="00833F6C" w:rsidRPr="00F6205B" w:rsidRDefault="00833F6C" w:rsidP="00833F6C">
      <w:pPr>
        <w:pStyle w:val="ListParagraph"/>
        <w:numPr>
          <w:ilvl w:val="0"/>
          <w:numId w:val="6"/>
        </w:numPr>
        <w:contextualSpacing w:val="0"/>
      </w:pPr>
      <w:r>
        <w:t>Building shell measures—including air sealing and insulation improvements—all screened as cost-effective (on average) under both the utility cost test (UCT) and TRC tests. On a related note, while electric savings will drop over time due to the impact of rising minimum efficiency standards for lights and appliances, achievable potential fossil fuel savings will increase.</w:t>
      </w:r>
      <w:r w:rsidRPr="00E26D23">
        <w:t xml:space="preserve"> </w:t>
      </w:r>
      <w:r w:rsidRPr="00F6205B">
        <w:t>This occurs mainly due to the gradually increasing market adoption of upgrade measures over the ten-year window, but also because as years pass, more existing equipment is replaced</w:t>
      </w:r>
      <w:r>
        <w:t>, leading to replace-on-failure savings opportunities</w:t>
      </w:r>
      <w:r w:rsidRPr="00F6205B">
        <w:t>.</w:t>
      </w:r>
    </w:p>
    <w:p w14:paraId="7A351DCF" w14:textId="77777777" w:rsidR="00833F6C" w:rsidRPr="00F6205B" w:rsidRDefault="00833F6C" w:rsidP="00833F6C">
      <w:pPr>
        <w:pStyle w:val="Heading4"/>
        <w:keepNext/>
        <w:numPr>
          <w:ilvl w:val="0"/>
          <w:numId w:val="0"/>
        </w:numPr>
      </w:pPr>
      <w:r w:rsidRPr="00F6205B">
        <w:t>Recommendations</w:t>
      </w:r>
    </w:p>
    <w:p w14:paraId="62C58E66" w14:textId="77777777" w:rsidR="00833F6C" w:rsidRDefault="00833F6C" w:rsidP="00833F6C">
      <w:pPr>
        <w:pStyle w:val="ListParagraph"/>
        <w:numPr>
          <w:ilvl w:val="0"/>
          <w:numId w:val="7"/>
        </w:numPr>
        <w:contextualSpacing w:val="0"/>
      </w:pPr>
      <w:r>
        <w:t>The Companies should maintain—and possibly consider raising—incentive amounts for building shell improvements in existing homes in the coming years. The analysis shows that these measures represent a proportion of achievable potential savings that will increase considerably going forward.</w:t>
      </w:r>
      <w:r>
        <w:rPr>
          <w:rStyle w:val="FootnoteReference"/>
        </w:rPr>
        <w:footnoteReference w:id="16"/>
      </w:r>
    </w:p>
    <w:p w14:paraId="4FF4D72A" w14:textId="77777777" w:rsidR="00833F6C" w:rsidRPr="00F6205B" w:rsidRDefault="00833F6C" w:rsidP="00833F6C">
      <w:pPr>
        <w:pStyle w:val="ListParagraph"/>
        <w:numPr>
          <w:ilvl w:val="0"/>
          <w:numId w:val="7"/>
        </w:numPr>
        <w:contextualSpacing w:val="0"/>
      </w:pPr>
      <w:r w:rsidRPr="00F6205B">
        <w:t xml:space="preserve">The Companies should review their cost-effectiveness screening processes to ensure that benefit/cost ratios are not being overstated by </w:t>
      </w:r>
      <w:r>
        <w:t xml:space="preserve">failing to account for future codes and standards in the screening calculations. </w:t>
      </w:r>
    </w:p>
    <w:p w14:paraId="7EEF469D" w14:textId="77777777" w:rsidR="00833F6C" w:rsidRPr="00F6205B" w:rsidRDefault="00833F6C" w:rsidP="00833F6C">
      <w:pPr>
        <w:pStyle w:val="Heading3"/>
        <w:numPr>
          <w:ilvl w:val="0"/>
          <w:numId w:val="0"/>
        </w:numPr>
      </w:pPr>
      <w:bookmarkStart w:id="65" w:name="_Toc439939387"/>
      <w:r w:rsidRPr="00F6205B">
        <w:t>Fuel Switching</w:t>
      </w:r>
      <w:bookmarkEnd w:id="65"/>
      <w:r w:rsidRPr="00F6205B">
        <w:t xml:space="preserve"> </w:t>
      </w:r>
    </w:p>
    <w:p w14:paraId="3C74E581" w14:textId="77777777" w:rsidR="00833F6C" w:rsidRPr="00F6205B" w:rsidRDefault="00833F6C" w:rsidP="00833F6C">
      <w:pPr>
        <w:pStyle w:val="Heading4"/>
        <w:keepNext/>
        <w:numPr>
          <w:ilvl w:val="0"/>
          <w:numId w:val="0"/>
        </w:numPr>
      </w:pPr>
      <w:r w:rsidRPr="00F6205B">
        <w:t>Conclusion</w:t>
      </w:r>
    </w:p>
    <w:p w14:paraId="6B955210" w14:textId="77777777" w:rsidR="00833F6C" w:rsidRPr="00F6205B" w:rsidRDefault="00833F6C" w:rsidP="00DC42B8">
      <w:pPr>
        <w:pStyle w:val="ListParagraph"/>
        <w:numPr>
          <w:ilvl w:val="0"/>
          <w:numId w:val="8"/>
        </w:numPr>
      </w:pPr>
      <w:r>
        <w:t xml:space="preserve">Under the upgrade case—which </w:t>
      </w:r>
      <w:r w:rsidRPr="00F6205B">
        <w:t>assum</w:t>
      </w:r>
      <w:r>
        <w:t>es that</w:t>
      </w:r>
      <w:r w:rsidRPr="00F6205B">
        <w:t xml:space="preserve"> program incentives are available</w:t>
      </w:r>
      <w:r>
        <w:t xml:space="preserve"> for high efficiency equipment—</w:t>
      </w:r>
      <w:r w:rsidRPr="00F6205B">
        <w:t>fuel switching has the potential to decrease fuel oil consumption by 21% and propane consumption by 18% if conversions take place at 25% of potential single-family homes. These percentages are only slightly higher than the 19% of savings for fuel oil and 15% of savings for propane under the base case scenario wit</w:t>
      </w:r>
      <w:r>
        <w:t>h 25% uptake in fuel switching.</w:t>
      </w:r>
    </w:p>
    <w:p w14:paraId="5A7A2599" w14:textId="77777777" w:rsidR="00833F6C" w:rsidRPr="00F6205B" w:rsidRDefault="00833F6C" w:rsidP="00DC42B8">
      <w:pPr>
        <w:pStyle w:val="Heading4"/>
        <w:keepNext/>
        <w:numPr>
          <w:ilvl w:val="0"/>
          <w:numId w:val="0"/>
        </w:numPr>
      </w:pPr>
      <w:r w:rsidRPr="00F6205B">
        <w:lastRenderedPageBreak/>
        <w:t>Recommendations</w:t>
      </w:r>
    </w:p>
    <w:p w14:paraId="1B014D1B" w14:textId="77777777" w:rsidR="00833F6C" w:rsidRPr="00F6205B" w:rsidRDefault="00833F6C" w:rsidP="00833F6C">
      <w:pPr>
        <w:pStyle w:val="ListParagraph"/>
        <w:numPr>
          <w:ilvl w:val="0"/>
          <w:numId w:val="8"/>
        </w:numPr>
        <w:contextualSpacing w:val="0"/>
      </w:pPr>
      <w:r w:rsidRPr="00F6205B">
        <w:t>Potential fuel oil and propane savings from fuel switching are significant. The Companies should consider the best ways to promote fuel switching among single-family homes in Connecticut.</w:t>
      </w:r>
    </w:p>
    <w:p w14:paraId="1BF7B537" w14:textId="77777777" w:rsidR="00833F6C" w:rsidRDefault="00833F6C" w:rsidP="00833F6C">
      <w:pPr>
        <w:pStyle w:val="ListParagraph"/>
        <w:numPr>
          <w:ilvl w:val="0"/>
          <w:numId w:val="8"/>
        </w:numPr>
        <w:contextualSpacing w:val="0"/>
      </w:pPr>
      <w:r w:rsidRPr="00F6205B">
        <w:t>Incentives designed to influ</w:t>
      </w:r>
      <w:r>
        <w:t xml:space="preserve">ence homeowners to fuel switch </w:t>
      </w:r>
      <w:r w:rsidRPr="00F6205B">
        <w:t xml:space="preserve">will have a more significant impact than incentives for high efficiency equipment once a fuel switch has already taken place. The Companies should consider offering an incentive for </w:t>
      </w:r>
      <w:r>
        <w:t>fuel switching if reducing oil and propane consumption become</w:t>
      </w:r>
      <w:r w:rsidRPr="00F6205B">
        <w:t xml:space="preserve">s a </w:t>
      </w:r>
      <w:r>
        <w:t>priority in the future</w:t>
      </w:r>
      <w:r w:rsidRPr="00F6205B">
        <w:t>.</w:t>
      </w:r>
    </w:p>
    <w:p w14:paraId="08EFBF7F" w14:textId="77777777" w:rsidR="00833F6C" w:rsidRDefault="00833F6C" w:rsidP="00833F6C">
      <w:pPr>
        <w:sectPr w:rsidR="00833F6C" w:rsidSect="00A278F2">
          <w:footerReference w:type="default" r:id="rId33"/>
          <w:headerReference w:type="first" r:id="rId34"/>
          <w:pgSz w:w="12240" w:h="15840"/>
          <w:pgMar w:top="1440" w:right="1872" w:bottom="1440" w:left="1440" w:header="0" w:footer="0" w:gutter="0"/>
          <w:pgNumType w:fmt="upperRoman" w:start="1"/>
          <w:cols w:space="720"/>
          <w:titlePg/>
          <w:docGrid w:linePitch="272"/>
        </w:sectPr>
      </w:pPr>
    </w:p>
    <w:bookmarkStart w:id="66" w:name="_Toc439939388"/>
    <w:p w14:paraId="54623CD7" w14:textId="7767CEB8" w:rsidR="00A14FAF" w:rsidRPr="00F6205B" w:rsidRDefault="00D778B5" w:rsidP="00E320CA">
      <w:pPr>
        <w:pStyle w:val="Heading1"/>
      </w:pPr>
      <w:r w:rsidRPr="00F6205B">
        <w:lastRenderedPageBreak/>
        <mc:AlternateContent>
          <mc:Choice Requires="wps">
            <w:drawing>
              <wp:anchor distT="0" distB="0" distL="114300" distR="114300" simplePos="0" relativeHeight="251622400" behindDoc="0" locked="0" layoutInCell="1" allowOverlap="1" wp14:anchorId="079E8C92" wp14:editId="4CCCDD89">
                <wp:simplePos x="0" y="0"/>
                <wp:positionH relativeFrom="column">
                  <wp:posOffset>38100</wp:posOffset>
                </wp:positionH>
                <wp:positionV relativeFrom="paragraph">
                  <wp:posOffset>35560</wp:posOffset>
                </wp:positionV>
                <wp:extent cx="1143000" cy="1143000"/>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A81D30B" w14:textId="77777777" w:rsidR="009027EC" w:rsidRPr="00691F20" w:rsidRDefault="009027EC" w:rsidP="007D72BD">
                            <w:pPr>
                              <w:spacing w:after="0"/>
                              <w:jc w:val="center"/>
                              <w:rPr>
                                <w:b/>
                                <w:color w:val="FFFFFF" w:themeColor="background1"/>
                                <w:sz w:val="134"/>
                                <w:szCs w:val="134"/>
                              </w:rPr>
                            </w:pPr>
                            <w:r w:rsidRPr="00691F20">
                              <w:rPr>
                                <w:b/>
                                <w:color w:val="FFFFFF" w:themeColor="background1"/>
                                <w:sz w:val="134"/>
                                <w:szCs w:val="13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079E8C92" id="Text Box 6" o:spid="_x0000_s1028" type="#_x0000_t202" style="position:absolute;margin-left:3pt;margin-top:2.8pt;width:90pt;height:90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iwGxwIAAO8FAAAOAAAAZHJzL2Uyb0RvYy54bWysVFtP2zAUfp+0/2D5vSQppUBFikJRp0nV&#10;QIOJZ9ex2wjHx7PdNt20/75jJymF7YVpL4nt853bdy5X102tyFZYV4HOaXaSUiI0h7LSq5x+e5wP&#10;LihxnumSKdAip3vh6PX044ernZmIIaxBlcISNKLdZGdyuvbeTJLE8bWomTsBIzQKJdiaebzaVVJa&#10;tkPrtUqGaTpOdmBLY4EL5/D1thXSabQvpeD+TkonPFE5xdh8/Nr4XYZvMr1ik5VlZl3xLgz2D1HU&#10;rNLo9GDqlnlGNrb6w1RdcQsOpD/hUCcgZcVFzAGzydI32TysmRExFyTHmQNN7v+Z5V+295ZUZU7H&#10;lGhWY4keRePJDTRkHNjZGTdB0INBmG/wGascM3VmAfzZISQ5wrQKDtGBjUbaOvwxT4KKWID9gfTg&#10;hQdr2eg0TVHEUdZfgtUXdWOd/ySgJuGQU4tVjSGw7cL5FtpDgjcHqirnlVLxYlfLmbJky0IHzMfn&#10;pzchLbT+CqZ0AGsIaq24fRGxh1o3bIIx4zEgQ/Sxvj9nZ+fD4vzscjAuzrLBKEsvBkWRDge38yIt&#10;0tF8djm6+dW57PUjYy1JgTvn90oEq0p/FRKrEbmK0Yc5EIf4GedC+6yzFtEBJTHo9yh2+JhHzO89&#10;yi0jqBE9g/YH5brSYNveeB12+dyHLFt81zNd3oEC3yyb2IbDvumWUO6x5yy0M+sMn1dY/gVz/p5Z&#10;HFJsGVw8/g4/UsEup9CdKFmD/fG394DH2UEpJTsc+py67xtmBSXqs8apusxGo7Al4mWEhcWLPZYs&#10;jyV6U88AuyrDFWd4PAa8V/1RWqifcD8VwSuKmOboO6fc2/4y8+0ywg3HRVFEGG4Gw/xCPxjeD1to&#10;78fmiVnTzYDHVvoC/YJgkzej0GJDhTQUGw+yinMSmG557SqAWyXOQrcBw9o6vkfUy56e/gYAAP//&#10;AwBQSwMEFAAGAAgAAAAhAEoRrKXZAAAABwEAAA8AAABkcnMvZG93bnJldi54bWxMjzFPwzAQhXek&#10;/gfrkLpRp6hEVYhToRbEwETLwHiJr0mEfQ6224R/jzPBdu/e6d33yt1kjbiSD71jBetVBoK4cbrn&#10;VsHH6eVuCyJEZI3GMSn4oQC7anFTYqHdyO90PcZWpBAOBSroYhwKKUPTkcWwcgNx8s7OW4xJ+lZq&#10;j2MKt0beZ1kuLfacPnQ40L6j5ut4sQowqw+B+Vm/mvNbcxi/P09+vVFqeTs9PYKINMW/Y5jxEzpU&#10;ial2F9ZBGAV5ahIVPOQgZnc763oe0kZWpfzPX/0CAAD//wMAUEsBAi0AFAAGAAgAAAAhALaDOJL+&#10;AAAA4QEAABMAAAAAAAAAAAAAAAAAAAAAAFtDb250ZW50X1R5cGVzXS54bWxQSwECLQAUAAYACAAA&#10;ACEAOP0h/9YAAACUAQAACwAAAAAAAAAAAAAAAAAvAQAAX3JlbHMvLnJlbHNQSwECLQAUAAYACAAA&#10;ACEA6qYsBscCAADvBQAADgAAAAAAAAAAAAAAAAAuAgAAZHJzL2Uyb0RvYy54bWxQSwECLQAUAAYA&#10;CAAAACEAShGspdkAAAAHAQAADwAAAAAAAAAAAAAAAAAhBQAAZHJzL2Rvd25yZXYueG1sUEsFBgAA&#10;AAAEAAQA8wAAACcGAAAAAA==&#10;" fillcolor="#0f673b" stroked="f">
                <v:path arrowok="t"/>
                <v:textbox>
                  <w:txbxContent>
                    <w:p w14:paraId="5A81D30B" w14:textId="77777777" w:rsidR="009027EC" w:rsidRPr="00691F20" w:rsidRDefault="009027EC" w:rsidP="007D72BD">
                      <w:pPr>
                        <w:spacing w:after="0"/>
                        <w:jc w:val="center"/>
                        <w:rPr>
                          <w:b/>
                          <w:color w:val="FFFFFF" w:themeColor="background1"/>
                          <w:sz w:val="134"/>
                          <w:szCs w:val="134"/>
                        </w:rPr>
                      </w:pPr>
                      <w:r w:rsidRPr="00691F20">
                        <w:rPr>
                          <w:b/>
                          <w:color w:val="FFFFFF" w:themeColor="background1"/>
                          <w:sz w:val="134"/>
                          <w:szCs w:val="134"/>
                        </w:rPr>
                        <w:t>1</w:t>
                      </w:r>
                    </w:p>
                  </w:txbxContent>
                </v:textbox>
                <w10:wrap type="square"/>
              </v:shape>
            </w:pict>
          </mc:Fallback>
        </mc:AlternateContent>
      </w:r>
      <w:bookmarkEnd w:id="9"/>
      <w:r w:rsidR="00E320CA" w:rsidRPr="00F6205B">
        <w:t>Introduction</w:t>
      </w:r>
      <w:bookmarkEnd w:id="66"/>
      <w:r w:rsidR="00A14FAF" w:rsidRPr="00F6205B">
        <w:t xml:space="preserve"> </w:t>
      </w:r>
    </w:p>
    <w:p w14:paraId="3308D18E" w14:textId="77777777" w:rsidR="00960380" w:rsidRPr="00F6205B" w:rsidRDefault="00960380" w:rsidP="00960380">
      <w:r w:rsidRPr="00F6205B">
        <w:t>This report contains the findings of a single-family residential potential savings study which NMR conducted on behalf of the Connecticut Energy Efficiency Board (EEB). The study estimates the potential heating oil, natural gas, propane, and electricity savings from upgrading the efficiency of existing single-family homes in the state. It makes use of home energy data gathered over the course of 180 on-site assessments, which were conducted between September 2012 and January 2013 for the Connecticut Weatherization Baseline Assessment.</w:t>
      </w:r>
      <w:r w:rsidRPr="00F6205B">
        <w:rPr>
          <w:rStyle w:val="FootnoteReference"/>
        </w:rPr>
        <w:footnoteReference w:id="17"/>
      </w:r>
    </w:p>
    <w:p w14:paraId="07244BCA" w14:textId="77777777" w:rsidR="00E320CA" w:rsidRPr="00F6205B" w:rsidRDefault="00E320CA" w:rsidP="00E320CA">
      <w:r w:rsidRPr="00F6205B">
        <w:t>The following information was collected as part of the onsite inspections:</w:t>
      </w:r>
    </w:p>
    <w:p w14:paraId="167C3D55" w14:textId="77777777" w:rsidR="00E320CA" w:rsidRPr="00F6205B" w:rsidRDefault="00E320CA" w:rsidP="003A6CD9">
      <w:pPr>
        <w:pStyle w:val="ListParagraph"/>
        <w:numPr>
          <w:ilvl w:val="0"/>
          <w:numId w:val="12"/>
        </w:numPr>
      </w:pPr>
      <w:r w:rsidRPr="00F6205B">
        <w:t>General information, including house type and year of construction, conditioned floor area, conditioned volume, foundation type, primary heating fuel, number of stories, number of bedrooms, thermostat type, and ownership status;</w:t>
      </w:r>
    </w:p>
    <w:p w14:paraId="37499B27" w14:textId="77777777" w:rsidR="00E320CA" w:rsidRPr="00F6205B" w:rsidRDefault="00E320CA" w:rsidP="003A6CD9">
      <w:pPr>
        <w:pStyle w:val="ListParagraph"/>
        <w:numPr>
          <w:ilvl w:val="0"/>
          <w:numId w:val="12"/>
        </w:numPr>
      </w:pPr>
      <w:r w:rsidRPr="00F6205B">
        <w:t>Basement information, detailing a basement’s characteristics to aid in categorizing a space as within or outside the buildings conditioned space;</w:t>
      </w:r>
    </w:p>
    <w:p w14:paraId="1DD206A1" w14:textId="77777777" w:rsidR="00E320CA" w:rsidRPr="00F6205B" w:rsidRDefault="00E320CA" w:rsidP="003A6CD9">
      <w:pPr>
        <w:pStyle w:val="ListParagraph"/>
        <w:keepNext/>
        <w:keepLines/>
        <w:numPr>
          <w:ilvl w:val="0"/>
          <w:numId w:val="12"/>
        </w:numPr>
      </w:pPr>
      <w:r w:rsidRPr="00F6205B">
        <w:t>Building shell measures that fall into two types:</w:t>
      </w:r>
    </w:p>
    <w:p w14:paraId="1D5511B4" w14:textId="77777777" w:rsidR="00E320CA" w:rsidRPr="00F6205B" w:rsidRDefault="00E320CA" w:rsidP="003A6CD9">
      <w:pPr>
        <w:pStyle w:val="ListParagraph"/>
        <w:numPr>
          <w:ilvl w:val="1"/>
          <w:numId w:val="12"/>
        </w:numPr>
      </w:pPr>
      <w:r w:rsidRPr="00F6205B">
        <w:t xml:space="preserve">Insulation location, area, type, R-value, and installation grade for walls, floors, ceilings, joists, foundation walls, and slabs, </w:t>
      </w:r>
    </w:p>
    <w:p w14:paraId="6394D73E" w14:textId="77777777" w:rsidR="00E320CA" w:rsidRPr="00F6205B" w:rsidRDefault="00E320CA" w:rsidP="003A6CD9">
      <w:pPr>
        <w:pStyle w:val="ListParagraph"/>
        <w:numPr>
          <w:ilvl w:val="1"/>
          <w:numId w:val="12"/>
        </w:numPr>
      </w:pPr>
      <w:r w:rsidRPr="00F6205B">
        <w:t>Framing description where applicable;</w:t>
      </w:r>
    </w:p>
    <w:p w14:paraId="60124FD8" w14:textId="77777777" w:rsidR="00E320CA" w:rsidRPr="00F6205B" w:rsidRDefault="00E320CA" w:rsidP="003A6CD9">
      <w:pPr>
        <w:pStyle w:val="ListParagraph"/>
        <w:numPr>
          <w:ilvl w:val="0"/>
          <w:numId w:val="12"/>
        </w:numPr>
      </w:pPr>
      <w:r w:rsidRPr="00F6205B">
        <w:t>Window type, location, area, U-value, and SHGC values;</w:t>
      </w:r>
    </w:p>
    <w:p w14:paraId="398E0802" w14:textId="77777777" w:rsidR="00E320CA" w:rsidRPr="00F6205B" w:rsidRDefault="00E320CA" w:rsidP="003A6CD9">
      <w:pPr>
        <w:pStyle w:val="ListParagraph"/>
        <w:numPr>
          <w:ilvl w:val="0"/>
          <w:numId w:val="12"/>
        </w:numPr>
      </w:pPr>
      <w:r w:rsidRPr="00F6205B">
        <w:t>Door type, location, area, and insulation;</w:t>
      </w:r>
    </w:p>
    <w:p w14:paraId="18D5F5D8" w14:textId="77777777" w:rsidR="00E320CA" w:rsidRPr="00F6205B" w:rsidRDefault="00E320CA" w:rsidP="003A6CD9">
      <w:pPr>
        <w:pStyle w:val="ListParagraph"/>
        <w:numPr>
          <w:ilvl w:val="0"/>
          <w:numId w:val="12"/>
        </w:numPr>
      </w:pPr>
      <w:r w:rsidRPr="00F6205B">
        <w:t>Mechanical equipment, including make, model, type, age, location, efficiency, and capacity of heating, cooling, and water heating units;</w:t>
      </w:r>
    </w:p>
    <w:p w14:paraId="63450D06" w14:textId="77777777" w:rsidR="00E320CA" w:rsidRPr="00F6205B" w:rsidRDefault="00E320CA" w:rsidP="003A6CD9">
      <w:pPr>
        <w:pStyle w:val="ListParagraph"/>
        <w:numPr>
          <w:ilvl w:val="0"/>
          <w:numId w:val="12"/>
        </w:numPr>
      </w:pPr>
      <w:r w:rsidRPr="00F6205B">
        <w:t>Appliances, including make, model, age, location, energy usage in kWh/yr., and Energy Factor where applicable;</w:t>
      </w:r>
    </w:p>
    <w:p w14:paraId="6B1189CD" w14:textId="77777777" w:rsidR="00E320CA" w:rsidRPr="00F6205B" w:rsidRDefault="00E320CA" w:rsidP="003A6CD9">
      <w:pPr>
        <w:pStyle w:val="ListParagraph"/>
        <w:numPr>
          <w:ilvl w:val="0"/>
          <w:numId w:val="12"/>
        </w:numPr>
      </w:pPr>
      <w:r w:rsidRPr="00F6205B">
        <w:t>Lighting, including number of fixtures by type and location;</w:t>
      </w:r>
    </w:p>
    <w:p w14:paraId="1AE06986" w14:textId="77777777" w:rsidR="00E320CA" w:rsidRPr="00F6205B" w:rsidRDefault="00E320CA" w:rsidP="003A6CD9">
      <w:pPr>
        <w:pStyle w:val="ListParagraph"/>
        <w:numPr>
          <w:ilvl w:val="0"/>
          <w:numId w:val="12"/>
        </w:numPr>
      </w:pPr>
      <w:r w:rsidRPr="00F6205B">
        <w:t>Diagnostic testing, including building envelope air leakage in cubic feet per minute at 50 Pascals (CFM50) and duct leakage, both total and to the outside of the envelope, in cubic feet per minute at 25 Pascals (CFM25);</w:t>
      </w:r>
    </w:p>
    <w:p w14:paraId="2E3CEA76" w14:textId="77777777" w:rsidR="00E320CA" w:rsidRPr="00F6205B" w:rsidRDefault="00E320CA" w:rsidP="003A6CD9">
      <w:pPr>
        <w:pStyle w:val="ListParagraph"/>
        <w:numPr>
          <w:ilvl w:val="0"/>
          <w:numId w:val="12"/>
        </w:numPr>
      </w:pPr>
      <w:r w:rsidRPr="00F6205B">
        <w:t>Duct information, including type of duct, location in the home, location on the supply or return portion of the system, insulating material, and R-value;</w:t>
      </w:r>
    </w:p>
    <w:p w14:paraId="71FB6DDB" w14:textId="77777777" w:rsidR="00E320CA" w:rsidRPr="00F6205B" w:rsidRDefault="00E320CA" w:rsidP="003A6CD9">
      <w:pPr>
        <w:pStyle w:val="ListParagraph"/>
        <w:numPr>
          <w:ilvl w:val="0"/>
          <w:numId w:val="12"/>
        </w:numPr>
      </w:pPr>
      <w:r w:rsidRPr="00F6205B">
        <w:t>Ventilation, including attic ventilation; Energy Recovery and Heat Recovery Ventilation Systems (ERV/HRV) make, model, rate, and recovery efficiency; and bathroom fan control type;</w:t>
      </w:r>
    </w:p>
    <w:p w14:paraId="55B26537" w14:textId="77777777" w:rsidR="00E320CA" w:rsidRPr="00F6205B" w:rsidRDefault="00E320CA" w:rsidP="003A6CD9">
      <w:pPr>
        <w:pStyle w:val="ListParagraph"/>
        <w:numPr>
          <w:ilvl w:val="0"/>
          <w:numId w:val="12"/>
        </w:numPr>
      </w:pPr>
      <w:r w:rsidRPr="00F6205B">
        <w:t xml:space="preserve">Renewable technologies, including the size, type, and efficiency of solar thermal, photovoltaic, and wind technologies; and </w:t>
      </w:r>
    </w:p>
    <w:p w14:paraId="37E1D628" w14:textId="77777777" w:rsidR="00E320CA" w:rsidRPr="00F6205B" w:rsidRDefault="00E320CA" w:rsidP="003A6CD9">
      <w:pPr>
        <w:pStyle w:val="ListParagraph"/>
        <w:numPr>
          <w:ilvl w:val="0"/>
          <w:numId w:val="12"/>
        </w:numPr>
      </w:pPr>
      <w:r w:rsidRPr="00F6205B">
        <w:lastRenderedPageBreak/>
        <w:t>Auditor rankings, wherein auditors record the level of opportunity for improving energy efficiency in the home on a scale of one (low) to five (high) and rank the energy features of the home by greatest savings opportunity.</w:t>
      </w:r>
    </w:p>
    <w:p w14:paraId="5CE30A8A" w14:textId="3F711D44" w:rsidR="0023777E" w:rsidRPr="00F6205B" w:rsidRDefault="00E320CA" w:rsidP="003A6CD9">
      <w:r w:rsidRPr="00F6205B">
        <w:t>Th</w:t>
      </w:r>
      <w:r w:rsidR="0023777E" w:rsidRPr="00F6205B">
        <w:t>is document presents results from four analyses:</w:t>
      </w:r>
    </w:p>
    <w:p w14:paraId="717C9F9A" w14:textId="1C972F99" w:rsidR="0023777E" w:rsidRPr="00F6205B" w:rsidRDefault="0023777E" w:rsidP="003A6CD9">
      <w:pPr>
        <w:pStyle w:val="ListParagraph"/>
        <w:numPr>
          <w:ilvl w:val="0"/>
          <w:numId w:val="33"/>
        </w:numPr>
      </w:pPr>
      <w:r w:rsidRPr="00F6205B">
        <w:t>Technical potential savings</w:t>
      </w:r>
    </w:p>
    <w:p w14:paraId="6F09B3C1" w14:textId="5AB879E4" w:rsidR="0023777E" w:rsidRPr="00F6205B" w:rsidRDefault="0023777E" w:rsidP="00F52E2F">
      <w:pPr>
        <w:pStyle w:val="ListParagraph"/>
        <w:numPr>
          <w:ilvl w:val="0"/>
          <w:numId w:val="33"/>
        </w:numPr>
      </w:pPr>
      <w:r w:rsidRPr="00F6205B">
        <w:t>Cost-effective potential savings</w:t>
      </w:r>
    </w:p>
    <w:p w14:paraId="7228F46B" w14:textId="58AEA531" w:rsidR="0023777E" w:rsidRPr="00F6205B" w:rsidRDefault="0023777E" w:rsidP="00F52E2F">
      <w:pPr>
        <w:pStyle w:val="ListParagraph"/>
        <w:numPr>
          <w:ilvl w:val="0"/>
          <w:numId w:val="33"/>
        </w:numPr>
      </w:pPr>
      <w:r w:rsidRPr="00F6205B">
        <w:t>Maximum achievable potential savings</w:t>
      </w:r>
    </w:p>
    <w:p w14:paraId="3F0421E4" w14:textId="64A1C029" w:rsidR="0023777E" w:rsidRPr="00F6205B" w:rsidRDefault="0023777E" w:rsidP="00F52E2F">
      <w:pPr>
        <w:pStyle w:val="ListParagraph"/>
        <w:numPr>
          <w:ilvl w:val="0"/>
          <w:numId w:val="33"/>
        </w:numPr>
      </w:pPr>
      <w:r w:rsidRPr="00F6205B">
        <w:t>Fuel switching potential savings</w:t>
      </w:r>
    </w:p>
    <w:p w14:paraId="6DE19AF0" w14:textId="70DDB6F4" w:rsidR="00E320CA" w:rsidRPr="00F6205B" w:rsidRDefault="00E320CA" w:rsidP="00E320CA">
      <w:r w:rsidRPr="00F6205B">
        <w:t>Technical</w:t>
      </w:r>
      <w:r w:rsidR="004B3768" w:rsidRPr="00F6205B">
        <w:t>, cost-effective</w:t>
      </w:r>
      <w:r w:rsidRPr="00F6205B">
        <w:t xml:space="preserve">, and achievable </w:t>
      </w:r>
      <w:r w:rsidR="004B3768" w:rsidRPr="00F6205B">
        <w:t xml:space="preserve">potential </w:t>
      </w:r>
      <w:r w:rsidRPr="00F6205B">
        <w:t>savings should be considered as various steps in the same analysis. The fuel switching results should be viewed and considered independently. The savings presented in the fuel switching potential section are not meant to be additive to the savings presented in any of the other sections, as some of the measure upgrades overlap.</w:t>
      </w:r>
      <w:r w:rsidRPr="00F6205B">
        <w:rPr>
          <w:rStyle w:val="FootnoteReference"/>
        </w:rPr>
        <w:footnoteReference w:id="18"/>
      </w:r>
      <w:r w:rsidRPr="00F6205B">
        <w:t xml:space="preserve"> </w:t>
      </w:r>
    </w:p>
    <w:p w14:paraId="0301E44C" w14:textId="334C5711" w:rsidR="00E320CA" w:rsidRPr="00F6205B" w:rsidRDefault="00E320CA" w:rsidP="00E320CA">
      <w:r w:rsidRPr="00F6205B">
        <w:t xml:space="preserve">The four </w:t>
      </w:r>
      <w:r w:rsidR="00376022" w:rsidRPr="00F6205B">
        <w:t>study components are described below:</w:t>
      </w:r>
    </w:p>
    <w:p w14:paraId="0E3B71A3" w14:textId="77777777" w:rsidR="00506409" w:rsidRPr="00F6205B" w:rsidRDefault="00506409" w:rsidP="003A6CD9">
      <w:pPr>
        <w:pStyle w:val="ListParagraph"/>
        <w:numPr>
          <w:ilvl w:val="0"/>
          <w:numId w:val="4"/>
        </w:numPr>
      </w:pPr>
      <w:r>
        <w:rPr>
          <w:b/>
        </w:rPr>
        <w:t>Technical p</w:t>
      </w:r>
      <w:r w:rsidRPr="00F6205B">
        <w:rPr>
          <w:b/>
        </w:rPr>
        <w:t>otent</w:t>
      </w:r>
      <w:r>
        <w:rPr>
          <w:b/>
        </w:rPr>
        <w:t>ial savings</w:t>
      </w:r>
      <w:r w:rsidRPr="00F6205B">
        <w:t xml:space="preserve"> </w:t>
      </w:r>
      <w:r>
        <w:t>are t</w:t>
      </w:r>
      <w:r w:rsidRPr="00F6205B">
        <w:t>he energy savings that are technically feasible</w:t>
      </w:r>
      <w:r w:rsidRPr="00F6205B">
        <w:rPr>
          <w:rStyle w:val="FootnoteReference"/>
        </w:rPr>
        <w:footnoteReference w:id="19"/>
      </w:r>
      <w:r w:rsidRPr="00F6205B">
        <w:t xml:space="preserve"> over a ten-year period from 2016 to 2025. These estimates do not take into account the cost-effectiveness of upgrades, and assume that all upgrades are applied immediately.</w:t>
      </w:r>
    </w:p>
    <w:p w14:paraId="19833E07" w14:textId="77777777" w:rsidR="00506409" w:rsidRPr="00F6205B" w:rsidRDefault="00506409" w:rsidP="003A6CD9">
      <w:pPr>
        <w:pStyle w:val="ListParagraph"/>
        <w:numPr>
          <w:ilvl w:val="0"/>
          <w:numId w:val="5"/>
        </w:numPr>
      </w:pPr>
      <w:r>
        <w:rPr>
          <w:b/>
        </w:rPr>
        <w:t>Cost-effective p</w:t>
      </w:r>
      <w:r w:rsidRPr="00F6205B">
        <w:rPr>
          <w:b/>
        </w:rPr>
        <w:t>otential</w:t>
      </w:r>
      <w:r>
        <w:rPr>
          <w:b/>
        </w:rPr>
        <w:t xml:space="preserve"> s</w:t>
      </w:r>
      <w:r w:rsidRPr="00F6205B">
        <w:rPr>
          <w:b/>
        </w:rPr>
        <w:t>avings</w:t>
      </w:r>
      <w:r w:rsidRPr="00F6205B">
        <w:rPr>
          <w:rStyle w:val="FootnoteReference"/>
          <w:b/>
        </w:rPr>
        <w:footnoteReference w:id="20"/>
      </w:r>
      <w:r w:rsidRPr="00F6205B">
        <w:t xml:space="preserve"> </w:t>
      </w:r>
      <w:r>
        <w:t>are t</w:t>
      </w:r>
      <w:r w:rsidRPr="00F6205B">
        <w:t>he energy savings that are technically feasible and cost-effective to achieve over a ten-year period from 2016 to 2025. These estimates take into account the evolution of codes and standards, but not the likelihood of measure adoption by consumers.</w:t>
      </w:r>
    </w:p>
    <w:p w14:paraId="5AEF54C7" w14:textId="77777777" w:rsidR="00506409" w:rsidRPr="00F6205B" w:rsidRDefault="00506409" w:rsidP="003A6CD9">
      <w:pPr>
        <w:pStyle w:val="ListParagraph"/>
        <w:numPr>
          <w:ilvl w:val="0"/>
          <w:numId w:val="5"/>
        </w:numPr>
      </w:pPr>
      <w:r w:rsidRPr="00F6205B">
        <w:rPr>
          <w:b/>
        </w:rPr>
        <w:t xml:space="preserve">Maximum </w:t>
      </w:r>
      <w:r>
        <w:rPr>
          <w:b/>
        </w:rPr>
        <w:t>achievable p</w:t>
      </w:r>
      <w:r w:rsidRPr="00F6205B">
        <w:rPr>
          <w:b/>
        </w:rPr>
        <w:t>otential</w:t>
      </w:r>
      <w:r>
        <w:rPr>
          <w:b/>
        </w:rPr>
        <w:t xml:space="preserve"> savings </w:t>
      </w:r>
      <w:r>
        <w:t>are t</w:t>
      </w:r>
      <w:r w:rsidRPr="00F6205B">
        <w:t>he energy savings that are technically feasible, cost-effective, and achievable over a ten-year period from 2016 to 2025. These estimates take into account the evolut</w:t>
      </w:r>
      <w:r>
        <w:t xml:space="preserve">ion of codes and standards, expected consumer </w:t>
      </w:r>
      <w:r w:rsidRPr="00F6205B">
        <w:t xml:space="preserve">adoption </w:t>
      </w:r>
      <w:r>
        <w:t>rate</w:t>
      </w:r>
      <w:r w:rsidRPr="00F6205B">
        <w:t xml:space="preserve">s, and </w:t>
      </w:r>
      <w:r>
        <w:t xml:space="preserve">equipment </w:t>
      </w:r>
      <w:r w:rsidRPr="00F6205B">
        <w:t>replacement schedules based on the effective u</w:t>
      </w:r>
      <w:r>
        <w:t xml:space="preserve">seful lifetimes of existing equipment; they </w:t>
      </w:r>
      <w:r w:rsidRPr="003E0E0C">
        <w:rPr>
          <w:b/>
        </w:rPr>
        <w:t>do not</w:t>
      </w:r>
      <w:r>
        <w:t xml:space="preserve"> take into account the potential impacts of incentive programs.</w:t>
      </w:r>
    </w:p>
    <w:p w14:paraId="2A944603" w14:textId="77777777" w:rsidR="00506409" w:rsidRPr="00F6205B" w:rsidRDefault="00506409" w:rsidP="003A6CD9">
      <w:pPr>
        <w:pStyle w:val="ListParagraph"/>
        <w:numPr>
          <w:ilvl w:val="0"/>
          <w:numId w:val="5"/>
        </w:numPr>
      </w:pPr>
      <w:r>
        <w:rPr>
          <w:b/>
        </w:rPr>
        <w:t>Fuel switching potential savings</w:t>
      </w:r>
      <w:r w:rsidRPr="00F6205B">
        <w:t xml:space="preserve"> </w:t>
      </w:r>
      <w:r>
        <w:t>are t</w:t>
      </w:r>
      <w:r w:rsidRPr="00F6205B">
        <w:t>he potential impacts resulting from conversion of the heating and water heating equipment in single-family homes currently using oil, propane, biomass, or electric heating to either (a) natural gas space heating and water heating equipment, or (b) electric heat pump space heating and water heating equipment.</w:t>
      </w:r>
    </w:p>
    <w:p w14:paraId="5A7AA2F9" w14:textId="56C5E750" w:rsidR="004B753B" w:rsidRPr="00F6205B" w:rsidRDefault="004B753B" w:rsidP="003A6CD9">
      <w:pPr>
        <w:ind w:left="360"/>
      </w:pPr>
      <w:r w:rsidRPr="00F6205B">
        <w:lastRenderedPageBreak/>
        <w:t xml:space="preserve">The </w:t>
      </w:r>
      <w:r w:rsidR="00EE753A">
        <w:t>study</w:t>
      </w:r>
      <w:r w:rsidR="00EE753A" w:rsidRPr="00F6205B">
        <w:t xml:space="preserve"> </w:t>
      </w:r>
      <w:r w:rsidRPr="00F6205B">
        <w:t>used REM/Rate</w:t>
      </w:r>
      <w:r w:rsidRPr="00F6205B">
        <w:rPr>
          <w:rFonts w:cs="Times New Roman"/>
        </w:rPr>
        <w:t>™</w:t>
      </w:r>
      <w:r w:rsidRPr="00F6205B">
        <w:t xml:space="preserve"> home energy modeling software</w:t>
      </w:r>
      <w:r w:rsidRPr="00F6205B">
        <w:rPr>
          <w:rStyle w:val="FootnoteReference"/>
        </w:rPr>
        <w:footnoteReference w:id="21"/>
      </w:r>
      <w:r w:rsidRPr="00F6205B">
        <w:t xml:space="preserve"> to calculate potential savings for each study component. The 180 home energy ratings conducted as part of the Connecticut Single-Family Weatherization Baseline Assessment were each modeled in REM/Rate. These “as-built” models were then copied and adjusted to reflect various efficiency upgrades and fuel switching opportunities. The energy consumption from the as-built model was compared to the adjusted model to calculate potential savings. More detail on the methodology can be found in Methodology.</w:t>
      </w:r>
    </w:p>
    <w:p w14:paraId="786183C8" w14:textId="77777777" w:rsidR="006537F9" w:rsidRPr="00F6205B" w:rsidRDefault="006537F9" w:rsidP="00971DB1"/>
    <w:p w14:paraId="50098BD0" w14:textId="77777777" w:rsidR="006537F9" w:rsidRPr="00F6205B" w:rsidRDefault="006537F9" w:rsidP="00971DB1">
      <w:pPr>
        <w:sectPr w:rsidR="006537F9" w:rsidRPr="00F6205B" w:rsidSect="00FA26A9">
          <w:footerReference w:type="default" r:id="rId35"/>
          <w:pgSz w:w="12240" w:h="15840"/>
          <w:pgMar w:top="1440" w:right="1872" w:bottom="1440" w:left="1440" w:header="0" w:footer="0" w:gutter="0"/>
          <w:cols w:space="720"/>
          <w:docGrid w:linePitch="272"/>
        </w:sectPr>
      </w:pPr>
    </w:p>
    <w:bookmarkStart w:id="67" w:name="_Ref439250164"/>
    <w:bookmarkStart w:id="68" w:name="_Ref439250720"/>
    <w:bookmarkStart w:id="69" w:name="_Ref439251091"/>
    <w:bookmarkStart w:id="70" w:name="_Ref439318109"/>
    <w:bookmarkStart w:id="71" w:name="_Ref439318115"/>
    <w:bookmarkStart w:id="72" w:name="_Ref439323140"/>
    <w:bookmarkStart w:id="73" w:name="_Toc439939389"/>
    <w:p w14:paraId="194583A8" w14:textId="7F213A2F" w:rsidR="00D40AE1" w:rsidRPr="00F6205B" w:rsidRDefault="00D778B5" w:rsidP="00E320CA">
      <w:pPr>
        <w:pStyle w:val="Heading1"/>
      </w:pPr>
      <w:r w:rsidRPr="00F6205B">
        <w:lastRenderedPageBreak/>
        <mc:AlternateContent>
          <mc:Choice Requires="wps">
            <w:drawing>
              <wp:anchor distT="0" distB="0" distL="114300" distR="114300" simplePos="0" relativeHeight="251627520" behindDoc="0" locked="0" layoutInCell="1" allowOverlap="1" wp14:anchorId="7F1D5175" wp14:editId="6A5BC08F">
                <wp:simplePos x="0" y="0"/>
                <wp:positionH relativeFrom="column">
                  <wp:posOffset>12700</wp:posOffset>
                </wp:positionH>
                <wp:positionV relativeFrom="paragraph">
                  <wp:posOffset>53340</wp:posOffset>
                </wp:positionV>
                <wp:extent cx="1143000" cy="11430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0AB78BA" w14:textId="77777777" w:rsidR="009027EC" w:rsidRPr="00691F20" w:rsidRDefault="009027EC" w:rsidP="007D72BD">
                            <w:pPr>
                              <w:spacing w:after="0"/>
                              <w:jc w:val="center"/>
                              <w:rPr>
                                <w:b/>
                                <w:color w:val="FFFFFF" w:themeColor="background1"/>
                                <w:sz w:val="134"/>
                                <w:szCs w:val="134"/>
                              </w:rPr>
                            </w:pPr>
                            <w:r>
                              <w:rPr>
                                <w:b/>
                                <w:color w:val="FFFFFF" w:themeColor="background1"/>
                                <w:sz w:val="134"/>
                                <w:szCs w:val="13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F1D5175" id="Text Box 2" o:spid="_x0000_s1029" type="#_x0000_t202" style="position:absolute;margin-left:1pt;margin-top:4.2pt;width:90pt;height:90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hc4xwIAAO8FAAAOAAAAZHJzL2Uyb0RvYy54bWysVFtP2zAUfp+0/2D5vSQp5VaRolDUaVIF&#10;aDDx7Dp2G+H4eLbbpkP77zt2klLYXpj2ktg+37l953J51dSKbIR1FeicZkcpJUJzKCu9zOn3x9ng&#10;nBLnmS6ZAi1yuhOOXk0+f7rcmrEYwgpUKSxBI9qNtyanK+/NOEkcX4mauSMwQqNQgq2Zx6tdJqVl&#10;W7Req2SYpqfJFmxpLHDhHL7etEI6ifalFNzfSemEJyqnGJuPXxu/i/BNJpdsvLTMrCrehcH+IYqa&#10;VRqd7k3dMM/I2lZ/mKorbsGB9Ecc6gSkrLiIOWA2Wfoum4cVMyLmguQ4s6fJ/T+z/HZzb0lV5nRI&#10;iWY1luhRNJ5cQ0OGgZ2tcWMEPRiE+QafscoxU2fmwJ8dQpIDTKvgEB3YaKStwx/zJKiIBdjtSQ9e&#10;eLCWjY7TFEUcZf0lWH1VN9b5LwJqEg45tVjVGALbzJ1voT0keHOgqnJWKRUvdrmYKks2LHTA7PTs&#10;+DqkhdbfwJQOYA1BrRW3LyL2UOuGjTFmPAZkiD7W92V6cjYszk4uBqfFSTYYZen5oCjS4eBmVqRF&#10;OppNL0bXvzqXvX5krCUpcOf8TolgVelvQmI1Ilcx+jAHYh8/41xon3XWIjqgJAb9EcUOH/OI+X1E&#10;uWUENaJn0H6vXFcabNsbb8Mun/uQZYvveqbLO1Dgm0UT2/C4b7oFlDvsOQvtzDrDZxWWf86cv2cW&#10;hxRbBhePv8OPVLDNKXQnSlZgf/7tPeBxdlBKyRaHPqfux5pZQYn6qnGqLrLRKGyJeBlhYfFiDyWL&#10;Q4le11PArspwxRkejwHvVX+UFuon3E9F8Ioipjn6zin3tr9MfbuMcMNxURQRhpvBMD/XD4b3wxba&#10;+7F5YtZ0M+CxlW6hXxBs/G4UWmyokIZi7UFWcU4C0y2vXQVwq8RZ6DZgWFuH94h63dOT3wAAAP//&#10;AwBQSwMEFAAGAAgAAAAhAHQKJGjZAAAABwEAAA8AAABkcnMvZG93bnJldi54bWxMjzFPwzAQhXck&#10;/oN1SN2o06pCUYhTIVrEwETLwHiJr0mEfU5tt0n/Pc4E2717p3ffK7eTNeJKPvSOFayWGQjixume&#10;WwVfx7fHHESIyBqNY1JwowDb6v6uxEK7kT/peoitSCEcClTQxTgUUoamI4th6Qbi5J2ctxiT9K3U&#10;HscUbo1cZ9mTtNhz+tDhQK8dNT+Hi1WAWb0LzHv9bk4fzW48fx/9aqPU4mF6eQYRaYp/xzDjJ3So&#10;ElPtLqyDMArWqUlUkG9AzG4+63oe0kZWpfzPX/0CAAD//wMAUEsBAi0AFAAGAAgAAAAhALaDOJL+&#10;AAAA4QEAABMAAAAAAAAAAAAAAAAAAAAAAFtDb250ZW50X1R5cGVzXS54bWxQSwECLQAUAAYACAAA&#10;ACEAOP0h/9YAAACUAQAACwAAAAAAAAAAAAAAAAAvAQAAX3JlbHMvLnJlbHNQSwECLQAUAAYACAAA&#10;ACEAGxIXOMcCAADvBQAADgAAAAAAAAAAAAAAAAAuAgAAZHJzL2Uyb0RvYy54bWxQSwECLQAUAAYA&#10;CAAAACEAdAokaNkAAAAHAQAADwAAAAAAAAAAAAAAAAAhBQAAZHJzL2Rvd25yZXYueG1sUEsFBgAA&#10;AAAEAAQA8wAAACcGAAAAAA==&#10;" fillcolor="#0f673b" stroked="f">
                <v:path arrowok="t"/>
                <v:textbox>
                  <w:txbxContent>
                    <w:p w14:paraId="10AB78BA" w14:textId="77777777" w:rsidR="009027EC" w:rsidRPr="00691F20" w:rsidRDefault="009027EC" w:rsidP="007D72BD">
                      <w:pPr>
                        <w:spacing w:after="0"/>
                        <w:jc w:val="center"/>
                        <w:rPr>
                          <w:b/>
                          <w:color w:val="FFFFFF" w:themeColor="background1"/>
                          <w:sz w:val="134"/>
                          <w:szCs w:val="134"/>
                        </w:rPr>
                      </w:pPr>
                      <w:r>
                        <w:rPr>
                          <w:b/>
                          <w:color w:val="FFFFFF" w:themeColor="background1"/>
                          <w:sz w:val="134"/>
                          <w:szCs w:val="134"/>
                        </w:rPr>
                        <w:t>2</w:t>
                      </w:r>
                    </w:p>
                  </w:txbxContent>
                </v:textbox>
                <w10:wrap type="square"/>
              </v:shape>
            </w:pict>
          </mc:Fallback>
        </mc:AlternateContent>
      </w:r>
      <w:bookmarkStart w:id="74" w:name="Headline2"/>
      <w:r w:rsidR="00C153D7" w:rsidRPr="00F6205B">
        <w:t>Methodology</w:t>
      </w:r>
      <w:bookmarkEnd w:id="67"/>
      <w:bookmarkEnd w:id="68"/>
      <w:bookmarkEnd w:id="69"/>
      <w:bookmarkEnd w:id="70"/>
      <w:bookmarkEnd w:id="71"/>
      <w:bookmarkEnd w:id="72"/>
      <w:bookmarkEnd w:id="73"/>
      <w:bookmarkEnd w:id="74"/>
    </w:p>
    <w:p w14:paraId="022FDF3A" w14:textId="05AABD80" w:rsidR="00C153D7" w:rsidRDefault="00C153D7" w:rsidP="00C153D7">
      <w:r w:rsidRPr="00F6205B">
        <w:t xml:space="preserve">This section explains the methodology used in assessing </w:t>
      </w:r>
      <w:r w:rsidR="003224D7" w:rsidRPr="00F6205B">
        <w:t>potential savings in each of the study’s four stages.</w:t>
      </w:r>
    </w:p>
    <w:p w14:paraId="0193666D" w14:textId="77777777" w:rsidR="00C153D7" w:rsidRPr="00F6205B" w:rsidRDefault="00C153D7" w:rsidP="00C34D07">
      <w:pPr>
        <w:pStyle w:val="Heading2"/>
        <w:numPr>
          <w:ilvl w:val="0"/>
          <w:numId w:val="0"/>
        </w:numPr>
        <w:jc w:val="both"/>
      </w:pPr>
      <w:bookmarkStart w:id="75" w:name="_Toc391887299"/>
      <w:bookmarkStart w:id="76" w:name="_Ref439256638"/>
      <w:bookmarkStart w:id="77" w:name="_Toc439939390"/>
      <w:r w:rsidRPr="00F6205B">
        <w:t>Technical Potential Methodology</w:t>
      </w:r>
      <w:bookmarkEnd w:id="75"/>
      <w:bookmarkEnd w:id="76"/>
      <w:bookmarkEnd w:id="77"/>
    </w:p>
    <w:p w14:paraId="66302AC7" w14:textId="2E19AF95" w:rsidR="00BC21CE" w:rsidRPr="00F6205B" w:rsidRDefault="00BC21CE" w:rsidP="00C153D7">
      <w:r w:rsidRPr="00F6205B">
        <w:t>Technical potential was assessed using the following analytical steps:</w:t>
      </w:r>
    </w:p>
    <w:p w14:paraId="2A71AFE3" w14:textId="1307814F" w:rsidR="00BC21CE" w:rsidRPr="00F6205B" w:rsidRDefault="00D966CF" w:rsidP="00F52E2F">
      <w:pPr>
        <w:pStyle w:val="ListParagraph"/>
        <w:numPr>
          <w:ilvl w:val="0"/>
          <w:numId w:val="35"/>
        </w:numPr>
        <w:contextualSpacing w:val="0"/>
      </w:pPr>
      <w:r w:rsidRPr="00F6205B">
        <w:t>Data collected as part of the Connecticut Single-Family Weatherization Baseline Assessment was used to develop 180 “as-built” REM/Rate</w:t>
      </w:r>
      <w:r w:rsidR="00657AB9" w:rsidRPr="00F6205B">
        <w:rPr>
          <w:rStyle w:val="FootnoteReference"/>
        </w:rPr>
        <w:footnoteReference w:id="22"/>
      </w:r>
      <w:r w:rsidRPr="00F6205B">
        <w:t xml:space="preserve"> home energy models.</w:t>
      </w:r>
      <w:r w:rsidR="00881C12" w:rsidRPr="00F6205B">
        <w:t xml:space="preserve"> REM/Rate accounts for interactive energy effects between the various facets of a house, and thereby provides a highly accurate picture of a homes’ projected annual energy use irrespective of occupant behavior.</w:t>
      </w:r>
    </w:p>
    <w:p w14:paraId="4F298863" w14:textId="68D88B18" w:rsidR="00D966CF" w:rsidRPr="00F6205B" w:rsidRDefault="00D966CF" w:rsidP="00F52E2F">
      <w:pPr>
        <w:pStyle w:val="ListParagraph"/>
        <w:numPr>
          <w:ilvl w:val="0"/>
          <w:numId w:val="35"/>
        </w:numPr>
        <w:contextualSpacing w:val="0"/>
      </w:pPr>
      <w:r w:rsidRPr="00F6205B">
        <w:t xml:space="preserve">For each </w:t>
      </w:r>
      <w:r w:rsidR="0020462D" w:rsidRPr="00F6205B">
        <w:t>unique</w:t>
      </w:r>
      <w:r w:rsidRPr="00F6205B">
        <w:t xml:space="preserve"> efficiency upgrade, the as-built model for a given site was copied and altered to reflect only </w:t>
      </w:r>
      <w:r w:rsidR="00394983">
        <w:t>a single</w:t>
      </w:r>
      <w:r w:rsidRPr="00F6205B">
        <w:t xml:space="preserve"> upgrade. </w:t>
      </w:r>
      <w:r w:rsidR="001D1DEB" w:rsidRPr="00F6205B">
        <w:t>For example, if the flat ceiling insulation R-value upgrade was applicable to a given site, this step would entail creating</w:t>
      </w:r>
      <w:r w:rsidR="002C42F9" w:rsidRPr="00F6205B">
        <w:t xml:space="preserve"> a new model where everything i</w:t>
      </w:r>
      <w:r w:rsidR="00AA7F17" w:rsidRPr="00F6205B">
        <w:t>s</w:t>
      </w:r>
      <w:r w:rsidR="001D1DEB" w:rsidRPr="00F6205B">
        <w:t xml:space="preserve"> identical to the as-built model except flat ceiling insulation R-value. </w:t>
      </w:r>
      <w:r w:rsidRPr="00F6205B">
        <w:t>This step resulted in 3,369 separate REM/Rate models.</w:t>
      </w:r>
      <w:r w:rsidR="00CB072C" w:rsidRPr="00F6205B">
        <w:t xml:space="preserve"> These are referred to as “individual model run</w:t>
      </w:r>
      <w:r w:rsidR="007F3833">
        <w:t>s” in this report.</w:t>
      </w:r>
      <w:r w:rsidR="00CB072C" w:rsidRPr="00F6205B">
        <w:t>”</w:t>
      </w:r>
    </w:p>
    <w:p w14:paraId="26E80F62" w14:textId="347ECE53" w:rsidR="00D966CF" w:rsidRPr="00F6205B" w:rsidRDefault="00D966CF" w:rsidP="00F52E2F">
      <w:pPr>
        <w:pStyle w:val="ListParagraph"/>
        <w:numPr>
          <w:ilvl w:val="0"/>
          <w:numId w:val="35"/>
        </w:numPr>
        <w:contextualSpacing w:val="0"/>
      </w:pPr>
      <w:r w:rsidRPr="00F6205B">
        <w:t>For each site, the as-built model was copied twice; the first copy was altered to reflect all applicable energy upgrades, and the second was altered to reflect all applicable upgrades excluding solar technologies. This step resulted in an additional 360 models.</w:t>
      </w:r>
      <w:r w:rsidR="00CB072C" w:rsidRPr="00F6205B">
        <w:t xml:space="preserve"> These are referred to as “comprehensive model run</w:t>
      </w:r>
      <w:r w:rsidR="007F3833">
        <w:t>s” in this report.</w:t>
      </w:r>
    </w:p>
    <w:p w14:paraId="0BDB7CED" w14:textId="7F274E31" w:rsidR="00D966CF" w:rsidRPr="00F6205B" w:rsidRDefault="00D966CF" w:rsidP="00F52E2F">
      <w:pPr>
        <w:pStyle w:val="ListParagraph"/>
        <w:numPr>
          <w:ilvl w:val="0"/>
          <w:numId w:val="35"/>
        </w:numPr>
        <w:spacing w:after="240"/>
        <w:contextualSpacing w:val="0"/>
      </w:pPr>
      <w:r w:rsidRPr="00F6205B">
        <w:t>The 3,909 models were then aggregated into one database using REM/Rate’s data export function</w:t>
      </w:r>
      <w:r w:rsidR="002E6C24" w:rsidRPr="00F6205B">
        <w:t>.</w:t>
      </w:r>
      <w:r w:rsidR="00623461" w:rsidRPr="00F6205B">
        <w:t xml:space="preserve"> </w:t>
      </w:r>
      <w:r w:rsidR="002E6C24" w:rsidRPr="00F6205B">
        <w:t>A</w:t>
      </w:r>
      <w:r w:rsidR="00623461" w:rsidRPr="00F6205B">
        <w:t xml:space="preserve">nalysis </w:t>
      </w:r>
      <w:r w:rsidR="002E6C24" w:rsidRPr="00F6205B">
        <w:t xml:space="preserve">was then </w:t>
      </w:r>
      <w:r w:rsidR="00623461" w:rsidRPr="00F6205B">
        <w:t>performed on the data.</w:t>
      </w:r>
    </w:p>
    <w:p w14:paraId="15D30E3E" w14:textId="4DEEB1A4" w:rsidR="00903A70" w:rsidRPr="00F6205B" w:rsidRDefault="003447AA" w:rsidP="00C153D7">
      <w:r w:rsidRPr="00F6205B">
        <w:t>T</w:t>
      </w:r>
      <w:r w:rsidR="000D7FF3" w:rsidRPr="00F6205B">
        <w:t>he technical potential</w:t>
      </w:r>
      <w:r w:rsidR="00C153D7" w:rsidRPr="00F6205B">
        <w:t xml:space="preserve"> an</w:t>
      </w:r>
      <w:r w:rsidR="000D7FF3" w:rsidRPr="00F6205B">
        <w:t xml:space="preserve">alysis presumes that all efficiency </w:t>
      </w:r>
      <w:r w:rsidR="00C153D7" w:rsidRPr="00F6205B">
        <w:t xml:space="preserve">upgrades </w:t>
      </w:r>
      <w:r w:rsidR="000D7FF3" w:rsidRPr="00F6205B">
        <w:t>are</w:t>
      </w:r>
      <w:r w:rsidR="00C153D7" w:rsidRPr="00F6205B">
        <w:t xml:space="preserve"> installed immediately, which is consistent with the EPA definition of technical potential.</w:t>
      </w:r>
      <w:r w:rsidR="00C153D7" w:rsidRPr="00F6205B">
        <w:rPr>
          <w:rStyle w:val="FootnoteReference"/>
        </w:rPr>
        <w:footnoteReference w:id="23"/>
      </w:r>
      <w:r w:rsidR="00C153D7" w:rsidRPr="00F6205B">
        <w:t xml:space="preserve"> </w:t>
      </w:r>
      <w:r w:rsidR="00376AC3" w:rsidRPr="00F6205B">
        <w:t>In addition, the</w:t>
      </w:r>
      <w:r w:rsidR="00C153D7" w:rsidRPr="00F6205B">
        <w:t xml:space="preserve"> analysis assumes that all measures, once installed, remain installed for the 10-year window for which savings are projected. </w:t>
      </w:r>
      <w:r w:rsidR="000D7FF3" w:rsidRPr="00F6205B">
        <w:t>Forty-three</w:t>
      </w:r>
      <w:r w:rsidR="00C153D7" w:rsidRPr="00F6205B">
        <w:t xml:space="preserve"> home energy upgrades </w:t>
      </w:r>
      <w:r w:rsidR="000D7FF3" w:rsidRPr="00F6205B">
        <w:t xml:space="preserve">are considered, </w:t>
      </w:r>
      <w:r w:rsidR="00C153D7" w:rsidRPr="00F6205B">
        <w:t>relat</w:t>
      </w:r>
      <w:r w:rsidR="000D7FF3" w:rsidRPr="00F6205B">
        <w:t>ing</w:t>
      </w:r>
      <w:r w:rsidR="00C153D7" w:rsidRPr="00F6205B">
        <w:t xml:space="preserve"> to the building envelope, HVAC</w:t>
      </w:r>
      <w:r w:rsidR="000D7FF3" w:rsidRPr="00F6205B">
        <w:t xml:space="preserve"> </w:t>
      </w:r>
      <w:r w:rsidR="00C153D7" w:rsidRPr="00F6205B">
        <w:t>systems, water heating equipment, lighting, appl</w:t>
      </w:r>
      <w:r w:rsidR="00903A70" w:rsidRPr="00F6205B">
        <w:t>iances, and solar technologies.</w:t>
      </w:r>
    </w:p>
    <w:p w14:paraId="7CAD39A4" w14:textId="77777777" w:rsidR="00F02877" w:rsidRPr="00F6205B" w:rsidRDefault="00C153D7" w:rsidP="00C153D7">
      <w:r w:rsidRPr="00F6205B">
        <w:t>Most upgrades were applied to homes that have a given feature but do not meet the efficiency level specified for</w:t>
      </w:r>
      <w:r w:rsidR="00BA3A7D" w:rsidRPr="00F6205B">
        <w:t xml:space="preserve"> the upgrade. F</w:t>
      </w:r>
      <w:r w:rsidRPr="00F6205B">
        <w:t>or instance, a home featuring a gas boiler with an AFUE less than the upgrade value of 95% would qualify for a gas boiler upgrade, while the same home with a 97% efficient gas boiler would not receive that upgrade</w:t>
      </w:r>
      <w:r w:rsidR="00F02877" w:rsidRPr="00F6205B">
        <w:t>.</w:t>
      </w:r>
    </w:p>
    <w:p w14:paraId="6D57186E" w14:textId="4FE0C332" w:rsidR="00C153D7" w:rsidRPr="00F6205B" w:rsidRDefault="00C153D7" w:rsidP="00C153D7">
      <w:r w:rsidRPr="00F6205B">
        <w:t>In determining insulation upgrade eligibility, consideration was given to the maximum R-value achievable by framing depth</w:t>
      </w:r>
      <w:r w:rsidR="00903A70" w:rsidRPr="00F6205B">
        <w:t xml:space="preserve">—while </w:t>
      </w:r>
      <w:r w:rsidRPr="00F6205B">
        <w:t xml:space="preserve">the upgrade value for above-grade wall insulation </w:t>
      </w:r>
      <w:r w:rsidRPr="00F6205B">
        <w:lastRenderedPageBreak/>
        <w:t>is R-20, homes built with 2x4 framing can only realistically accommodate R-12 blown-in cellulose insulation. These insulation upgrade values are presented in detail in Appendix</w:t>
      </w:r>
      <w:r w:rsidR="00903A70" w:rsidRPr="00F6205B">
        <w:t xml:space="preserve"> B</w:t>
      </w:r>
      <w:r w:rsidRPr="00F6205B">
        <w:t>.</w:t>
      </w:r>
    </w:p>
    <w:p w14:paraId="41512D1A" w14:textId="3C625EFF" w:rsidR="00C153D7" w:rsidRPr="00F6205B" w:rsidRDefault="00B957FB" w:rsidP="00C153D7">
      <w:r w:rsidRPr="00F6205B">
        <w:t>U</w:t>
      </w:r>
      <w:r w:rsidR="00C153D7" w:rsidRPr="00F6205B">
        <w:t>pgrades to features not commonly found in homes—photovoltaics, solar hot water systems, heat pump</w:t>
      </w:r>
      <w:r w:rsidRPr="00F6205B">
        <w:t xml:space="preserve"> product</w:t>
      </w:r>
      <w:r w:rsidR="00C153D7" w:rsidRPr="00F6205B">
        <w:t>s, and dehumidifiers—were applied to a sample of homes</w:t>
      </w:r>
      <w:r w:rsidR="00426229" w:rsidRPr="00F6205B">
        <w:t>. S</w:t>
      </w:r>
      <w:r w:rsidR="00C153D7" w:rsidRPr="00F6205B">
        <w:t xml:space="preserve">avings from </w:t>
      </w:r>
      <w:r w:rsidR="00426229" w:rsidRPr="00F6205B">
        <w:t>four</w:t>
      </w:r>
      <w:r w:rsidR="00C153D7" w:rsidRPr="00F6205B">
        <w:t xml:space="preserve"> upgrades for which REM/Rate</w:t>
      </w:r>
      <w:r w:rsidR="00426229" w:rsidRPr="00F6205B">
        <w:t xml:space="preserve"> inputs either do not exist or are insufficient given the study’s needs and available data</w:t>
      </w:r>
      <w:r w:rsidR="00C153D7" w:rsidRPr="00F6205B">
        <w:t>—</w:t>
      </w:r>
      <w:r w:rsidR="00426229" w:rsidRPr="00F6205B">
        <w:t xml:space="preserve">clothes washers, </w:t>
      </w:r>
      <w:r w:rsidR="00C153D7" w:rsidRPr="00F6205B">
        <w:t>low-flo</w:t>
      </w:r>
      <w:r w:rsidR="00426229" w:rsidRPr="00F6205B">
        <w:t xml:space="preserve">w showerheads, faucet aerators, </w:t>
      </w:r>
      <w:r w:rsidR="00C153D7" w:rsidRPr="00F6205B">
        <w:t>and pipe insulation—were calculated using equations found in the 2013 Connecticut Program Savings Document.</w:t>
      </w:r>
      <w:r w:rsidR="00C153D7" w:rsidRPr="00F6205B">
        <w:rPr>
          <w:rStyle w:val="FootnoteReference"/>
        </w:rPr>
        <w:footnoteReference w:id="24"/>
      </w:r>
      <w:r w:rsidR="00C153D7" w:rsidRPr="00F6205B">
        <w:rPr>
          <w:vertAlign w:val="superscript"/>
        </w:rPr>
        <w:t>,</w:t>
      </w:r>
      <w:r w:rsidR="00C153D7" w:rsidRPr="00F6205B">
        <w:rPr>
          <w:rStyle w:val="FootnoteReference"/>
        </w:rPr>
        <w:footnoteReference w:id="25"/>
      </w:r>
      <w:r w:rsidR="00C153D7" w:rsidRPr="00F6205B">
        <w:t xml:space="preserve"> Excluding measures for which there is no REM/Rate input, an average of 19 upgrades were applicable to any one site. A full list of upgrades is provided in</w:t>
      </w:r>
      <w:r w:rsidR="00CA3167" w:rsidRPr="00F6205B">
        <w:t xml:space="preserve"> </w:t>
      </w:r>
      <w:r w:rsidR="00366299">
        <w:fldChar w:fldCharType="begin"/>
      </w:r>
      <w:r w:rsidR="00366299">
        <w:instrText xml:space="preserve"> REF _Ref439690252 \n \h </w:instrText>
      </w:r>
      <w:r w:rsidR="00366299">
        <w:fldChar w:fldCharType="separate"/>
      </w:r>
      <w:r w:rsidR="00FA26A9">
        <w:t>Appendix B</w:t>
      </w:r>
      <w:r w:rsidR="00366299">
        <w:fldChar w:fldCharType="end"/>
      </w:r>
      <w:r w:rsidR="00C153D7" w:rsidRPr="00F6205B">
        <w:t>.</w:t>
      </w:r>
    </w:p>
    <w:p w14:paraId="1AAB1285" w14:textId="24E33847" w:rsidR="00C153D7" w:rsidRPr="00F6205B" w:rsidRDefault="00CC12DD" w:rsidP="00C153D7">
      <w:r w:rsidRPr="00F6205B">
        <w:fldChar w:fldCharType="begin"/>
      </w:r>
      <w:r w:rsidRPr="00F6205B">
        <w:instrText xml:space="preserve"> REF _Ref439254428 \h </w:instrText>
      </w:r>
      <w:r w:rsidR="00F6205B">
        <w:instrText xml:space="preserve"> \* MERGEFORMAT </w:instrText>
      </w:r>
      <w:r w:rsidRPr="00F6205B">
        <w:fldChar w:fldCharType="separate"/>
      </w:r>
      <w:r w:rsidR="00FA26A9" w:rsidRPr="00F6205B">
        <w:t xml:space="preserve">Table </w:t>
      </w:r>
      <w:r w:rsidR="00FA26A9">
        <w:rPr>
          <w:noProof/>
        </w:rPr>
        <w:t>2</w:t>
      </w:r>
      <w:r w:rsidRPr="00F6205B">
        <w:fldChar w:fldCharType="end"/>
      </w:r>
      <w:r w:rsidRPr="00F6205B">
        <w:t xml:space="preserve"> and </w:t>
      </w:r>
      <w:r w:rsidRPr="00F6205B">
        <w:fldChar w:fldCharType="begin"/>
      </w:r>
      <w:r w:rsidRPr="00F6205B">
        <w:instrText xml:space="preserve"> REF _Ref439254430 \h </w:instrText>
      </w:r>
      <w:r w:rsidR="00F6205B">
        <w:instrText xml:space="preserve"> \* MERGEFORMAT </w:instrText>
      </w:r>
      <w:r w:rsidRPr="00F6205B">
        <w:fldChar w:fldCharType="separate"/>
      </w:r>
      <w:r w:rsidR="00FA26A9" w:rsidRPr="00F6205B">
        <w:t xml:space="preserve">Table </w:t>
      </w:r>
      <w:r w:rsidR="00FA26A9">
        <w:rPr>
          <w:noProof/>
        </w:rPr>
        <w:t>3</w:t>
      </w:r>
      <w:r w:rsidRPr="00F6205B">
        <w:fldChar w:fldCharType="end"/>
      </w:r>
      <w:r w:rsidRPr="00F6205B">
        <w:t xml:space="preserve"> list </w:t>
      </w:r>
      <w:r w:rsidR="00C153D7" w:rsidRPr="00F6205B">
        <w:t xml:space="preserve">the measures that were considered for this study and the percentage of homes for which the measure was applied </w:t>
      </w:r>
      <w:r w:rsidR="00394983">
        <w:t>for</w:t>
      </w:r>
      <w:r w:rsidR="00394983" w:rsidRPr="00F6205B">
        <w:t xml:space="preserve"> </w:t>
      </w:r>
      <w:r w:rsidR="00C153D7" w:rsidRPr="00F6205B">
        <w:t>the comprehensive model run</w:t>
      </w:r>
      <w:r w:rsidR="00FD5FD2" w:rsidRPr="00F6205B">
        <w:t>s</w:t>
      </w:r>
      <w:r w:rsidR="00C153D7" w:rsidRPr="00F6205B">
        <w:t>. As shown, ductless mini-splits were include</w:t>
      </w:r>
      <w:r w:rsidR="00FD5FD2" w:rsidRPr="00F6205B">
        <w:t>d in the comprehensive model</w:t>
      </w:r>
      <w:r w:rsidR="00C153D7" w:rsidRPr="00F6205B">
        <w:t xml:space="preserve"> for every home</w:t>
      </w:r>
      <w:r w:rsidR="00FD5FD2" w:rsidRPr="00F6205B">
        <w:t>.</w:t>
      </w:r>
      <w:r w:rsidR="00C153D7" w:rsidRPr="00F6205B">
        <w:rPr>
          <w:rStyle w:val="FootnoteReference"/>
        </w:rPr>
        <w:footnoteReference w:id="26"/>
      </w:r>
      <w:r w:rsidR="00FD5FD2" w:rsidRPr="00F6205B">
        <w:t xml:space="preserve"> T</w:t>
      </w:r>
      <w:r w:rsidR="00C153D7" w:rsidRPr="00F6205B">
        <w:t xml:space="preserve">his is due to the fact that ductless mini-splits yielded the greatest overall energy savings when compared to other conflicting measures (e.g., conventional air source heat pumps, high efficiency furnaces, high efficiency central air conditioning systems, etc.).  </w:t>
      </w:r>
    </w:p>
    <w:p w14:paraId="2FF230E3" w14:textId="28D5C04B" w:rsidR="00C153D7" w:rsidRPr="00F6205B" w:rsidRDefault="00C153D7" w:rsidP="000F5ED7">
      <w:pPr>
        <w:pStyle w:val="Caption"/>
      </w:pPr>
      <w:bookmarkStart w:id="78" w:name="_Ref366829495"/>
      <w:bookmarkStart w:id="79" w:name="_Ref439254428"/>
      <w:bookmarkStart w:id="80" w:name="_Toc373324111"/>
      <w:bookmarkStart w:id="81" w:name="_Toc391887338"/>
      <w:bookmarkStart w:id="82" w:name="_Toc439931833"/>
      <w:r w:rsidRPr="00F6205B">
        <w:lastRenderedPageBreak/>
        <w:t>Table</w:t>
      </w:r>
      <w:bookmarkEnd w:id="78"/>
      <w:r w:rsidR="000F5ED7" w:rsidRPr="00F6205B">
        <w:t xml:space="preserve"> </w:t>
      </w:r>
      <w:fldSimple w:instr=" SEQ Table \* ARABIC ">
        <w:r w:rsidR="00FA26A9">
          <w:rPr>
            <w:noProof/>
          </w:rPr>
          <w:t>2</w:t>
        </w:r>
      </w:fldSimple>
      <w:bookmarkEnd w:id="79"/>
      <w:r w:rsidRPr="00F6205B">
        <w:t>: Measures Included in Comprehensive Technical Potential Model Run</w:t>
      </w:r>
      <w:r w:rsidR="004E399C" w:rsidRPr="00F6205B">
        <w:t xml:space="preserve"> (</w:t>
      </w:r>
      <w:r w:rsidRPr="00F6205B">
        <w:t>Most Common</w:t>
      </w:r>
      <w:r w:rsidR="004E399C" w:rsidRPr="00F6205B">
        <w:t>)</w:t>
      </w:r>
      <w:r w:rsidRPr="00F6205B">
        <w:t>*</w:t>
      </w:r>
      <w:bookmarkEnd w:id="80"/>
      <w:bookmarkEnd w:id="81"/>
      <w:bookmarkEnd w:id="82"/>
    </w:p>
    <w:tbl>
      <w:tblPr>
        <w:tblW w:w="6895"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896"/>
        <w:gridCol w:w="847"/>
        <w:gridCol w:w="1152"/>
      </w:tblGrid>
      <w:tr w:rsidR="00C153D7" w:rsidRPr="00F6205B" w14:paraId="5E44D164" w14:textId="77777777" w:rsidTr="003A6CD9">
        <w:trPr>
          <w:trHeight w:val="288"/>
          <w:jc w:val="center"/>
        </w:trPr>
        <w:tc>
          <w:tcPr>
            <w:tcW w:w="4896" w:type="dxa"/>
            <w:tcBorders>
              <w:top w:val="single" w:sz="4" w:space="0" w:color="auto"/>
              <w:left w:val="single" w:sz="4" w:space="0" w:color="auto"/>
              <w:bottom w:val="single" w:sz="4" w:space="0" w:color="auto"/>
              <w:right w:val="single" w:sz="4" w:space="0" w:color="000000" w:themeColor="text1"/>
            </w:tcBorders>
            <w:shd w:val="clear" w:color="auto" w:fill="0F673B" w:themeFill="background2"/>
            <w:vAlign w:val="center"/>
          </w:tcPr>
          <w:p w14:paraId="794A539F" w14:textId="77777777" w:rsidR="00C153D7" w:rsidRPr="00F6205B" w:rsidRDefault="00C153D7" w:rsidP="0044249F">
            <w:pPr>
              <w:keepNext/>
              <w:keepLines/>
              <w:spacing w:after="0"/>
              <w:rPr>
                <w:b/>
                <w:color w:val="FFFFFF" w:themeColor="background1"/>
                <w:sz w:val="20"/>
                <w:szCs w:val="20"/>
              </w:rPr>
            </w:pPr>
            <w:r w:rsidRPr="00F6205B">
              <w:rPr>
                <w:b/>
                <w:color w:val="FFFFFF" w:themeColor="background1"/>
                <w:sz w:val="20"/>
                <w:szCs w:val="20"/>
              </w:rPr>
              <w:t>Measure</w:t>
            </w:r>
          </w:p>
        </w:tc>
        <w:tc>
          <w:tcPr>
            <w:tcW w:w="847" w:type="dxa"/>
            <w:tcBorders>
              <w:top w:val="single" w:sz="4" w:space="0" w:color="auto"/>
              <w:left w:val="single" w:sz="4" w:space="0" w:color="000000" w:themeColor="text1"/>
              <w:bottom w:val="single" w:sz="4" w:space="0" w:color="auto"/>
              <w:right w:val="single" w:sz="4" w:space="0" w:color="000000" w:themeColor="text1"/>
            </w:tcBorders>
            <w:shd w:val="clear" w:color="auto" w:fill="0F673B" w:themeFill="background2"/>
            <w:vAlign w:val="center"/>
          </w:tcPr>
          <w:p w14:paraId="3376EED4" w14:textId="1C241FCA" w:rsidR="00C153D7" w:rsidRPr="00F6205B" w:rsidRDefault="00025BE5" w:rsidP="0044249F">
            <w:pPr>
              <w:keepNext/>
              <w:keepLines/>
              <w:spacing w:after="0"/>
              <w:jc w:val="center"/>
              <w:rPr>
                <w:b/>
                <w:i/>
                <w:color w:val="FFFFFF" w:themeColor="background1"/>
                <w:sz w:val="20"/>
                <w:szCs w:val="20"/>
              </w:rPr>
            </w:pPr>
            <w:r w:rsidRPr="00F6205B">
              <w:rPr>
                <w:b/>
                <w:i/>
                <w:color w:val="FFFFFF" w:themeColor="background1"/>
                <w:sz w:val="20"/>
                <w:szCs w:val="20"/>
              </w:rPr>
              <w:t>N</w:t>
            </w:r>
          </w:p>
        </w:tc>
        <w:tc>
          <w:tcPr>
            <w:tcW w:w="1152" w:type="dxa"/>
            <w:tcBorders>
              <w:top w:val="single" w:sz="4" w:space="0" w:color="auto"/>
              <w:left w:val="single" w:sz="4" w:space="0" w:color="000000" w:themeColor="text1"/>
              <w:bottom w:val="single" w:sz="4" w:space="0" w:color="auto"/>
              <w:right w:val="single" w:sz="4" w:space="0" w:color="auto"/>
            </w:tcBorders>
            <w:shd w:val="clear" w:color="auto" w:fill="0F673B" w:themeFill="background2"/>
            <w:vAlign w:val="center"/>
          </w:tcPr>
          <w:p w14:paraId="74B4FC6D" w14:textId="7BDE6A89" w:rsidR="00C153D7" w:rsidRPr="00F6205B" w:rsidRDefault="00025BE5" w:rsidP="0044249F">
            <w:pPr>
              <w:keepNext/>
              <w:keepLines/>
              <w:spacing w:after="0"/>
              <w:jc w:val="center"/>
              <w:rPr>
                <w:b/>
                <w:color w:val="FFFFFF" w:themeColor="background1"/>
                <w:sz w:val="20"/>
                <w:szCs w:val="20"/>
              </w:rPr>
            </w:pPr>
            <w:r w:rsidRPr="00F6205B">
              <w:rPr>
                <w:b/>
                <w:color w:val="FFFFFF" w:themeColor="background1"/>
                <w:sz w:val="20"/>
                <w:szCs w:val="20"/>
              </w:rPr>
              <w:t>Percent of Sites</w:t>
            </w:r>
          </w:p>
        </w:tc>
      </w:tr>
      <w:tr w:rsidR="00C153D7" w:rsidRPr="00F6205B" w14:paraId="79F1E43F" w14:textId="77777777" w:rsidTr="00040216">
        <w:trPr>
          <w:trHeight w:val="288"/>
          <w:jc w:val="center"/>
        </w:trPr>
        <w:tc>
          <w:tcPr>
            <w:tcW w:w="489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121C378" w14:textId="77777777" w:rsidR="00C153D7" w:rsidRPr="00F6205B" w:rsidRDefault="00C153D7" w:rsidP="0044249F">
            <w:pPr>
              <w:keepNext/>
              <w:keepLines/>
              <w:spacing w:after="0"/>
              <w:jc w:val="right"/>
              <w:rPr>
                <w:sz w:val="20"/>
                <w:szCs w:val="20"/>
              </w:rPr>
            </w:pPr>
            <w:r w:rsidRPr="00F6205B">
              <w:rPr>
                <w:sz w:val="20"/>
                <w:szCs w:val="20"/>
              </w:rPr>
              <w:t>Upgrade windows</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5499C6" w14:textId="77777777" w:rsidR="00C153D7" w:rsidRPr="00F6205B" w:rsidRDefault="00C153D7" w:rsidP="0044249F">
            <w:pPr>
              <w:keepNext/>
              <w:keepLines/>
              <w:spacing w:after="0"/>
              <w:jc w:val="center"/>
              <w:rPr>
                <w:i/>
                <w:sz w:val="20"/>
                <w:szCs w:val="20"/>
              </w:rPr>
            </w:pPr>
            <w:r w:rsidRPr="00F6205B">
              <w:rPr>
                <w:i/>
                <w:sz w:val="20"/>
                <w:szCs w:val="20"/>
              </w:rPr>
              <w:t>180</w:t>
            </w:r>
          </w:p>
        </w:tc>
        <w:tc>
          <w:tcPr>
            <w:tcW w:w="11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39C3032" w14:textId="77777777" w:rsidR="00C153D7" w:rsidRPr="00F6205B" w:rsidRDefault="00C153D7" w:rsidP="0044249F">
            <w:pPr>
              <w:keepNext/>
              <w:keepLines/>
              <w:spacing w:after="0"/>
              <w:jc w:val="center"/>
              <w:rPr>
                <w:sz w:val="20"/>
                <w:szCs w:val="20"/>
              </w:rPr>
            </w:pPr>
            <w:r w:rsidRPr="00F6205B">
              <w:rPr>
                <w:sz w:val="20"/>
                <w:szCs w:val="20"/>
              </w:rPr>
              <w:t>100%</w:t>
            </w:r>
          </w:p>
        </w:tc>
      </w:tr>
      <w:tr w:rsidR="00C153D7" w:rsidRPr="00F6205B" w14:paraId="3FF49284" w14:textId="77777777" w:rsidTr="00040216">
        <w:trPr>
          <w:trHeight w:val="288"/>
          <w:jc w:val="center"/>
        </w:trPr>
        <w:tc>
          <w:tcPr>
            <w:tcW w:w="489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FCE4F47" w14:textId="77777777" w:rsidR="00C153D7" w:rsidRPr="00F6205B" w:rsidRDefault="00C153D7" w:rsidP="0044249F">
            <w:pPr>
              <w:keepNext/>
              <w:keepLines/>
              <w:spacing w:after="0"/>
              <w:jc w:val="right"/>
              <w:rPr>
                <w:sz w:val="20"/>
                <w:szCs w:val="20"/>
              </w:rPr>
            </w:pPr>
            <w:r w:rsidRPr="00F6205B">
              <w:rPr>
                <w:sz w:val="20"/>
                <w:szCs w:val="20"/>
              </w:rPr>
              <w:t>Install ductless mini-split</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C44384" w14:textId="77777777" w:rsidR="00C153D7" w:rsidRPr="00F6205B" w:rsidRDefault="00C153D7" w:rsidP="0044249F">
            <w:pPr>
              <w:keepNext/>
              <w:keepLines/>
              <w:spacing w:after="0"/>
              <w:jc w:val="center"/>
              <w:rPr>
                <w:i/>
                <w:sz w:val="20"/>
                <w:szCs w:val="20"/>
              </w:rPr>
            </w:pPr>
            <w:r w:rsidRPr="00F6205B">
              <w:rPr>
                <w:i/>
                <w:sz w:val="20"/>
                <w:szCs w:val="20"/>
              </w:rPr>
              <w:t>180</w:t>
            </w:r>
          </w:p>
        </w:tc>
        <w:tc>
          <w:tcPr>
            <w:tcW w:w="11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C5EE7EF" w14:textId="77777777" w:rsidR="00C153D7" w:rsidRPr="00F6205B" w:rsidRDefault="00C153D7" w:rsidP="0044249F">
            <w:pPr>
              <w:keepNext/>
              <w:keepLines/>
              <w:spacing w:after="0"/>
              <w:jc w:val="center"/>
              <w:rPr>
                <w:sz w:val="20"/>
                <w:szCs w:val="20"/>
              </w:rPr>
            </w:pPr>
            <w:r w:rsidRPr="00F6205B">
              <w:rPr>
                <w:sz w:val="20"/>
                <w:szCs w:val="20"/>
              </w:rPr>
              <w:t>100%</w:t>
            </w:r>
          </w:p>
        </w:tc>
      </w:tr>
      <w:tr w:rsidR="00C153D7" w:rsidRPr="00F6205B" w14:paraId="23168EFE" w14:textId="77777777" w:rsidTr="00040216">
        <w:trPr>
          <w:trHeight w:val="288"/>
          <w:jc w:val="center"/>
        </w:trPr>
        <w:tc>
          <w:tcPr>
            <w:tcW w:w="489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4A5B1DD" w14:textId="77777777" w:rsidR="00C153D7" w:rsidRPr="00F6205B" w:rsidRDefault="00C153D7" w:rsidP="0044249F">
            <w:pPr>
              <w:keepNext/>
              <w:keepLines/>
              <w:spacing w:after="0"/>
              <w:jc w:val="right"/>
              <w:rPr>
                <w:sz w:val="20"/>
                <w:szCs w:val="20"/>
              </w:rPr>
            </w:pPr>
            <w:r w:rsidRPr="00F6205B">
              <w:rPr>
                <w:sz w:val="20"/>
                <w:szCs w:val="20"/>
              </w:rPr>
              <w:t>Increase socket saturation of efficient lighting</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A531F2" w14:textId="77777777" w:rsidR="00C153D7" w:rsidRPr="00F6205B" w:rsidRDefault="00C153D7" w:rsidP="0044249F">
            <w:pPr>
              <w:keepNext/>
              <w:keepLines/>
              <w:spacing w:after="0"/>
              <w:jc w:val="center"/>
              <w:rPr>
                <w:i/>
                <w:sz w:val="20"/>
                <w:szCs w:val="20"/>
              </w:rPr>
            </w:pPr>
            <w:r w:rsidRPr="00F6205B">
              <w:rPr>
                <w:i/>
                <w:sz w:val="20"/>
                <w:szCs w:val="20"/>
              </w:rPr>
              <w:t>180</w:t>
            </w:r>
          </w:p>
        </w:tc>
        <w:tc>
          <w:tcPr>
            <w:tcW w:w="11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379CF67" w14:textId="77777777" w:rsidR="00C153D7" w:rsidRPr="00F6205B" w:rsidRDefault="00C153D7" w:rsidP="0044249F">
            <w:pPr>
              <w:keepNext/>
              <w:keepLines/>
              <w:spacing w:after="0"/>
              <w:jc w:val="center"/>
              <w:rPr>
                <w:sz w:val="20"/>
                <w:szCs w:val="20"/>
              </w:rPr>
            </w:pPr>
            <w:r w:rsidRPr="00F6205B">
              <w:rPr>
                <w:sz w:val="20"/>
                <w:szCs w:val="20"/>
              </w:rPr>
              <w:t>100%</w:t>
            </w:r>
          </w:p>
        </w:tc>
      </w:tr>
      <w:tr w:rsidR="00C153D7" w:rsidRPr="00F6205B" w14:paraId="274CF109" w14:textId="77777777" w:rsidTr="00040216">
        <w:trPr>
          <w:trHeight w:val="288"/>
          <w:jc w:val="center"/>
        </w:trPr>
        <w:tc>
          <w:tcPr>
            <w:tcW w:w="489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3786165" w14:textId="77777777" w:rsidR="00C153D7" w:rsidRPr="00F6205B" w:rsidRDefault="00C153D7" w:rsidP="0044249F">
            <w:pPr>
              <w:keepNext/>
              <w:keepLines/>
              <w:spacing w:after="0"/>
              <w:jc w:val="right"/>
              <w:rPr>
                <w:sz w:val="20"/>
                <w:szCs w:val="20"/>
              </w:rPr>
            </w:pPr>
            <w:r w:rsidRPr="00F6205B">
              <w:rPr>
                <w:sz w:val="20"/>
                <w:szCs w:val="20"/>
              </w:rPr>
              <w:t>Upgrade refrigerator</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3D1F3B" w14:textId="77777777" w:rsidR="00C153D7" w:rsidRPr="00F6205B" w:rsidRDefault="00C153D7" w:rsidP="0044249F">
            <w:pPr>
              <w:keepNext/>
              <w:keepLines/>
              <w:spacing w:after="0"/>
              <w:jc w:val="center"/>
              <w:rPr>
                <w:i/>
                <w:sz w:val="20"/>
                <w:szCs w:val="20"/>
              </w:rPr>
            </w:pPr>
            <w:r w:rsidRPr="00F6205B">
              <w:rPr>
                <w:i/>
                <w:sz w:val="20"/>
                <w:szCs w:val="20"/>
              </w:rPr>
              <w:t>180</w:t>
            </w:r>
          </w:p>
        </w:tc>
        <w:tc>
          <w:tcPr>
            <w:tcW w:w="11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FE3F579" w14:textId="77777777" w:rsidR="00C153D7" w:rsidRPr="00F6205B" w:rsidRDefault="00C153D7" w:rsidP="0044249F">
            <w:pPr>
              <w:keepNext/>
              <w:keepLines/>
              <w:spacing w:after="0"/>
              <w:jc w:val="center"/>
              <w:rPr>
                <w:sz w:val="20"/>
                <w:szCs w:val="20"/>
              </w:rPr>
            </w:pPr>
            <w:r w:rsidRPr="00F6205B">
              <w:rPr>
                <w:sz w:val="20"/>
                <w:szCs w:val="20"/>
              </w:rPr>
              <w:t>100%</w:t>
            </w:r>
          </w:p>
        </w:tc>
      </w:tr>
      <w:tr w:rsidR="00C153D7" w:rsidRPr="00F6205B" w14:paraId="3EC0B063" w14:textId="77777777" w:rsidTr="00040216">
        <w:trPr>
          <w:trHeight w:val="288"/>
          <w:jc w:val="center"/>
        </w:trPr>
        <w:tc>
          <w:tcPr>
            <w:tcW w:w="489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DC7A416" w14:textId="77777777" w:rsidR="00C153D7" w:rsidRPr="00F6205B" w:rsidRDefault="00C153D7" w:rsidP="0044249F">
            <w:pPr>
              <w:keepNext/>
              <w:keepLines/>
              <w:spacing w:after="0"/>
              <w:jc w:val="right"/>
              <w:rPr>
                <w:sz w:val="20"/>
                <w:szCs w:val="20"/>
              </w:rPr>
            </w:pPr>
            <w:r w:rsidRPr="00F6205B">
              <w:rPr>
                <w:sz w:val="20"/>
                <w:szCs w:val="20"/>
              </w:rPr>
              <w:t>Install low-flow showerheads</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EEB435" w14:textId="77777777" w:rsidR="00C153D7" w:rsidRPr="00F6205B" w:rsidRDefault="00C153D7" w:rsidP="0044249F">
            <w:pPr>
              <w:keepNext/>
              <w:keepLines/>
              <w:spacing w:after="0"/>
              <w:jc w:val="center"/>
              <w:rPr>
                <w:i/>
                <w:sz w:val="20"/>
                <w:szCs w:val="20"/>
              </w:rPr>
            </w:pPr>
            <w:r w:rsidRPr="00F6205B">
              <w:rPr>
                <w:i/>
                <w:sz w:val="20"/>
                <w:szCs w:val="20"/>
              </w:rPr>
              <w:t>180</w:t>
            </w:r>
          </w:p>
        </w:tc>
        <w:tc>
          <w:tcPr>
            <w:tcW w:w="11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6845BC1" w14:textId="77777777" w:rsidR="00C153D7" w:rsidRPr="00F6205B" w:rsidRDefault="00C153D7" w:rsidP="0044249F">
            <w:pPr>
              <w:keepNext/>
              <w:keepLines/>
              <w:spacing w:after="0"/>
              <w:jc w:val="center"/>
              <w:rPr>
                <w:sz w:val="20"/>
                <w:szCs w:val="20"/>
              </w:rPr>
            </w:pPr>
            <w:r w:rsidRPr="00F6205B">
              <w:rPr>
                <w:sz w:val="20"/>
                <w:szCs w:val="20"/>
              </w:rPr>
              <w:t>100%</w:t>
            </w:r>
          </w:p>
        </w:tc>
      </w:tr>
      <w:tr w:rsidR="00C153D7" w:rsidRPr="00F6205B" w14:paraId="4755D54C" w14:textId="77777777" w:rsidTr="00040216">
        <w:trPr>
          <w:trHeight w:val="288"/>
          <w:jc w:val="center"/>
        </w:trPr>
        <w:tc>
          <w:tcPr>
            <w:tcW w:w="489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13BA56D" w14:textId="77777777" w:rsidR="00C153D7" w:rsidRPr="00F6205B" w:rsidRDefault="00C153D7" w:rsidP="0044249F">
            <w:pPr>
              <w:keepNext/>
              <w:keepLines/>
              <w:spacing w:after="0"/>
              <w:jc w:val="right"/>
              <w:rPr>
                <w:sz w:val="20"/>
                <w:szCs w:val="20"/>
              </w:rPr>
            </w:pPr>
            <w:r w:rsidRPr="00F6205B">
              <w:rPr>
                <w:sz w:val="20"/>
                <w:szCs w:val="20"/>
              </w:rPr>
              <w:t>Install faucet aerators</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4609CE" w14:textId="77777777" w:rsidR="00C153D7" w:rsidRPr="00F6205B" w:rsidRDefault="00C153D7" w:rsidP="0044249F">
            <w:pPr>
              <w:keepNext/>
              <w:keepLines/>
              <w:spacing w:after="0"/>
              <w:jc w:val="center"/>
              <w:rPr>
                <w:i/>
                <w:sz w:val="20"/>
                <w:szCs w:val="20"/>
              </w:rPr>
            </w:pPr>
            <w:r w:rsidRPr="00F6205B">
              <w:rPr>
                <w:i/>
                <w:sz w:val="20"/>
                <w:szCs w:val="20"/>
              </w:rPr>
              <w:t>180</w:t>
            </w:r>
          </w:p>
        </w:tc>
        <w:tc>
          <w:tcPr>
            <w:tcW w:w="11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1F3216A" w14:textId="77777777" w:rsidR="00C153D7" w:rsidRPr="00F6205B" w:rsidRDefault="00C153D7" w:rsidP="0044249F">
            <w:pPr>
              <w:keepNext/>
              <w:keepLines/>
              <w:spacing w:after="0"/>
              <w:jc w:val="center"/>
              <w:rPr>
                <w:sz w:val="20"/>
                <w:szCs w:val="20"/>
              </w:rPr>
            </w:pPr>
            <w:r w:rsidRPr="00F6205B">
              <w:rPr>
                <w:sz w:val="20"/>
                <w:szCs w:val="20"/>
              </w:rPr>
              <w:t>100%</w:t>
            </w:r>
          </w:p>
        </w:tc>
      </w:tr>
      <w:tr w:rsidR="00C153D7" w:rsidRPr="00F6205B" w14:paraId="32DD3BFF" w14:textId="77777777" w:rsidTr="00040216">
        <w:trPr>
          <w:trHeight w:val="288"/>
          <w:jc w:val="center"/>
        </w:trPr>
        <w:tc>
          <w:tcPr>
            <w:tcW w:w="489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2E48CC4" w14:textId="77777777" w:rsidR="00C153D7" w:rsidRPr="00F6205B" w:rsidRDefault="00C153D7" w:rsidP="0044249F">
            <w:pPr>
              <w:keepNext/>
              <w:keepLines/>
              <w:spacing w:after="0"/>
              <w:jc w:val="right"/>
              <w:rPr>
                <w:sz w:val="20"/>
                <w:szCs w:val="20"/>
              </w:rPr>
            </w:pPr>
            <w:r w:rsidRPr="00F6205B">
              <w:rPr>
                <w:sz w:val="20"/>
                <w:szCs w:val="20"/>
              </w:rPr>
              <w:t>Upgrade clothes washer</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F911F8" w14:textId="77777777" w:rsidR="00C153D7" w:rsidRPr="00F6205B" w:rsidRDefault="00C153D7" w:rsidP="0044249F">
            <w:pPr>
              <w:keepNext/>
              <w:keepLines/>
              <w:spacing w:after="0"/>
              <w:jc w:val="center"/>
              <w:rPr>
                <w:i/>
                <w:sz w:val="20"/>
                <w:szCs w:val="20"/>
              </w:rPr>
            </w:pPr>
            <w:r w:rsidRPr="00F6205B">
              <w:rPr>
                <w:i/>
                <w:sz w:val="20"/>
                <w:szCs w:val="20"/>
              </w:rPr>
              <w:t>177</w:t>
            </w:r>
          </w:p>
        </w:tc>
        <w:tc>
          <w:tcPr>
            <w:tcW w:w="11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2333DF8" w14:textId="77777777" w:rsidR="00C153D7" w:rsidRPr="00F6205B" w:rsidRDefault="00C153D7" w:rsidP="0044249F">
            <w:pPr>
              <w:keepNext/>
              <w:keepLines/>
              <w:spacing w:after="0"/>
              <w:jc w:val="center"/>
              <w:rPr>
                <w:sz w:val="20"/>
                <w:szCs w:val="20"/>
              </w:rPr>
            </w:pPr>
            <w:r w:rsidRPr="00F6205B">
              <w:rPr>
                <w:sz w:val="20"/>
                <w:szCs w:val="20"/>
              </w:rPr>
              <w:t>98%</w:t>
            </w:r>
          </w:p>
        </w:tc>
      </w:tr>
      <w:tr w:rsidR="00C153D7" w:rsidRPr="00F6205B" w14:paraId="55A8FFBA" w14:textId="77777777" w:rsidTr="00040216">
        <w:trPr>
          <w:trHeight w:val="288"/>
          <w:jc w:val="center"/>
        </w:trPr>
        <w:tc>
          <w:tcPr>
            <w:tcW w:w="489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C536480" w14:textId="77777777" w:rsidR="00C153D7" w:rsidRPr="00F6205B" w:rsidRDefault="00C153D7" w:rsidP="0044249F">
            <w:pPr>
              <w:keepNext/>
              <w:keepLines/>
              <w:spacing w:after="0"/>
              <w:jc w:val="right"/>
              <w:rPr>
                <w:sz w:val="20"/>
                <w:szCs w:val="20"/>
              </w:rPr>
            </w:pPr>
            <w:r w:rsidRPr="00F6205B">
              <w:rPr>
                <w:sz w:val="20"/>
                <w:szCs w:val="20"/>
              </w:rPr>
              <w:t>Add flat attic insulation</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436B8C" w14:textId="77777777" w:rsidR="00C153D7" w:rsidRPr="00F6205B" w:rsidRDefault="00C153D7" w:rsidP="0044249F">
            <w:pPr>
              <w:keepNext/>
              <w:keepLines/>
              <w:spacing w:after="0"/>
              <w:jc w:val="center"/>
              <w:rPr>
                <w:i/>
                <w:sz w:val="20"/>
                <w:szCs w:val="20"/>
              </w:rPr>
            </w:pPr>
            <w:r w:rsidRPr="00F6205B">
              <w:rPr>
                <w:i/>
                <w:sz w:val="20"/>
                <w:szCs w:val="20"/>
              </w:rPr>
              <w:t>167</w:t>
            </w:r>
          </w:p>
        </w:tc>
        <w:tc>
          <w:tcPr>
            <w:tcW w:w="11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381CD2C" w14:textId="77777777" w:rsidR="00C153D7" w:rsidRPr="00F6205B" w:rsidRDefault="00C153D7" w:rsidP="0044249F">
            <w:pPr>
              <w:keepNext/>
              <w:keepLines/>
              <w:spacing w:after="0"/>
              <w:jc w:val="center"/>
              <w:rPr>
                <w:sz w:val="20"/>
                <w:szCs w:val="20"/>
              </w:rPr>
            </w:pPr>
            <w:r w:rsidRPr="00F6205B">
              <w:rPr>
                <w:sz w:val="20"/>
                <w:szCs w:val="20"/>
              </w:rPr>
              <w:t>93%</w:t>
            </w:r>
          </w:p>
        </w:tc>
      </w:tr>
      <w:tr w:rsidR="00C153D7" w:rsidRPr="00F6205B" w14:paraId="517A4250" w14:textId="77777777" w:rsidTr="00040216">
        <w:trPr>
          <w:trHeight w:val="288"/>
          <w:jc w:val="center"/>
        </w:trPr>
        <w:tc>
          <w:tcPr>
            <w:tcW w:w="489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F676E64" w14:textId="77777777" w:rsidR="00C153D7" w:rsidRPr="00F6205B" w:rsidRDefault="00C153D7" w:rsidP="0044249F">
            <w:pPr>
              <w:keepNext/>
              <w:keepLines/>
              <w:spacing w:after="0"/>
              <w:jc w:val="right"/>
              <w:rPr>
                <w:sz w:val="20"/>
                <w:szCs w:val="20"/>
              </w:rPr>
            </w:pPr>
            <w:r w:rsidRPr="00F6205B">
              <w:rPr>
                <w:sz w:val="20"/>
                <w:szCs w:val="20"/>
              </w:rPr>
              <w:t>Add above grade wall insulation</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02DAC7" w14:textId="77777777" w:rsidR="00C153D7" w:rsidRPr="00F6205B" w:rsidRDefault="00C153D7" w:rsidP="0044249F">
            <w:pPr>
              <w:keepNext/>
              <w:keepLines/>
              <w:spacing w:after="0"/>
              <w:jc w:val="center"/>
              <w:rPr>
                <w:i/>
                <w:sz w:val="20"/>
                <w:szCs w:val="20"/>
              </w:rPr>
            </w:pPr>
            <w:r w:rsidRPr="00F6205B">
              <w:rPr>
                <w:i/>
                <w:sz w:val="20"/>
                <w:szCs w:val="20"/>
              </w:rPr>
              <w:t>166</w:t>
            </w:r>
          </w:p>
        </w:tc>
        <w:tc>
          <w:tcPr>
            <w:tcW w:w="11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E8FE613" w14:textId="77777777" w:rsidR="00C153D7" w:rsidRPr="00F6205B" w:rsidRDefault="00C153D7" w:rsidP="0044249F">
            <w:pPr>
              <w:keepNext/>
              <w:keepLines/>
              <w:spacing w:after="0"/>
              <w:jc w:val="center"/>
              <w:rPr>
                <w:sz w:val="20"/>
                <w:szCs w:val="20"/>
              </w:rPr>
            </w:pPr>
            <w:r w:rsidRPr="00F6205B">
              <w:rPr>
                <w:sz w:val="20"/>
                <w:szCs w:val="20"/>
              </w:rPr>
              <w:t>92%</w:t>
            </w:r>
          </w:p>
        </w:tc>
      </w:tr>
      <w:tr w:rsidR="00C153D7" w:rsidRPr="00F6205B" w14:paraId="27214691" w14:textId="77777777" w:rsidTr="00040216">
        <w:trPr>
          <w:trHeight w:val="288"/>
          <w:jc w:val="center"/>
        </w:trPr>
        <w:tc>
          <w:tcPr>
            <w:tcW w:w="489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A4EE7FA" w14:textId="77777777" w:rsidR="00C153D7" w:rsidRPr="00F6205B" w:rsidRDefault="00C153D7" w:rsidP="0044249F">
            <w:pPr>
              <w:keepNext/>
              <w:keepLines/>
              <w:spacing w:after="0"/>
              <w:jc w:val="right"/>
              <w:rPr>
                <w:sz w:val="20"/>
                <w:szCs w:val="20"/>
              </w:rPr>
            </w:pPr>
            <w:r w:rsidRPr="00F6205B">
              <w:rPr>
                <w:sz w:val="20"/>
                <w:szCs w:val="20"/>
              </w:rPr>
              <w:t>Upgrade dishwasher</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2657C2" w14:textId="77777777" w:rsidR="00C153D7" w:rsidRPr="00F6205B" w:rsidRDefault="00C153D7" w:rsidP="0044249F">
            <w:pPr>
              <w:keepNext/>
              <w:keepLines/>
              <w:spacing w:after="0"/>
              <w:jc w:val="center"/>
              <w:rPr>
                <w:i/>
                <w:sz w:val="20"/>
                <w:szCs w:val="20"/>
              </w:rPr>
            </w:pPr>
            <w:r w:rsidRPr="00F6205B">
              <w:rPr>
                <w:i/>
                <w:sz w:val="20"/>
                <w:szCs w:val="20"/>
              </w:rPr>
              <w:t>164</w:t>
            </w:r>
          </w:p>
        </w:tc>
        <w:tc>
          <w:tcPr>
            <w:tcW w:w="11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A018391" w14:textId="77777777" w:rsidR="00C153D7" w:rsidRPr="00F6205B" w:rsidRDefault="00C153D7" w:rsidP="0044249F">
            <w:pPr>
              <w:keepNext/>
              <w:keepLines/>
              <w:spacing w:after="0"/>
              <w:jc w:val="center"/>
              <w:rPr>
                <w:sz w:val="20"/>
                <w:szCs w:val="20"/>
              </w:rPr>
            </w:pPr>
            <w:r w:rsidRPr="00F6205B">
              <w:rPr>
                <w:sz w:val="20"/>
                <w:szCs w:val="20"/>
              </w:rPr>
              <w:t>91%</w:t>
            </w:r>
          </w:p>
        </w:tc>
      </w:tr>
      <w:tr w:rsidR="00C153D7" w:rsidRPr="00F6205B" w14:paraId="563AA5AB" w14:textId="77777777" w:rsidTr="00040216">
        <w:trPr>
          <w:trHeight w:val="288"/>
          <w:jc w:val="center"/>
        </w:trPr>
        <w:tc>
          <w:tcPr>
            <w:tcW w:w="489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29CE9F0" w14:textId="77777777" w:rsidR="00C153D7" w:rsidRPr="00F6205B" w:rsidRDefault="00C153D7" w:rsidP="0044249F">
            <w:pPr>
              <w:keepNext/>
              <w:keepLines/>
              <w:spacing w:after="0"/>
              <w:jc w:val="right"/>
              <w:rPr>
                <w:sz w:val="20"/>
                <w:szCs w:val="20"/>
              </w:rPr>
            </w:pPr>
            <w:r w:rsidRPr="00F6205B">
              <w:rPr>
                <w:sz w:val="20"/>
                <w:szCs w:val="20"/>
              </w:rPr>
              <w:t>Add frame floor insulation</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C77E0C" w14:textId="77777777" w:rsidR="00C153D7" w:rsidRPr="00F6205B" w:rsidRDefault="00C153D7" w:rsidP="0044249F">
            <w:pPr>
              <w:keepNext/>
              <w:keepLines/>
              <w:spacing w:after="0"/>
              <w:jc w:val="center"/>
              <w:rPr>
                <w:i/>
                <w:sz w:val="20"/>
                <w:szCs w:val="20"/>
              </w:rPr>
            </w:pPr>
            <w:r w:rsidRPr="00F6205B">
              <w:rPr>
                <w:i/>
                <w:sz w:val="20"/>
                <w:szCs w:val="20"/>
              </w:rPr>
              <w:t>161</w:t>
            </w:r>
          </w:p>
        </w:tc>
        <w:tc>
          <w:tcPr>
            <w:tcW w:w="11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83B4E61" w14:textId="77777777" w:rsidR="00C153D7" w:rsidRPr="00F6205B" w:rsidRDefault="00C153D7" w:rsidP="0044249F">
            <w:pPr>
              <w:keepNext/>
              <w:keepLines/>
              <w:spacing w:after="0"/>
              <w:jc w:val="center"/>
              <w:rPr>
                <w:sz w:val="20"/>
                <w:szCs w:val="20"/>
              </w:rPr>
            </w:pPr>
            <w:r w:rsidRPr="00F6205B">
              <w:rPr>
                <w:sz w:val="20"/>
                <w:szCs w:val="20"/>
              </w:rPr>
              <w:t>89%</w:t>
            </w:r>
          </w:p>
        </w:tc>
      </w:tr>
      <w:tr w:rsidR="00C153D7" w:rsidRPr="00F6205B" w14:paraId="7E828F74" w14:textId="77777777" w:rsidTr="00040216">
        <w:trPr>
          <w:trHeight w:val="288"/>
          <w:jc w:val="center"/>
        </w:trPr>
        <w:tc>
          <w:tcPr>
            <w:tcW w:w="489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2F2876F" w14:textId="77777777" w:rsidR="00C153D7" w:rsidRPr="00F6205B" w:rsidRDefault="00C153D7" w:rsidP="0044249F">
            <w:pPr>
              <w:keepNext/>
              <w:keepLines/>
              <w:spacing w:after="0"/>
              <w:jc w:val="right"/>
              <w:rPr>
                <w:sz w:val="20"/>
                <w:szCs w:val="20"/>
              </w:rPr>
            </w:pPr>
            <w:r w:rsidRPr="00F6205B">
              <w:rPr>
                <w:sz w:val="20"/>
                <w:szCs w:val="20"/>
              </w:rPr>
              <w:t>Reduce air infiltration</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427FE5" w14:textId="77777777" w:rsidR="00C153D7" w:rsidRPr="00F6205B" w:rsidRDefault="00C153D7" w:rsidP="0044249F">
            <w:pPr>
              <w:keepNext/>
              <w:keepLines/>
              <w:spacing w:after="0"/>
              <w:jc w:val="center"/>
              <w:rPr>
                <w:i/>
                <w:sz w:val="20"/>
                <w:szCs w:val="20"/>
              </w:rPr>
            </w:pPr>
            <w:r w:rsidRPr="00F6205B">
              <w:rPr>
                <w:i/>
                <w:sz w:val="20"/>
                <w:szCs w:val="20"/>
              </w:rPr>
              <w:t>143</w:t>
            </w:r>
          </w:p>
        </w:tc>
        <w:tc>
          <w:tcPr>
            <w:tcW w:w="11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B31547A" w14:textId="77777777" w:rsidR="00C153D7" w:rsidRPr="00F6205B" w:rsidRDefault="00C153D7" w:rsidP="0044249F">
            <w:pPr>
              <w:keepNext/>
              <w:keepLines/>
              <w:spacing w:after="0"/>
              <w:jc w:val="center"/>
              <w:rPr>
                <w:sz w:val="20"/>
                <w:szCs w:val="20"/>
              </w:rPr>
            </w:pPr>
            <w:r w:rsidRPr="00F6205B">
              <w:rPr>
                <w:sz w:val="20"/>
                <w:szCs w:val="20"/>
              </w:rPr>
              <w:t>79%</w:t>
            </w:r>
          </w:p>
        </w:tc>
      </w:tr>
      <w:tr w:rsidR="00C153D7" w:rsidRPr="00F6205B" w14:paraId="4162D620" w14:textId="77777777" w:rsidTr="00040216">
        <w:trPr>
          <w:trHeight w:val="288"/>
          <w:jc w:val="center"/>
        </w:trPr>
        <w:tc>
          <w:tcPr>
            <w:tcW w:w="489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1C64BC0" w14:textId="77777777" w:rsidR="00C153D7" w:rsidRPr="00F6205B" w:rsidRDefault="00C153D7" w:rsidP="0044249F">
            <w:pPr>
              <w:keepNext/>
              <w:keepLines/>
              <w:spacing w:after="0"/>
              <w:jc w:val="right"/>
              <w:rPr>
                <w:sz w:val="20"/>
                <w:szCs w:val="20"/>
              </w:rPr>
            </w:pPr>
            <w:r w:rsidRPr="00F6205B">
              <w:rPr>
                <w:sz w:val="20"/>
                <w:szCs w:val="20"/>
              </w:rPr>
              <w:t>Increase water heater tank wrap R-value</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54F345" w14:textId="77777777" w:rsidR="00C153D7" w:rsidRPr="00F6205B" w:rsidRDefault="00C153D7" w:rsidP="0044249F">
            <w:pPr>
              <w:keepNext/>
              <w:keepLines/>
              <w:spacing w:after="0"/>
              <w:jc w:val="center"/>
              <w:rPr>
                <w:i/>
                <w:sz w:val="20"/>
                <w:szCs w:val="20"/>
              </w:rPr>
            </w:pPr>
            <w:r w:rsidRPr="00F6205B">
              <w:rPr>
                <w:i/>
                <w:sz w:val="20"/>
                <w:szCs w:val="20"/>
              </w:rPr>
              <w:t>134</w:t>
            </w:r>
          </w:p>
        </w:tc>
        <w:tc>
          <w:tcPr>
            <w:tcW w:w="11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90574E8" w14:textId="77777777" w:rsidR="00C153D7" w:rsidRPr="00F6205B" w:rsidRDefault="00C153D7" w:rsidP="0044249F">
            <w:pPr>
              <w:keepNext/>
              <w:keepLines/>
              <w:spacing w:after="0"/>
              <w:jc w:val="center"/>
              <w:rPr>
                <w:sz w:val="20"/>
                <w:szCs w:val="20"/>
              </w:rPr>
            </w:pPr>
            <w:r w:rsidRPr="00F6205B">
              <w:rPr>
                <w:sz w:val="20"/>
                <w:szCs w:val="20"/>
              </w:rPr>
              <w:t>74%</w:t>
            </w:r>
          </w:p>
        </w:tc>
      </w:tr>
      <w:tr w:rsidR="00C153D7" w:rsidRPr="00F6205B" w14:paraId="632FE287" w14:textId="77777777" w:rsidTr="00040216">
        <w:trPr>
          <w:trHeight w:val="288"/>
          <w:jc w:val="center"/>
        </w:trPr>
        <w:tc>
          <w:tcPr>
            <w:tcW w:w="489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7BD6E68" w14:textId="77777777" w:rsidR="00C153D7" w:rsidRPr="00F6205B" w:rsidRDefault="00C153D7" w:rsidP="0044249F">
            <w:pPr>
              <w:keepNext/>
              <w:keepLines/>
              <w:spacing w:after="0"/>
              <w:jc w:val="right"/>
              <w:rPr>
                <w:sz w:val="20"/>
                <w:szCs w:val="20"/>
              </w:rPr>
            </w:pPr>
            <w:r w:rsidRPr="00F6205B">
              <w:rPr>
                <w:sz w:val="20"/>
                <w:szCs w:val="20"/>
              </w:rPr>
              <w:t>Add rim joist insulation</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414B06" w14:textId="77777777" w:rsidR="00C153D7" w:rsidRPr="00F6205B" w:rsidRDefault="00C153D7" w:rsidP="0044249F">
            <w:pPr>
              <w:keepNext/>
              <w:keepLines/>
              <w:spacing w:after="0"/>
              <w:jc w:val="center"/>
              <w:rPr>
                <w:i/>
                <w:sz w:val="20"/>
                <w:szCs w:val="20"/>
              </w:rPr>
            </w:pPr>
            <w:r w:rsidRPr="00F6205B">
              <w:rPr>
                <w:i/>
                <w:sz w:val="20"/>
                <w:szCs w:val="20"/>
              </w:rPr>
              <w:t>109</w:t>
            </w:r>
          </w:p>
        </w:tc>
        <w:tc>
          <w:tcPr>
            <w:tcW w:w="11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8E7E459" w14:textId="77777777" w:rsidR="00C153D7" w:rsidRPr="00F6205B" w:rsidRDefault="00C153D7" w:rsidP="0044249F">
            <w:pPr>
              <w:keepNext/>
              <w:keepLines/>
              <w:spacing w:after="0"/>
              <w:jc w:val="center"/>
              <w:rPr>
                <w:sz w:val="20"/>
                <w:szCs w:val="20"/>
              </w:rPr>
            </w:pPr>
            <w:r w:rsidRPr="00F6205B">
              <w:rPr>
                <w:sz w:val="20"/>
                <w:szCs w:val="20"/>
              </w:rPr>
              <w:t>61%</w:t>
            </w:r>
          </w:p>
        </w:tc>
      </w:tr>
      <w:tr w:rsidR="00C153D7" w:rsidRPr="00F6205B" w14:paraId="079BADF2" w14:textId="77777777" w:rsidTr="00040216">
        <w:trPr>
          <w:trHeight w:val="288"/>
          <w:jc w:val="center"/>
        </w:trPr>
        <w:tc>
          <w:tcPr>
            <w:tcW w:w="489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F1237B9" w14:textId="77777777" w:rsidR="00C153D7" w:rsidRPr="00F6205B" w:rsidRDefault="00C153D7" w:rsidP="0044249F">
            <w:pPr>
              <w:keepNext/>
              <w:keepLines/>
              <w:spacing w:after="0"/>
              <w:jc w:val="right"/>
              <w:rPr>
                <w:sz w:val="20"/>
                <w:szCs w:val="20"/>
              </w:rPr>
            </w:pPr>
            <w:r w:rsidRPr="00F6205B">
              <w:rPr>
                <w:sz w:val="20"/>
                <w:szCs w:val="20"/>
              </w:rPr>
              <w:t>Add solar hot water system</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F09684" w14:textId="77777777" w:rsidR="00C153D7" w:rsidRPr="00F6205B" w:rsidRDefault="00C153D7" w:rsidP="0044249F">
            <w:pPr>
              <w:keepNext/>
              <w:keepLines/>
              <w:spacing w:after="0"/>
              <w:jc w:val="center"/>
              <w:rPr>
                <w:i/>
                <w:sz w:val="20"/>
                <w:szCs w:val="20"/>
              </w:rPr>
            </w:pPr>
            <w:r w:rsidRPr="00F6205B">
              <w:rPr>
                <w:i/>
                <w:sz w:val="20"/>
                <w:szCs w:val="20"/>
              </w:rPr>
              <w:t>109</w:t>
            </w:r>
          </w:p>
        </w:tc>
        <w:tc>
          <w:tcPr>
            <w:tcW w:w="11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0CB056C" w14:textId="77777777" w:rsidR="00C153D7" w:rsidRPr="00F6205B" w:rsidRDefault="00C153D7" w:rsidP="0044249F">
            <w:pPr>
              <w:keepNext/>
              <w:keepLines/>
              <w:spacing w:after="0"/>
              <w:jc w:val="center"/>
              <w:rPr>
                <w:sz w:val="20"/>
                <w:szCs w:val="20"/>
              </w:rPr>
            </w:pPr>
            <w:r w:rsidRPr="00F6205B">
              <w:rPr>
                <w:sz w:val="20"/>
                <w:szCs w:val="20"/>
              </w:rPr>
              <w:t>61%</w:t>
            </w:r>
          </w:p>
        </w:tc>
      </w:tr>
      <w:tr w:rsidR="00C153D7" w:rsidRPr="00F6205B" w14:paraId="7E596705" w14:textId="77777777" w:rsidTr="00040216">
        <w:trPr>
          <w:trHeight w:val="288"/>
          <w:jc w:val="center"/>
        </w:trPr>
        <w:tc>
          <w:tcPr>
            <w:tcW w:w="489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A6CC8BF" w14:textId="77777777" w:rsidR="00C153D7" w:rsidRPr="00F6205B" w:rsidRDefault="00C153D7" w:rsidP="0044249F">
            <w:pPr>
              <w:keepNext/>
              <w:keepLines/>
              <w:spacing w:after="0"/>
              <w:jc w:val="right"/>
              <w:rPr>
                <w:sz w:val="20"/>
                <w:szCs w:val="20"/>
              </w:rPr>
            </w:pPr>
            <w:r w:rsidRPr="00F6205B">
              <w:rPr>
                <w:sz w:val="20"/>
                <w:szCs w:val="20"/>
              </w:rPr>
              <w:t>Add photovoltaic array</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5E36B2" w14:textId="77777777" w:rsidR="00C153D7" w:rsidRPr="00F6205B" w:rsidRDefault="00C153D7" w:rsidP="0044249F">
            <w:pPr>
              <w:keepNext/>
              <w:keepLines/>
              <w:spacing w:after="0"/>
              <w:jc w:val="center"/>
              <w:rPr>
                <w:i/>
                <w:sz w:val="20"/>
                <w:szCs w:val="20"/>
              </w:rPr>
            </w:pPr>
            <w:r w:rsidRPr="00F6205B">
              <w:rPr>
                <w:i/>
                <w:sz w:val="20"/>
                <w:szCs w:val="20"/>
              </w:rPr>
              <w:t>108</w:t>
            </w:r>
          </w:p>
        </w:tc>
        <w:tc>
          <w:tcPr>
            <w:tcW w:w="11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B650ABA" w14:textId="77777777" w:rsidR="00C153D7" w:rsidRPr="00F6205B" w:rsidRDefault="00C153D7" w:rsidP="0044249F">
            <w:pPr>
              <w:keepNext/>
              <w:keepLines/>
              <w:spacing w:after="0"/>
              <w:jc w:val="center"/>
              <w:rPr>
                <w:sz w:val="20"/>
                <w:szCs w:val="20"/>
              </w:rPr>
            </w:pPr>
            <w:r w:rsidRPr="00F6205B">
              <w:rPr>
                <w:sz w:val="20"/>
                <w:szCs w:val="20"/>
              </w:rPr>
              <w:t>60%</w:t>
            </w:r>
          </w:p>
        </w:tc>
      </w:tr>
      <w:tr w:rsidR="00C153D7" w:rsidRPr="00F6205B" w14:paraId="2657FE82" w14:textId="77777777" w:rsidTr="00040216">
        <w:trPr>
          <w:trHeight w:val="288"/>
          <w:jc w:val="center"/>
        </w:trPr>
        <w:tc>
          <w:tcPr>
            <w:tcW w:w="489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6D228C5" w14:textId="77777777" w:rsidR="00C153D7" w:rsidRPr="00F6205B" w:rsidRDefault="00C153D7" w:rsidP="0044249F">
            <w:pPr>
              <w:keepNext/>
              <w:keepLines/>
              <w:spacing w:after="0"/>
              <w:jc w:val="right"/>
              <w:rPr>
                <w:sz w:val="20"/>
                <w:szCs w:val="20"/>
              </w:rPr>
            </w:pPr>
            <w:r w:rsidRPr="00F6205B">
              <w:rPr>
                <w:sz w:val="20"/>
                <w:szCs w:val="20"/>
              </w:rPr>
              <w:t>Add foundation wall insulation</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72F472" w14:textId="77777777" w:rsidR="00C153D7" w:rsidRPr="00F6205B" w:rsidRDefault="00C153D7" w:rsidP="0044249F">
            <w:pPr>
              <w:keepNext/>
              <w:keepLines/>
              <w:spacing w:after="0"/>
              <w:jc w:val="center"/>
              <w:rPr>
                <w:i/>
                <w:sz w:val="20"/>
                <w:szCs w:val="20"/>
              </w:rPr>
            </w:pPr>
            <w:r w:rsidRPr="00F6205B">
              <w:rPr>
                <w:i/>
                <w:sz w:val="20"/>
                <w:szCs w:val="20"/>
              </w:rPr>
              <w:t>91</w:t>
            </w:r>
          </w:p>
        </w:tc>
        <w:tc>
          <w:tcPr>
            <w:tcW w:w="11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0187BF3" w14:textId="77777777" w:rsidR="00C153D7" w:rsidRPr="00F6205B" w:rsidRDefault="00C153D7" w:rsidP="0044249F">
            <w:pPr>
              <w:keepNext/>
              <w:keepLines/>
              <w:spacing w:after="0"/>
              <w:jc w:val="center"/>
              <w:rPr>
                <w:sz w:val="20"/>
                <w:szCs w:val="20"/>
              </w:rPr>
            </w:pPr>
            <w:r w:rsidRPr="00F6205B">
              <w:rPr>
                <w:sz w:val="20"/>
                <w:szCs w:val="20"/>
              </w:rPr>
              <w:t>51%</w:t>
            </w:r>
          </w:p>
        </w:tc>
      </w:tr>
      <w:tr w:rsidR="00C153D7" w:rsidRPr="00F6205B" w14:paraId="0332BC48" w14:textId="77777777" w:rsidTr="00040216">
        <w:trPr>
          <w:trHeight w:val="288"/>
          <w:jc w:val="center"/>
        </w:trPr>
        <w:tc>
          <w:tcPr>
            <w:tcW w:w="489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8CB83EA" w14:textId="77777777" w:rsidR="00C153D7" w:rsidRPr="00F6205B" w:rsidRDefault="00C153D7" w:rsidP="0044249F">
            <w:pPr>
              <w:keepNext/>
              <w:keepLines/>
              <w:spacing w:after="0"/>
              <w:jc w:val="right"/>
              <w:rPr>
                <w:sz w:val="20"/>
                <w:szCs w:val="20"/>
              </w:rPr>
            </w:pPr>
            <w:r w:rsidRPr="00F6205B">
              <w:rPr>
                <w:sz w:val="20"/>
                <w:szCs w:val="20"/>
              </w:rPr>
              <w:t>Increase oil boiler AFUE</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9074CF" w14:textId="77777777" w:rsidR="00C153D7" w:rsidRPr="00F6205B" w:rsidRDefault="00C153D7" w:rsidP="0044249F">
            <w:pPr>
              <w:keepNext/>
              <w:keepLines/>
              <w:spacing w:after="0"/>
              <w:jc w:val="center"/>
              <w:rPr>
                <w:i/>
                <w:sz w:val="20"/>
                <w:szCs w:val="20"/>
              </w:rPr>
            </w:pPr>
            <w:r w:rsidRPr="00F6205B">
              <w:rPr>
                <w:i/>
                <w:sz w:val="20"/>
                <w:szCs w:val="20"/>
              </w:rPr>
              <w:t>83</w:t>
            </w:r>
          </w:p>
        </w:tc>
        <w:tc>
          <w:tcPr>
            <w:tcW w:w="11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ADE0A03" w14:textId="77777777" w:rsidR="00C153D7" w:rsidRPr="00F6205B" w:rsidRDefault="00C153D7" w:rsidP="0044249F">
            <w:pPr>
              <w:keepNext/>
              <w:keepLines/>
              <w:spacing w:after="0"/>
              <w:jc w:val="center"/>
              <w:rPr>
                <w:sz w:val="20"/>
                <w:szCs w:val="20"/>
              </w:rPr>
            </w:pPr>
            <w:r w:rsidRPr="00F6205B">
              <w:rPr>
                <w:sz w:val="20"/>
                <w:szCs w:val="20"/>
              </w:rPr>
              <w:t>46%</w:t>
            </w:r>
          </w:p>
        </w:tc>
      </w:tr>
      <w:tr w:rsidR="00C153D7" w:rsidRPr="00F6205B" w14:paraId="6284E3DB" w14:textId="77777777" w:rsidTr="00040216">
        <w:trPr>
          <w:trHeight w:val="288"/>
          <w:jc w:val="center"/>
        </w:trPr>
        <w:tc>
          <w:tcPr>
            <w:tcW w:w="489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C6DC98E" w14:textId="77777777" w:rsidR="00C153D7" w:rsidRPr="00F6205B" w:rsidRDefault="00C153D7" w:rsidP="0044249F">
            <w:pPr>
              <w:keepNext/>
              <w:keepLines/>
              <w:spacing w:after="0"/>
              <w:jc w:val="right"/>
              <w:rPr>
                <w:sz w:val="20"/>
                <w:szCs w:val="20"/>
              </w:rPr>
            </w:pPr>
            <w:r w:rsidRPr="00F6205B">
              <w:rPr>
                <w:sz w:val="20"/>
                <w:szCs w:val="20"/>
              </w:rPr>
              <w:t>Add vaulted ceiling insulation</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DA3DA8" w14:textId="77777777" w:rsidR="00C153D7" w:rsidRPr="00F6205B" w:rsidRDefault="00C153D7" w:rsidP="0044249F">
            <w:pPr>
              <w:keepNext/>
              <w:keepLines/>
              <w:spacing w:after="0"/>
              <w:jc w:val="center"/>
              <w:rPr>
                <w:i/>
                <w:sz w:val="20"/>
                <w:szCs w:val="20"/>
              </w:rPr>
            </w:pPr>
            <w:r w:rsidRPr="00F6205B">
              <w:rPr>
                <w:i/>
                <w:sz w:val="20"/>
                <w:szCs w:val="20"/>
              </w:rPr>
              <w:t>78</w:t>
            </w:r>
          </w:p>
        </w:tc>
        <w:tc>
          <w:tcPr>
            <w:tcW w:w="11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17C242F" w14:textId="77777777" w:rsidR="00C153D7" w:rsidRPr="00F6205B" w:rsidRDefault="00C153D7" w:rsidP="0044249F">
            <w:pPr>
              <w:keepNext/>
              <w:keepLines/>
              <w:spacing w:after="0"/>
              <w:jc w:val="center"/>
              <w:rPr>
                <w:sz w:val="20"/>
                <w:szCs w:val="20"/>
              </w:rPr>
            </w:pPr>
            <w:r w:rsidRPr="00F6205B">
              <w:rPr>
                <w:sz w:val="20"/>
                <w:szCs w:val="20"/>
              </w:rPr>
              <w:t>43%</w:t>
            </w:r>
          </w:p>
        </w:tc>
      </w:tr>
      <w:tr w:rsidR="00C153D7" w:rsidRPr="00F6205B" w14:paraId="4ABD450C" w14:textId="77777777" w:rsidTr="00040216">
        <w:trPr>
          <w:trHeight w:val="288"/>
          <w:jc w:val="center"/>
        </w:trPr>
        <w:tc>
          <w:tcPr>
            <w:tcW w:w="489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F263F06" w14:textId="77777777" w:rsidR="00C153D7" w:rsidRPr="00F6205B" w:rsidRDefault="00C153D7" w:rsidP="0044249F">
            <w:pPr>
              <w:keepNext/>
              <w:keepLines/>
              <w:spacing w:after="0"/>
              <w:jc w:val="right"/>
              <w:rPr>
                <w:sz w:val="20"/>
                <w:szCs w:val="20"/>
              </w:rPr>
            </w:pPr>
            <w:r w:rsidRPr="00F6205B">
              <w:rPr>
                <w:sz w:val="20"/>
                <w:szCs w:val="20"/>
              </w:rPr>
              <w:t>Add duct insulation</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4C8354" w14:textId="77777777" w:rsidR="00C153D7" w:rsidRPr="00F6205B" w:rsidRDefault="00C153D7" w:rsidP="0044249F">
            <w:pPr>
              <w:keepNext/>
              <w:keepLines/>
              <w:spacing w:after="0"/>
              <w:jc w:val="center"/>
              <w:rPr>
                <w:i/>
                <w:sz w:val="20"/>
                <w:szCs w:val="20"/>
              </w:rPr>
            </w:pPr>
            <w:r w:rsidRPr="00F6205B">
              <w:rPr>
                <w:i/>
                <w:sz w:val="20"/>
                <w:szCs w:val="20"/>
              </w:rPr>
              <w:t>78</w:t>
            </w:r>
          </w:p>
        </w:tc>
        <w:tc>
          <w:tcPr>
            <w:tcW w:w="11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756DF32" w14:textId="77777777" w:rsidR="00C153D7" w:rsidRPr="00F6205B" w:rsidRDefault="00C153D7" w:rsidP="0044249F">
            <w:pPr>
              <w:keepNext/>
              <w:keepLines/>
              <w:spacing w:after="0"/>
              <w:jc w:val="center"/>
              <w:rPr>
                <w:sz w:val="20"/>
                <w:szCs w:val="20"/>
              </w:rPr>
            </w:pPr>
            <w:r w:rsidRPr="00F6205B">
              <w:rPr>
                <w:sz w:val="20"/>
                <w:szCs w:val="20"/>
              </w:rPr>
              <w:t>43%</w:t>
            </w:r>
          </w:p>
        </w:tc>
      </w:tr>
      <w:tr w:rsidR="00C153D7" w:rsidRPr="00F6205B" w14:paraId="37128266" w14:textId="77777777" w:rsidTr="00040216">
        <w:trPr>
          <w:trHeight w:val="288"/>
          <w:jc w:val="center"/>
        </w:trPr>
        <w:tc>
          <w:tcPr>
            <w:tcW w:w="4896" w:type="dxa"/>
            <w:tcBorders>
              <w:top w:val="single" w:sz="4" w:space="0" w:color="000000" w:themeColor="text1"/>
              <w:left w:val="single" w:sz="4" w:space="0" w:color="auto"/>
              <w:bottom w:val="single" w:sz="4" w:space="0" w:color="auto"/>
              <w:right w:val="single" w:sz="4" w:space="0" w:color="000000" w:themeColor="text1"/>
            </w:tcBorders>
            <w:vAlign w:val="center"/>
          </w:tcPr>
          <w:p w14:paraId="5A0ECCED" w14:textId="77777777" w:rsidR="00C153D7" w:rsidRPr="00F6205B" w:rsidRDefault="00C153D7" w:rsidP="0044249F">
            <w:pPr>
              <w:keepNext/>
              <w:keepLines/>
              <w:spacing w:after="0"/>
              <w:jc w:val="right"/>
              <w:rPr>
                <w:sz w:val="20"/>
                <w:szCs w:val="20"/>
              </w:rPr>
            </w:pPr>
            <w:r w:rsidRPr="00F6205B">
              <w:rPr>
                <w:sz w:val="20"/>
                <w:szCs w:val="20"/>
              </w:rPr>
              <w:t>Reduce duct leakage</w:t>
            </w:r>
          </w:p>
        </w:tc>
        <w:tc>
          <w:tcPr>
            <w:tcW w:w="847"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4D88BB3" w14:textId="77777777" w:rsidR="00C153D7" w:rsidRPr="00F6205B" w:rsidRDefault="00C153D7" w:rsidP="0044249F">
            <w:pPr>
              <w:keepNext/>
              <w:keepLines/>
              <w:spacing w:after="0"/>
              <w:jc w:val="center"/>
              <w:rPr>
                <w:i/>
                <w:sz w:val="20"/>
                <w:szCs w:val="20"/>
              </w:rPr>
            </w:pPr>
            <w:r w:rsidRPr="00F6205B">
              <w:rPr>
                <w:i/>
                <w:sz w:val="20"/>
                <w:szCs w:val="20"/>
              </w:rPr>
              <w:t>74</w:t>
            </w:r>
          </w:p>
        </w:tc>
        <w:tc>
          <w:tcPr>
            <w:tcW w:w="1152" w:type="dxa"/>
            <w:tcBorders>
              <w:top w:val="single" w:sz="4" w:space="0" w:color="000000" w:themeColor="text1"/>
              <w:left w:val="single" w:sz="4" w:space="0" w:color="000000" w:themeColor="text1"/>
              <w:bottom w:val="single" w:sz="4" w:space="0" w:color="auto"/>
              <w:right w:val="single" w:sz="4" w:space="0" w:color="auto"/>
            </w:tcBorders>
            <w:vAlign w:val="center"/>
          </w:tcPr>
          <w:p w14:paraId="0273FF37" w14:textId="77777777" w:rsidR="00C153D7" w:rsidRPr="00F6205B" w:rsidRDefault="00C153D7" w:rsidP="0044249F">
            <w:pPr>
              <w:keepNext/>
              <w:keepLines/>
              <w:spacing w:after="0"/>
              <w:jc w:val="center"/>
              <w:rPr>
                <w:sz w:val="20"/>
                <w:szCs w:val="20"/>
              </w:rPr>
            </w:pPr>
            <w:r w:rsidRPr="00F6205B">
              <w:rPr>
                <w:sz w:val="20"/>
                <w:szCs w:val="20"/>
              </w:rPr>
              <w:t>41%</w:t>
            </w:r>
          </w:p>
        </w:tc>
      </w:tr>
    </w:tbl>
    <w:p w14:paraId="5C215D58" w14:textId="4ABB4E5F" w:rsidR="00C153D7" w:rsidRPr="00F6205B" w:rsidRDefault="000F5ED7" w:rsidP="001D11CA">
      <w:pPr>
        <w:keepNext/>
        <w:keepLines/>
        <w:ind w:left="1080" w:right="1008"/>
        <w:rPr>
          <w:sz w:val="18"/>
          <w:szCs w:val="20"/>
        </w:rPr>
      </w:pPr>
      <w:r w:rsidRPr="00F6205B">
        <w:rPr>
          <w:sz w:val="18"/>
          <w:szCs w:val="20"/>
        </w:rPr>
        <w:t>* C</w:t>
      </w:r>
      <w:r w:rsidR="00C153D7" w:rsidRPr="00F6205B">
        <w:rPr>
          <w:sz w:val="18"/>
          <w:szCs w:val="20"/>
        </w:rPr>
        <w:t>entral heating systems were upgraded for a portion of the sample. While ductless mini-splits were included in every model</w:t>
      </w:r>
      <w:r w:rsidRPr="00F6205B">
        <w:rPr>
          <w:sz w:val="18"/>
          <w:szCs w:val="20"/>
        </w:rPr>
        <w:t>,</w:t>
      </w:r>
      <w:r w:rsidR="00C153D7" w:rsidRPr="00F6205B">
        <w:rPr>
          <w:sz w:val="18"/>
          <w:szCs w:val="20"/>
        </w:rPr>
        <w:t xml:space="preserve"> they were sized to meet the cooling load of each home, not the heating load. As a result, the existing heating equipment was modeled to fulfill the remainder of the heating load and was upgraded where applicable. </w:t>
      </w:r>
    </w:p>
    <w:p w14:paraId="0706E518" w14:textId="77777777" w:rsidR="00C153D7" w:rsidRPr="00F6205B" w:rsidRDefault="00C153D7" w:rsidP="00C153D7">
      <w:pPr>
        <w:tabs>
          <w:tab w:val="left" w:pos="1902"/>
        </w:tabs>
      </w:pPr>
    </w:p>
    <w:p w14:paraId="2E8F8151" w14:textId="7DBB6934" w:rsidR="00C153D7" w:rsidRPr="00F6205B" w:rsidRDefault="00C153D7" w:rsidP="006F1BB3">
      <w:pPr>
        <w:pStyle w:val="Caption"/>
      </w:pPr>
      <w:bookmarkStart w:id="83" w:name="_Ref366829502"/>
      <w:bookmarkStart w:id="84" w:name="_Ref439254430"/>
      <w:bookmarkStart w:id="85" w:name="_Toc373324112"/>
      <w:bookmarkStart w:id="86" w:name="_Toc391887339"/>
      <w:bookmarkStart w:id="87" w:name="_Toc439931834"/>
      <w:r w:rsidRPr="00F6205B">
        <w:lastRenderedPageBreak/>
        <w:t>Table</w:t>
      </w:r>
      <w:bookmarkEnd w:id="83"/>
      <w:r w:rsidR="006F1BB3" w:rsidRPr="00F6205B">
        <w:t xml:space="preserve"> </w:t>
      </w:r>
      <w:fldSimple w:instr=" SEQ Table \* ARABIC ">
        <w:r w:rsidR="00FA26A9">
          <w:rPr>
            <w:noProof/>
          </w:rPr>
          <w:t>3</w:t>
        </w:r>
      </w:fldSimple>
      <w:bookmarkEnd w:id="84"/>
      <w:r w:rsidRPr="00F6205B">
        <w:t>: Measures Included in Comprehensiv</w:t>
      </w:r>
      <w:r w:rsidR="004E399C" w:rsidRPr="00F6205B">
        <w:t>e Technical Potential Model Run (</w:t>
      </w:r>
      <w:r w:rsidRPr="00F6205B">
        <w:t>Less Common</w:t>
      </w:r>
      <w:r w:rsidR="004E399C" w:rsidRPr="00F6205B">
        <w:t>)</w:t>
      </w:r>
      <w:r w:rsidRPr="00F6205B">
        <w:t>*</w:t>
      </w:r>
      <w:bookmarkEnd w:id="85"/>
      <w:bookmarkEnd w:id="86"/>
      <w:bookmarkEnd w:id="87"/>
    </w:p>
    <w:tbl>
      <w:tblPr>
        <w:tblW w:w="7384"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5385"/>
        <w:gridCol w:w="847"/>
        <w:gridCol w:w="1152"/>
      </w:tblGrid>
      <w:tr w:rsidR="00C153D7" w:rsidRPr="00F6205B" w14:paraId="3AA6E7D0" w14:textId="77777777" w:rsidTr="001C779B">
        <w:trPr>
          <w:trHeight w:val="288"/>
          <w:jc w:val="center"/>
        </w:trPr>
        <w:tc>
          <w:tcPr>
            <w:tcW w:w="5385" w:type="dxa"/>
            <w:tcBorders>
              <w:top w:val="single" w:sz="4" w:space="0" w:color="auto"/>
              <w:left w:val="single" w:sz="4" w:space="0" w:color="auto"/>
              <w:bottom w:val="single" w:sz="4" w:space="0" w:color="auto"/>
              <w:right w:val="single" w:sz="4" w:space="0" w:color="000000" w:themeColor="text1"/>
            </w:tcBorders>
            <w:shd w:val="clear" w:color="auto" w:fill="0B4D2C" w:themeFill="background2" w:themeFillShade="BF"/>
            <w:vAlign w:val="center"/>
          </w:tcPr>
          <w:p w14:paraId="5260D1B9" w14:textId="77777777" w:rsidR="00C153D7" w:rsidRPr="00F6205B" w:rsidRDefault="00C153D7" w:rsidP="00876EB2">
            <w:pPr>
              <w:keepNext/>
              <w:keepLines/>
              <w:spacing w:after="0"/>
              <w:rPr>
                <w:color w:val="FFFFFF" w:themeColor="background1"/>
                <w:sz w:val="20"/>
                <w:szCs w:val="20"/>
              </w:rPr>
            </w:pPr>
            <w:r w:rsidRPr="00F6205B">
              <w:rPr>
                <w:b/>
                <w:color w:val="FFFFFF" w:themeColor="background1"/>
                <w:sz w:val="20"/>
                <w:szCs w:val="20"/>
              </w:rPr>
              <w:t>Measure</w:t>
            </w:r>
          </w:p>
        </w:tc>
        <w:tc>
          <w:tcPr>
            <w:tcW w:w="847" w:type="dxa"/>
            <w:tcBorders>
              <w:top w:val="single" w:sz="4" w:space="0" w:color="auto"/>
              <w:left w:val="single" w:sz="4" w:space="0" w:color="000000" w:themeColor="text1"/>
              <w:bottom w:val="single" w:sz="4" w:space="0" w:color="auto"/>
              <w:right w:val="single" w:sz="4" w:space="0" w:color="000000" w:themeColor="text1"/>
            </w:tcBorders>
            <w:shd w:val="clear" w:color="auto" w:fill="0B4D2C" w:themeFill="background2" w:themeFillShade="BF"/>
            <w:vAlign w:val="center"/>
          </w:tcPr>
          <w:p w14:paraId="675A831E" w14:textId="14459057" w:rsidR="00C153D7" w:rsidRPr="00F6205B" w:rsidRDefault="00876EB2" w:rsidP="0044249F">
            <w:pPr>
              <w:keepNext/>
              <w:keepLines/>
              <w:spacing w:after="0"/>
              <w:jc w:val="center"/>
              <w:rPr>
                <w:i/>
                <w:color w:val="FFFFFF" w:themeColor="background1"/>
                <w:sz w:val="20"/>
                <w:szCs w:val="20"/>
              </w:rPr>
            </w:pPr>
            <w:r w:rsidRPr="00F6205B">
              <w:rPr>
                <w:b/>
                <w:i/>
                <w:color w:val="FFFFFF" w:themeColor="background1"/>
                <w:sz w:val="20"/>
                <w:szCs w:val="20"/>
              </w:rPr>
              <w:t>N</w:t>
            </w:r>
          </w:p>
        </w:tc>
        <w:tc>
          <w:tcPr>
            <w:tcW w:w="1152" w:type="dxa"/>
            <w:tcBorders>
              <w:top w:val="single" w:sz="4" w:space="0" w:color="auto"/>
              <w:left w:val="single" w:sz="4" w:space="0" w:color="000000" w:themeColor="text1"/>
              <w:bottom w:val="single" w:sz="4" w:space="0" w:color="auto"/>
              <w:right w:val="single" w:sz="4" w:space="0" w:color="auto"/>
            </w:tcBorders>
            <w:shd w:val="clear" w:color="auto" w:fill="0B4D2C" w:themeFill="background2" w:themeFillShade="BF"/>
            <w:vAlign w:val="center"/>
          </w:tcPr>
          <w:p w14:paraId="1664F8BB" w14:textId="701C607C" w:rsidR="00C153D7" w:rsidRPr="00F6205B" w:rsidRDefault="00876EB2" w:rsidP="0044249F">
            <w:pPr>
              <w:keepNext/>
              <w:keepLines/>
              <w:spacing w:after="0"/>
              <w:jc w:val="center"/>
              <w:rPr>
                <w:color w:val="FFFFFF" w:themeColor="background1"/>
                <w:sz w:val="20"/>
                <w:szCs w:val="20"/>
              </w:rPr>
            </w:pPr>
            <w:r w:rsidRPr="00F6205B">
              <w:rPr>
                <w:b/>
                <w:color w:val="FFFFFF" w:themeColor="background1"/>
                <w:sz w:val="20"/>
                <w:szCs w:val="20"/>
              </w:rPr>
              <w:t>Percent</w:t>
            </w:r>
            <w:r w:rsidR="00C153D7" w:rsidRPr="00F6205B">
              <w:rPr>
                <w:b/>
                <w:color w:val="FFFFFF" w:themeColor="background1"/>
                <w:sz w:val="20"/>
                <w:szCs w:val="20"/>
              </w:rPr>
              <w:t xml:space="preserve"> of Sites</w:t>
            </w:r>
          </w:p>
        </w:tc>
      </w:tr>
      <w:tr w:rsidR="00C153D7" w:rsidRPr="00F6205B" w14:paraId="18420FC1" w14:textId="77777777" w:rsidTr="00876EB2">
        <w:trPr>
          <w:trHeight w:val="288"/>
          <w:jc w:val="center"/>
        </w:trPr>
        <w:tc>
          <w:tcPr>
            <w:tcW w:w="5385" w:type="dxa"/>
            <w:tcBorders>
              <w:top w:val="single" w:sz="4" w:space="0" w:color="auto"/>
              <w:left w:val="single" w:sz="4" w:space="0" w:color="auto"/>
              <w:bottom w:val="single" w:sz="4" w:space="0" w:color="000000" w:themeColor="text1"/>
              <w:right w:val="single" w:sz="4" w:space="0" w:color="000000" w:themeColor="text1"/>
            </w:tcBorders>
            <w:vAlign w:val="center"/>
          </w:tcPr>
          <w:p w14:paraId="3017F426" w14:textId="77777777" w:rsidR="00C153D7" w:rsidRPr="00F6205B" w:rsidRDefault="00C153D7" w:rsidP="00876EB2">
            <w:pPr>
              <w:keepNext/>
              <w:keepLines/>
              <w:spacing w:after="0"/>
              <w:rPr>
                <w:sz w:val="20"/>
                <w:szCs w:val="20"/>
              </w:rPr>
            </w:pPr>
            <w:r w:rsidRPr="00F6205B">
              <w:rPr>
                <w:sz w:val="20"/>
                <w:szCs w:val="20"/>
              </w:rPr>
              <w:t>Upgrade freezer</w:t>
            </w:r>
          </w:p>
        </w:tc>
        <w:tc>
          <w:tcPr>
            <w:tcW w:w="847"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1FE2AA0" w14:textId="77777777" w:rsidR="00C153D7" w:rsidRPr="00F6205B" w:rsidRDefault="00C153D7" w:rsidP="0044249F">
            <w:pPr>
              <w:keepNext/>
              <w:keepLines/>
              <w:spacing w:after="0"/>
              <w:jc w:val="center"/>
              <w:rPr>
                <w:i/>
                <w:sz w:val="20"/>
                <w:szCs w:val="20"/>
              </w:rPr>
            </w:pPr>
            <w:r w:rsidRPr="00F6205B">
              <w:rPr>
                <w:i/>
                <w:sz w:val="20"/>
                <w:szCs w:val="20"/>
              </w:rPr>
              <w:t>60</w:t>
            </w:r>
          </w:p>
        </w:tc>
        <w:tc>
          <w:tcPr>
            <w:tcW w:w="1152" w:type="dxa"/>
            <w:tcBorders>
              <w:top w:val="single" w:sz="4" w:space="0" w:color="auto"/>
              <w:left w:val="single" w:sz="4" w:space="0" w:color="000000" w:themeColor="text1"/>
              <w:bottom w:val="single" w:sz="4" w:space="0" w:color="000000" w:themeColor="text1"/>
              <w:right w:val="single" w:sz="4" w:space="0" w:color="auto"/>
            </w:tcBorders>
            <w:vAlign w:val="center"/>
          </w:tcPr>
          <w:p w14:paraId="2EB60748" w14:textId="77777777" w:rsidR="00C153D7" w:rsidRPr="00F6205B" w:rsidRDefault="00C153D7" w:rsidP="0044249F">
            <w:pPr>
              <w:keepNext/>
              <w:keepLines/>
              <w:spacing w:after="0"/>
              <w:jc w:val="center"/>
              <w:rPr>
                <w:sz w:val="20"/>
                <w:szCs w:val="20"/>
              </w:rPr>
            </w:pPr>
            <w:r w:rsidRPr="00F6205B">
              <w:rPr>
                <w:sz w:val="20"/>
                <w:szCs w:val="20"/>
              </w:rPr>
              <w:t>33%</w:t>
            </w:r>
          </w:p>
        </w:tc>
      </w:tr>
      <w:tr w:rsidR="00C153D7" w:rsidRPr="00F6205B" w14:paraId="0AA67504" w14:textId="77777777" w:rsidTr="00876EB2">
        <w:trPr>
          <w:trHeight w:val="288"/>
          <w:jc w:val="center"/>
        </w:trPr>
        <w:tc>
          <w:tcPr>
            <w:tcW w:w="538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963143D" w14:textId="77777777" w:rsidR="00C153D7" w:rsidRPr="00F6205B" w:rsidRDefault="00C153D7" w:rsidP="00876EB2">
            <w:pPr>
              <w:keepNext/>
              <w:keepLines/>
              <w:spacing w:after="0"/>
              <w:rPr>
                <w:sz w:val="20"/>
                <w:szCs w:val="20"/>
              </w:rPr>
            </w:pPr>
            <w:r w:rsidRPr="00F6205B">
              <w:rPr>
                <w:sz w:val="20"/>
                <w:szCs w:val="20"/>
              </w:rPr>
              <w:t>Install ECM fan motor</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0C39AF" w14:textId="77777777" w:rsidR="00C153D7" w:rsidRPr="00F6205B" w:rsidRDefault="00C153D7" w:rsidP="0044249F">
            <w:pPr>
              <w:keepNext/>
              <w:keepLines/>
              <w:spacing w:after="0"/>
              <w:jc w:val="center"/>
              <w:rPr>
                <w:i/>
                <w:sz w:val="20"/>
                <w:szCs w:val="20"/>
              </w:rPr>
            </w:pPr>
            <w:r w:rsidRPr="00F6205B">
              <w:rPr>
                <w:i/>
                <w:sz w:val="20"/>
                <w:szCs w:val="20"/>
              </w:rPr>
              <w:t>53</w:t>
            </w:r>
          </w:p>
        </w:tc>
        <w:tc>
          <w:tcPr>
            <w:tcW w:w="11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50DBA07" w14:textId="77777777" w:rsidR="00C153D7" w:rsidRPr="00F6205B" w:rsidRDefault="00C153D7" w:rsidP="0044249F">
            <w:pPr>
              <w:keepNext/>
              <w:keepLines/>
              <w:spacing w:after="0"/>
              <w:jc w:val="center"/>
              <w:rPr>
                <w:sz w:val="20"/>
                <w:szCs w:val="20"/>
              </w:rPr>
            </w:pPr>
            <w:r w:rsidRPr="00F6205B">
              <w:rPr>
                <w:sz w:val="20"/>
                <w:szCs w:val="20"/>
              </w:rPr>
              <w:t>29%</w:t>
            </w:r>
          </w:p>
        </w:tc>
      </w:tr>
      <w:tr w:rsidR="00C153D7" w:rsidRPr="00F6205B" w14:paraId="0FA6292E" w14:textId="77777777" w:rsidTr="00876EB2">
        <w:trPr>
          <w:trHeight w:val="288"/>
          <w:jc w:val="center"/>
        </w:trPr>
        <w:tc>
          <w:tcPr>
            <w:tcW w:w="538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EE3BF18" w14:textId="77777777" w:rsidR="00C153D7" w:rsidRPr="00F6205B" w:rsidRDefault="00C153D7" w:rsidP="00876EB2">
            <w:pPr>
              <w:keepNext/>
              <w:keepLines/>
              <w:spacing w:after="0"/>
              <w:rPr>
                <w:sz w:val="20"/>
                <w:szCs w:val="20"/>
              </w:rPr>
            </w:pPr>
            <w:r w:rsidRPr="00F6205B">
              <w:rPr>
                <w:sz w:val="20"/>
                <w:szCs w:val="20"/>
              </w:rPr>
              <w:t>Upgrade dehumidifier</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26CEBD" w14:textId="77777777" w:rsidR="00C153D7" w:rsidRPr="00F6205B" w:rsidRDefault="00C153D7" w:rsidP="0044249F">
            <w:pPr>
              <w:keepNext/>
              <w:keepLines/>
              <w:spacing w:after="0"/>
              <w:jc w:val="center"/>
              <w:rPr>
                <w:i/>
                <w:sz w:val="20"/>
                <w:szCs w:val="20"/>
              </w:rPr>
            </w:pPr>
            <w:r w:rsidRPr="00F6205B">
              <w:rPr>
                <w:i/>
                <w:sz w:val="20"/>
                <w:szCs w:val="20"/>
              </w:rPr>
              <w:t>49</w:t>
            </w:r>
          </w:p>
        </w:tc>
        <w:tc>
          <w:tcPr>
            <w:tcW w:w="11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5D60C64" w14:textId="77777777" w:rsidR="00C153D7" w:rsidRPr="00F6205B" w:rsidRDefault="00C153D7" w:rsidP="0044249F">
            <w:pPr>
              <w:keepNext/>
              <w:keepLines/>
              <w:spacing w:after="0"/>
              <w:jc w:val="center"/>
              <w:rPr>
                <w:sz w:val="20"/>
                <w:szCs w:val="20"/>
              </w:rPr>
            </w:pPr>
            <w:r w:rsidRPr="00F6205B">
              <w:rPr>
                <w:sz w:val="20"/>
                <w:szCs w:val="20"/>
              </w:rPr>
              <w:t>27%</w:t>
            </w:r>
          </w:p>
        </w:tc>
      </w:tr>
      <w:tr w:rsidR="00C153D7" w:rsidRPr="00F6205B" w14:paraId="0CB07C66" w14:textId="77777777" w:rsidTr="00876EB2">
        <w:trPr>
          <w:trHeight w:val="288"/>
          <w:jc w:val="center"/>
        </w:trPr>
        <w:tc>
          <w:tcPr>
            <w:tcW w:w="538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4867CCF" w14:textId="77777777" w:rsidR="00C153D7" w:rsidRPr="00F6205B" w:rsidRDefault="00C153D7" w:rsidP="00876EB2">
            <w:pPr>
              <w:keepNext/>
              <w:keepLines/>
              <w:spacing w:after="0"/>
              <w:rPr>
                <w:sz w:val="20"/>
                <w:szCs w:val="20"/>
              </w:rPr>
            </w:pPr>
            <w:r w:rsidRPr="00F6205B">
              <w:rPr>
                <w:sz w:val="20"/>
                <w:szCs w:val="20"/>
              </w:rPr>
              <w:t>Replace gas storage water heater with instantaneous</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6F0CC1" w14:textId="77777777" w:rsidR="00C153D7" w:rsidRPr="00F6205B" w:rsidRDefault="00C153D7" w:rsidP="0044249F">
            <w:pPr>
              <w:keepNext/>
              <w:keepLines/>
              <w:spacing w:after="0"/>
              <w:jc w:val="center"/>
              <w:rPr>
                <w:i/>
                <w:sz w:val="20"/>
                <w:szCs w:val="20"/>
              </w:rPr>
            </w:pPr>
            <w:r w:rsidRPr="00F6205B">
              <w:rPr>
                <w:i/>
                <w:sz w:val="20"/>
                <w:szCs w:val="20"/>
              </w:rPr>
              <w:t>43</w:t>
            </w:r>
          </w:p>
        </w:tc>
        <w:tc>
          <w:tcPr>
            <w:tcW w:w="11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D49362F" w14:textId="77777777" w:rsidR="00C153D7" w:rsidRPr="00F6205B" w:rsidRDefault="00C153D7" w:rsidP="0044249F">
            <w:pPr>
              <w:keepNext/>
              <w:keepLines/>
              <w:spacing w:after="0"/>
              <w:jc w:val="center"/>
              <w:rPr>
                <w:sz w:val="20"/>
                <w:szCs w:val="20"/>
              </w:rPr>
            </w:pPr>
            <w:r w:rsidRPr="00F6205B">
              <w:rPr>
                <w:sz w:val="20"/>
                <w:szCs w:val="20"/>
              </w:rPr>
              <w:t>24%</w:t>
            </w:r>
          </w:p>
        </w:tc>
      </w:tr>
      <w:tr w:rsidR="00C153D7" w:rsidRPr="00F6205B" w14:paraId="02B224A3" w14:textId="77777777" w:rsidTr="00876EB2">
        <w:trPr>
          <w:trHeight w:val="288"/>
          <w:jc w:val="center"/>
        </w:trPr>
        <w:tc>
          <w:tcPr>
            <w:tcW w:w="538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9A107EE" w14:textId="77777777" w:rsidR="00C153D7" w:rsidRPr="00F6205B" w:rsidRDefault="00C153D7" w:rsidP="00876EB2">
            <w:pPr>
              <w:keepNext/>
              <w:keepLines/>
              <w:spacing w:after="0"/>
              <w:rPr>
                <w:sz w:val="20"/>
                <w:szCs w:val="20"/>
              </w:rPr>
            </w:pPr>
            <w:r w:rsidRPr="00F6205B">
              <w:rPr>
                <w:sz w:val="20"/>
                <w:szCs w:val="20"/>
              </w:rPr>
              <w:t>Replace tankless coil with indirect water heater</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BA1C1C" w14:textId="77777777" w:rsidR="00C153D7" w:rsidRPr="00F6205B" w:rsidRDefault="00C153D7" w:rsidP="0044249F">
            <w:pPr>
              <w:keepNext/>
              <w:keepLines/>
              <w:spacing w:after="0"/>
              <w:jc w:val="center"/>
              <w:rPr>
                <w:i/>
                <w:sz w:val="20"/>
                <w:szCs w:val="20"/>
              </w:rPr>
            </w:pPr>
            <w:r w:rsidRPr="00F6205B">
              <w:rPr>
                <w:i/>
                <w:sz w:val="20"/>
                <w:szCs w:val="20"/>
              </w:rPr>
              <w:t>43</w:t>
            </w:r>
          </w:p>
        </w:tc>
        <w:tc>
          <w:tcPr>
            <w:tcW w:w="11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BD55888" w14:textId="77777777" w:rsidR="00C153D7" w:rsidRPr="00F6205B" w:rsidRDefault="00C153D7" w:rsidP="0044249F">
            <w:pPr>
              <w:keepNext/>
              <w:keepLines/>
              <w:spacing w:after="0"/>
              <w:jc w:val="center"/>
              <w:rPr>
                <w:sz w:val="20"/>
                <w:szCs w:val="20"/>
              </w:rPr>
            </w:pPr>
            <w:r w:rsidRPr="00F6205B">
              <w:rPr>
                <w:sz w:val="20"/>
                <w:szCs w:val="20"/>
              </w:rPr>
              <w:t>24%</w:t>
            </w:r>
          </w:p>
        </w:tc>
      </w:tr>
      <w:tr w:rsidR="00C153D7" w:rsidRPr="00F6205B" w14:paraId="6CBC8D9C" w14:textId="77777777" w:rsidTr="00876EB2">
        <w:trPr>
          <w:trHeight w:val="288"/>
          <w:jc w:val="center"/>
        </w:trPr>
        <w:tc>
          <w:tcPr>
            <w:tcW w:w="538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73442C8" w14:textId="77777777" w:rsidR="00C153D7" w:rsidRPr="00F6205B" w:rsidRDefault="00C153D7" w:rsidP="00876EB2">
            <w:pPr>
              <w:keepNext/>
              <w:keepLines/>
              <w:spacing w:after="0"/>
              <w:rPr>
                <w:sz w:val="20"/>
                <w:szCs w:val="20"/>
              </w:rPr>
            </w:pPr>
            <w:r w:rsidRPr="00F6205B">
              <w:rPr>
                <w:sz w:val="20"/>
                <w:szCs w:val="20"/>
              </w:rPr>
              <w:t>Replace electric DHW with heat pump DHW</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F2A3A9" w14:textId="77777777" w:rsidR="00C153D7" w:rsidRPr="00F6205B" w:rsidRDefault="00C153D7" w:rsidP="0044249F">
            <w:pPr>
              <w:keepNext/>
              <w:keepLines/>
              <w:spacing w:after="0"/>
              <w:jc w:val="center"/>
              <w:rPr>
                <w:i/>
                <w:sz w:val="20"/>
                <w:szCs w:val="20"/>
              </w:rPr>
            </w:pPr>
            <w:r w:rsidRPr="00F6205B">
              <w:rPr>
                <w:i/>
                <w:sz w:val="20"/>
                <w:szCs w:val="20"/>
              </w:rPr>
              <w:t>42</w:t>
            </w:r>
          </w:p>
        </w:tc>
        <w:tc>
          <w:tcPr>
            <w:tcW w:w="11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97D7349" w14:textId="77777777" w:rsidR="00C153D7" w:rsidRPr="00F6205B" w:rsidRDefault="00C153D7" w:rsidP="0044249F">
            <w:pPr>
              <w:keepNext/>
              <w:keepLines/>
              <w:spacing w:after="0"/>
              <w:jc w:val="center"/>
              <w:rPr>
                <w:sz w:val="20"/>
                <w:szCs w:val="20"/>
              </w:rPr>
            </w:pPr>
            <w:r w:rsidRPr="00F6205B">
              <w:rPr>
                <w:sz w:val="20"/>
                <w:szCs w:val="20"/>
              </w:rPr>
              <w:t>23%</w:t>
            </w:r>
          </w:p>
        </w:tc>
      </w:tr>
      <w:tr w:rsidR="00C153D7" w:rsidRPr="00F6205B" w14:paraId="72D8EE5B" w14:textId="77777777" w:rsidTr="00876EB2">
        <w:trPr>
          <w:trHeight w:val="288"/>
          <w:jc w:val="center"/>
        </w:trPr>
        <w:tc>
          <w:tcPr>
            <w:tcW w:w="538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8918E90" w14:textId="77777777" w:rsidR="00C153D7" w:rsidRPr="00F6205B" w:rsidRDefault="00C153D7" w:rsidP="00876EB2">
            <w:pPr>
              <w:keepNext/>
              <w:keepLines/>
              <w:spacing w:after="0"/>
              <w:rPr>
                <w:sz w:val="20"/>
                <w:szCs w:val="20"/>
              </w:rPr>
            </w:pPr>
            <w:r w:rsidRPr="00F6205B">
              <w:rPr>
                <w:sz w:val="20"/>
                <w:szCs w:val="20"/>
              </w:rPr>
              <w:t>Add DHW pipe insulation</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16EB94" w14:textId="77777777" w:rsidR="00C153D7" w:rsidRPr="00F6205B" w:rsidRDefault="00C153D7" w:rsidP="0044249F">
            <w:pPr>
              <w:keepNext/>
              <w:keepLines/>
              <w:spacing w:after="0"/>
              <w:jc w:val="center"/>
              <w:rPr>
                <w:i/>
                <w:sz w:val="20"/>
                <w:szCs w:val="20"/>
              </w:rPr>
            </w:pPr>
            <w:r w:rsidRPr="00F6205B">
              <w:rPr>
                <w:i/>
                <w:sz w:val="20"/>
                <w:szCs w:val="20"/>
              </w:rPr>
              <w:t>39</w:t>
            </w:r>
          </w:p>
        </w:tc>
        <w:tc>
          <w:tcPr>
            <w:tcW w:w="11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1584842" w14:textId="77777777" w:rsidR="00C153D7" w:rsidRPr="00F6205B" w:rsidRDefault="00C153D7" w:rsidP="0044249F">
            <w:pPr>
              <w:keepNext/>
              <w:keepLines/>
              <w:spacing w:after="0"/>
              <w:jc w:val="center"/>
              <w:rPr>
                <w:sz w:val="20"/>
                <w:szCs w:val="20"/>
              </w:rPr>
            </w:pPr>
            <w:r w:rsidRPr="00F6205B">
              <w:rPr>
                <w:sz w:val="20"/>
                <w:szCs w:val="20"/>
              </w:rPr>
              <w:t>22%</w:t>
            </w:r>
          </w:p>
        </w:tc>
      </w:tr>
      <w:tr w:rsidR="00C153D7" w:rsidRPr="00F6205B" w14:paraId="561EED64" w14:textId="77777777" w:rsidTr="00876EB2">
        <w:trPr>
          <w:trHeight w:val="288"/>
          <w:jc w:val="center"/>
        </w:trPr>
        <w:tc>
          <w:tcPr>
            <w:tcW w:w="538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73D05DC" w14:textId="77777777" w:rsidR="00C153D7" w:rsidRPr="00F6205B" w:rsidRDefault="00C153D7" w:rsidP="00876EB2">
            <w:pPr>
              <w:keepNext/>
              <w:keepLines/>
              <w:spacing w:after="0"/>
              <w:rPr>
                <w:sz w:val="20"/>
                <w:szCs w:val="20"/>
              </w:rPr>
            </w:pPr>
            <w:r w:rsidRPr="00F6205B">
              <w:rPr>
                <w:sz w:val="20"/>
                <w:szCs w:val="20"/>
              </w:rPr>
              <w:t>Increase oil furnace AFUE</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167282" w14:textId="77777777" w:rsidR="00C153D7" w:rsidRPr="00F6205B" w:rsidRDefault="00C153D7" w:rsidP="0044249F">
            <w:pPr>
              <w:keepNext/>
              <w:keepLines/>
              <w:spacing w:after="0"/>
              <w:jc w:val="center"/>
              <w:rPr>
                <w:i/>
                <w:sz w:val="20"/>
                <w:szCs w:val="20"/>
              </w:rPr>
            </w:pPr>
            <w:r w:rsidRPr="00F6205B">
              <w:rPr>
                <w:i/>
                <w:sz w:val="20"/>
                <w:szCs w:val="20"/>
              </w:rPr>
              <w:t>29</w:t>
            </w:r>
          </w:p>
        </w:tc>
        <w:tc>
          <w:tcPr>
            <w:tcW w:w="11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733B7CC" w14:textId="77777777" w:rsidR="00C153D7" w:rsidRPr="00F6205B" w:rsidRDefault="00C153D7" w:rsidP="0044249F">
            <w:pPr>
              <w:keepNext/>
              <w:keepLines/>
              <w:spacing w:after="0"/>
              <w:jc w:val="center"/>
              <w:rPr>
                <w:sz w:val="20"/>
                <w:szCs w:val="20"/>
              </w:rPr>
            </w:pPr>
            <w:r w:rsidRPr="00F6205B">
              <w:rPr>
                <w:sz w:val="20"/>
                <w:szCs w:val="20"/>
              </w:rPr>
              <w:t>16%</w:t>
            </w:r>
          </w:p>
        </w:tc>
      </w:tr>
      <w:tr w:rsidR="00C153D7" w:rsidRPr="00F6205B" w14:paraId="3865D9B1" w14:textId="77777777" w:rsidTr="00876EB2">
        <w:trPr>
          <w:trHeight w:val="288"/>
          <w:jc w:val="center"/>
        </w:trPr>
        <w:tc>
          <w:tcPr>
            <w:tcW w:w="538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B85FED3" w14:textId="77777777" w:rsidR="00C153D7" w:rsidRPr="00F6205B" w:rsidRDefault="00C153D7" w:rsidP="00876EB2">
            <w:pPr>
              <w:keepNext/>
              <w:keepLines/>
              <w:spacing w:after="0"/>
              <w:rPr>
                <w:sz w:val="20"/>
                <w:szCs w:val="20"/>
              </w:rPr>
            </w:pPr>
            <w:r w:rsidRPr="00F6205B">
              <w:rPr>
                <w:sz w:val="20"/>
                <w:szCs w:val="20"/>
              </w:rPr>
              <w:t>Increase gas furnace AFUE</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8DDB43" w14:textId="77777777" w:rsidR="00C153D7" w:rsidRPr="00F6205B" w:rsidRDefault="00C153D7" w:rsidP="0044249F">
            <w:pPr>
              <w:keepNext/>
              <w:keepLines/>
              <w:spacing w:after="0"/>
              <w:jc w:val="center"/>
              <w:rPr>
                <w:i/>
                <w:sz w:val="20"/>
                <w:szCs w:val="20"/>
              </w:rPr>
            </w:pPr>
            <w:r w:rsidRPr="00F6205B">
              <w:rPr>
                <w:i/>
                <w:sz w:val="20"/>
                <w:szCs w:val="20"/>
              </w:rPr>
              <w:t>26</w:t>
            </w:r>
          </w:p>
        </w:tc>
        <w:tc>
          <w:tcPr>
            <w:tcW w:w="11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32187DD" w14:textId="77777777" w:rsidR="00C153D7" w:rsidRPr="00F6205B" w:rsidRDefault="00C153D7" w:rsidP="0044249F">
            <w:pPr>
              <w:keepNext/>
              <w:keepLines/>
              <w:spacing w:after="0"/>
              <w:jc w:val="center"/>
              <w:rPr>
                <w:sz w:val="20"/>
                <w:szCs w:val="20"/>
              </w:rPr>
            </w:pPr>
            <w:r w:rsidRPr="00F6205B">
              <w:rPr>
                <w:sz w:val="20"/>
                <w:szCs w:val="20"/>
              </w:rPr>
              <w:t>14%</w:t>
            </w:r>
          </w:p>
        </w:tc>
      </w:tr>
      <w:tr w:rsidR="00C153D7" w:rsidRPr="00F6205B" w14:paraId="17DE7D34" w14:textId="77777777" w:rsidTr="00876EB2">
        <w:trPr>
          <w:trHeight w:val="288"/>
          <w:jc w:val="center"/>
        </w:trPr>
        <w:tc>
          <w:tcPr>
            <w:tcW w:w="538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65D1BD1" w14:textId="77777777" w:rsidR="00C153D7" w:rsidRPr="00F6205B" w:rsidRDefault="00C153D7" w:rsidP="00876EB2">
            <w:pPr>
              <w:keepNext/>
              <w:keepLines/>
              <w:spacing w:after="0"/>
              <w:rPr>
                <w:sz w:val="20"/>
                <w:szCs w:val="20"/>
              </w:rPr>
            </w:pPr>
            <w:r w:rsidRPr="00F6205B">
              <w:rPr>
                <w:sz w:val="20"/>
                <w:szCs w:val="20"/>
              </w:rPr>
              <w:t>Increase gas boiler AFUE</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00FA77" w14:textId="77777777" w:rsidR="00C153D7" w:rsidRPr="00F6205B" w:rsidRDefault="00C153D7" w:rsidP="0044249F">
            <w:pPr>
              <w:keepNext/>
              <w:keepLines/>
              <w:spacing w:after="0"/>
              <w:jc w:val="center"/>
              <w:rPr>
                <w:i/>
                <w:sz w:val="20"/>
                <w:szCs w:val="20"/>
              </w:rPr>
            </w:pPr>
            <w:r w:rsidRPr="00F6205B">
              <w:rPr>
                <w:i/>
                <w:sz w:val="20"/>
                <w:szCs w:val="20"/>
              </w:rPr>
              <w:t>24</w:t>
            </w:r>
          </w:p>
        </w:tc>
        <w:tc>
          <w:tcPr>
            <w:tcW w:w="11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9958365" w14:textId="77777777" w:rsidR="00C153D7" w:rsidRPr="00F6205B" w:rsidRDefault="00C153D7" w:rsidP="0044249F">
            <w:pPr>
              <w:keepNext/>
              <w:keepLines/>
              <w:spacing w:after="0"/>
              <w:jc w:val="center"/>
              <w:rPr>
                <w:sz w:val="20"/>
                <w:szCs w:val="20"/>
              </w:rPr>
            </w:pPr>
            <w:r w:rsidRPr="00F6205B">
              <w:rPr>
                <w:sz w:val="20"/>
                <w:szCs w:val="20"/>
              </w:rPr>
              <w:t>13%</w:t>
            </w:r>
          </w:p>
        </w:tc>
      </w:tr>
      <w:tr w:rsidR="00C153D7" w:rsidRPr="00F6205B" w14:paraId="682BC4C4" w14:textId="77777777" w:rsidTr="00876EB2">
        <w:trPr>
          <w:trHeight w:val="288"/>
          <w:jc w:val="center"/>
        </w:trPr>
        <w:tc>
          <w:tcPr>
            <w:tcW w:w="538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D76009E" w14:textId="77777777" w:rsidR="00C153D7" w:rsidRPr="00F6205B" w:rsidRDefault="00C153D7" w:rsidP="00876EB2">
            <w:pPr>
              <w:keepNext/>
              <w:keepLines/>
              <w:spacing w:after="0"/>
              <w:rPr>
                <w:sz w:val="20"/>
                <w:szCs w:val="20"/>
              </w:rPr>
            </w:pPr>
            <w:r w:rsidRPr="00F6205B">
              <w:rPr>
                <w:sz w:val="20"/>
                <w:szCs w:val="20"/>
              </w:rPr>
              <w:t>Replace oil storage DHW with more efficient oil storage</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02873D" w14:textId="77777777" w:rsidR="00C153D7" w:rsidRPr="00F6205B" w:rsidRDefault="00C153D7" w:rsidP="0044249F">
            <w:pPr>
              <w:keepNext/>
              <w:keepLines/>
              <w:spacing w:after="0"/>
              <w:jc w:val="center"/>
              <w:rPr>
                <w:i/>
                <w:sz w:val="20"/>
                <w:szCs w:val="20"/>
              </w:rPr>
            </w:pPr>
            <w:r w:rsidRPr="00F6205B">
              <w:rPr>
                <w:i/>
                <w:sz w:val="20"/>
                <w:szCs w:val="20"/>
              </w:rPr>
              <w:t>9</w:t>
            </w:r>
          </w:p>
        </w:tc>
        <w:tc>
          <w:tcPr>
            <w:tcW w:w="11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30B00D5" w14:textId="77777777" w:rsidR="00C153D7" w:rsidRPr="00F6205B" w:rsidRDefault="00C153D7" w:rsidP="0044249F">
            <w:pPr>
              <w:keepNext/>
              <w:keepLines/>
              <w:spacing w:after="0"/>
              <w:jc w:val="center"/>
              <w:rPr>
                <w:sz w:val="20"/>
                <w:szCs w:val="20"/>
              </w:rPr>
            </w:pPr>
            <w:r w:rsidRPr="00F6205B">
              <w:rPr>
                <w:sz w:val="20"/>
                <w:szCs w:val="20"/>
              </w:rPr>
              <w:t>5%</w:t>
            </w:r>
          </w:p>
        </w:tc>
      </w:tr>
      <w:tr w:rsidR="00C153D7" w:rsidRPr="00F6205B" w14:paraId="23A7AD13" w14:textId="77777777" w:rsidTr="00876EB2">
        <w:trPr>
          <w:trHeight w:val="288"/>
          <w:jc w:val="center"/>
        </w:trPr>
        <w:tc>
          <w:tcPr>
            <w:tcW w:w="538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22887CA" w14:textId="77777777" w:rsidR="00C153D7" w:rsidRPr="00F6205B" w:rsidRDefault="00C153D7" w:rsidP="00876EB2">
            <w:pPr>
              <w:keepNext/>
              <w:keepLines/>
              <w:spacing w:after="0"/>
              <w:rPr>
                <w:sz w:val="20"/>
                <w:szCs w:val="20"/>
              </w:rPr>
            </w:pPr>
            <w:r w:rsidRPr="00F6205B">
              <w:rPr>
                <w:sz w:val="20"/>
                <w:szCs w:val="20"/>
              </w:rPr>
              <w:t>Replace LP storage water heater with instantaneous</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EE4280" w14:textId="77777777" w:rsidR="00C153D7" w:rsidRPr="00F6205B" w:rsidRDefault="00C153D7" w:rsidP="0044249F">
            <w:pPr>
              <w:keepNext/>
              <w:keepLines/>
              <w:spacing w:after="0"/>
              <w:jc w:val="center"/>
              <w:rPr>
                <w:i/>
                <w:sz w:val="20"/>
                <w:szCs w:val="20"/>
              </w:rPr>
            </w:pPr>
            <w:r w:rsidRPr="00F6205B">
              <w:rPr>
                <w:i/>
                <w:sz w:val="20"/>
                <w:szCs w:val="20"/>
              </w:rPr>
              <w:t>6</w:t>
            </w:r>
          </w:p>
        </w:tc>
        <w:tc>
          <w:tcPr>
            <w:tcW w:w="11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A79F48E" w14:textId="77777777" w:rsidR="00C153D7" w:rsidRPr="00F6205B" w:rsidRDefault="00C153D7" w:rsidP="0044249F">
            <w:pPr>
              <w:keepNext/>
              <w:keepLines/>
              <w:spacing w:after="0"/>
              <w:jc w:val="center"/>
              <w:rPr>
                <w:sz w:val="20"/>
                <w:szCs w:val="20"/>
              </w:rPr>
            </w:pPr>
            <w:r w:rsidRPr="00F6205B">
              <w:rPr>
                <w:sz w:val="20"/>
                <w:szCs w:val="20"/>
              </w:rPr>
              <w:t>3%</w:t>
            </w:r>
          </w:p>
        </w:tc>
      </w:tr>
      <w:tr w:rsidR="00C153D7" w:rsidRPr="00F6205B" w14:paraId="6EA9ECC3" w14:textId="77777777" w:rsidTr="00876EB2">
        <w:trPr>
          <w:trHeight w:val="288"/>
          <w:jc w:val="center"/>
        </w:trPr>
        <w:tc>
          <w:tcPr>
            <w:tcW w:w="538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2A7824C" w14:textId="77777777" w:rsidR="00C153D7" w:rsidRPr="00F6205B" w:rsidRDefault="00C153D7" w:rsidP="00876EB2">
            <w:pPr>
              <w:keepNext/>
              <w:keepLines/>
              <w:spacing w:after="0"/>
              <w:rPr>
                <w:sz w:val="20"/>
                <w:szCs w:val="20"/>
              </w:rPr>
            </w:pPr>
            <w:r w:rsidRPr="00F6205B">
              <w:rPr>
                <w:sz w:val="20"/>
                <w:szCs w:val="20"/>
              </w:rPr>
              <w:t>Install air source heat pump</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3E99FE" w14:textId="77777777" w:rsidR="00C153D7" w:rsidRPr="00F6205B" w:rsidRDefault="00C153D7" w:rsidP="0044249F">
            <w:pPr>
              <w:keepNext/>
              <w:keepLines/>
              <w:spacing w:after="0"/>
              <w:jc w:val="center"/>
              <w:rPr>
                <w:i/>
                <w:sz w:val="20"/>
                <w:szCs w:val="20"/>
              </w:rPr>
            </w:pPr>
            <w:r w:rsidRPr="00F6205B">
              <w:rPr>
                <w:i/>
                <w:sz w:val="20"/>
                <w:szCs w:val="20"/>
              </w:rPr>
              <w:t>4</w:t>
            </w:r>
          </w:p>
        </w:tc>
        <w:tc>
          <w:tcPr>
            <w:tcW w:w="11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FA66CD5" w14:textId="77777777" w:rsidR="00C153D7" w:rsidRPr="00F6205B" w:rsidRDefault="00C153D7" w:rsidP="0044249F">
            <w:pPr>
              <w:keepNext/>
              <w:keepLines/>
              <w:spacing w:after="0"/>
              <w:jc w:val="center"/>
              <w:rPr>
                <w:sz w:val="20"/>
                <w:szCs w:val="20"/>
              </w:rPr>
            </w:pPr>
            <w:r w:rsidRPr="00F6205B">
              <w:rPr>
                <w:sz w:val="20"/>
                <w:szCs w:val="20"/>
              </w:rPr>
              <w:t>2%</w:t>
            </w:r>
          </w:p>
        </w:tc>
      </w:tr>
      <w:tr w:rsidR="00C153D7" w:rsidRPr="00F6205B" w14:paraId="3F5D9392" w14:textId="77777777" w:rsidTr="00876EB2">
        <w:trPr>
          <w:trHeight w:val="288"/>
          <w:jc w:val="center"/>
        </w:trPr>
        <w:tc>
          <w:tcPr>
            <w:tcW w:w="538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7ECD653" w14:textId="77777777" w:rsidR="00C153D7" w:rsidRPr="00F6205B" w:rsidRDefault="00C153D7" w:rsidP="00876EB2">
            <w:pPr>
              <w:keepNext/>
              <w:keepLines/>
              <w:spacing w:after="0"/>
              <w:rPr>
                <w:sz w:val="20"/>
                <w:szCs w:val="20"/>
              </w:rPr>
            </w:pPr>
            <w:r w:rsidRPr="00F6205B">
              <w:rPr>
                <w:sz w:val="20"/>
                <w:szCs w:val="20"/>
              </w:rPr>
              <w:t>Increase propane furnace AFUE</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E6EDC5" w14:textId="77777777" w:rsidR="00C153D7" w:rsidRPr="00F6205B" w:rsidRDefault="00C153D7" w:rsidP="0044249F">
            <w:pPr>
              <w:keepNext/>
              <w:keepLines/>
              <w:spacing w:after="0"/>
              <w:jc w:val="center"/>
              <w:rPr>
                <w:i/>
                <w:sz w:val="20"/>
                <w:szCs w:val="20"/>
              </w:rPr>
            </w:pPr>
            <w:r w:rsidRPr="00F6205B">
              <w:rPr>
                <w:i/>
                <w:sz w:val="20"/>
                <w:szCs w:val="20"/>
              </w:rPr>
              <w:t>2</w:t>
            </w:r>
          </w:p>
        </w:tc>
        <w:tc>
          <w:tcPr>
            <w:tcW w:w="11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D3C5A35" w14:textId="77777777" w:rsidR="00C153D7" w:rsidRPr="00F6205B" w:rsidRDefault="00C153D7" w:rsidP="0044249F">
            <w:pPr>
              <w:keepNext/>
              <w:keepLines/>
              <w:spacing w:after="0"/>
              <w:jc w:val="center"/>
              <w:rPr>
                <w:sz w:val="20"/>
                <w:szCs w:val="20"/>
              </w:rPr>
            </w:pPr>
            <w:r w:rsidRPr="00F6205B">
              <w:rPr>
                <w:sz w:val="20"/>
                <w:szCs w:val="20"/>
              </w:rPr>
              <w:t>1%</w:t>
            </w:r>
          </w:p>
        </w:tc>
      </w:tr>
      <w:tr w:rsidR="00C153D7" w:rsidRPr="00F6205B" w14:paraId="2FC4CA32" w14:textId="77777777" w:rsidTr="00876EB2">
        <w:trPr>
          <w:trHeight w:val="288"/>
          <w:jc w:val="center"/>
        </w:trPr>
        <w:tc>
          <w:tcPr>
            <w:tcW w:w="538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3F32CAC" w14:textId="77777777" w:rsidR="00C153D7" w:rsidRPr="00F6205B" w:rsidRDefault="00C153D7" w:rsidP="00876EB2">
            <w:pPr>
              <w:keepNext/>
              <w:keepLines/>
              <w:spacing w:after="0"/>
              <w:rPr>
                <w:sz w:val="20"/>
                <w:szCs w:val="20"/>
              </w:rPr>
            </w:pPr>
            <w:r w:rsidRPr="00F6205B">
              <w:rPr>
                <w:sz w:val="20"/>
                <w:szCs w:val="20"/>
              </w:rPr>
              <w:t>Increase propane boiler AFUE</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0573CA" w14:textId="77777777" w:rsidR="00C153D7" w:rsidRPr="00F6205B" w:rsidRDefault="00C153D7" w:rsidP="0044249F">
            <w:pPr>
              <w:keepNext/>
              <w:keepLines/>
              <w:spacing w:after="0"/>
              <w:jc w:val="center"/>
              <w:rPr>
                <w:i/>
                <w:sz w:val="20"/>
                <w:szCs w:val="20"/>
              </w:rPr>
            </w:pPr>
            <w:r w:rsidRPr="00F6205B">
              <w:rPr>
                <w:i/>
                <w:sz w:val="20"/>
                <w:szCs w:val="20"/>
              </w:rPr>
              <w:t>2</w:t>
            </w:r>
          </w:p>
        </w:tc>
        <w:tc>
          <w:tcPr>
            <w:tcW w:w="11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337D3CB" w14:textId="77777777" w:rsidR="00C153D7" w:rsidRPr="00F6205B" w:rsidRDefault="00C153D7" w:rsidP="0044249F">
            <w:pPr>
              <w:keepNext/>
              <w:keepLines/>
              <w:spacing w:after="0"/>
              <w:jc w:val="center"/>
              <w:rPr>
                <w:sz w:val="20"/>
                <w:szCs w:val="20"/>
              </w:rPr>
            </w:pPr>
            <w:r w:rsidRPr="00F6205B">
              <w:rPr>
                <w:sz w:val="20"/>
                <w:szCs w:val="20"/>
              </w:rPr>
              <w:t>1%</w:t>
            </w:r>
          </w:p>
        </w:tc>
      </w:tr>
      <w:tr w:rsidR="00C153D7" w:rsidRPr="00F6205B" w14:paraId="66A7A8DD" w14:textId="77777777" w:rsidTr="00876EB2">
        <w:trPr>
          <w:trHeight w:val="288"/>
          <w:jc w:val="center"/>
        </w:trPr>
        <w:tc>
          <w:tcPr>
            <w:tcW w:w="538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B8DA387" w14:textId="77777777" w:rsidR="00C153D7" w:rsidRPr="00F6205B" w:rsidRDefault="00C153D7" w:rsidP="00876EB2">
            <w:pPr>
              <w:keepNext/>
              <w:keepLines/>
              <w:spacing w:after="0"/>
              <w:rPr>
                <w:sz w:val="20"/>
                <w:szCs w:val="20"/>
              </w:rPr>
            </w:pPr>
            <w:r w:rsidRPr="00F6205B">
              <w:rPr>
                <w:sz w:val="20"/>
                <w:szCs w:val="20"/>
              </w:rPr>
              <w:t>Replace gas storage DHW with more efficient gas storage</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C730D4" w14:textId="77777777" w:rsidR="00C153D7" w:rsidRPr="00F6205B" w:rsidRDefault="00C153D7" w:rsidP="0044249F">
            <w:pPr>
              <w:keepNext/>
              <w:keepLines/>
              <w:spacing w:after="0"/>
              <w:jc w:val="center"/>
              <w:rPr>
                <w:i/>
                <w:sz w:val="20"/>
                <w:szCs w:val="20"/>
              </w:rPr>
            </w:pPr>
            <w:r w:rsidRPr="00F6205B">
              <w:rPr>
                <w:i/>
                <w:sz w:val="20"/>
                <w:szCs w:val="20"/>
              </w:rPr>
              <w:t>0</w:t>
            </w:r>
          </w:p>
        </w:tc>
        <w:tc>
          <w:tcPr>
            <w:tcW w:w="11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BA93D76" w14:textId="77777777" w:rsidR="00C153D7" w:rsidRPr="00F6205B" w:rsidRDefault="00C153D7" w:rsidP="0044249F">
            <w:pPr>
              <w:keepNext/>
              <w:keepLines/>
              <w:spacing w:after="0"/>
              <w:jc w:val="center"/>
              <w:rPr>
                <w:sz w:val="20"/>
                <w:szCs w:val="20"/>
              </w:rPr>
            </w:pPr>
            <w:r w:rsidRPr="00F6205B">
              <w:rPr>
                <w:sz w:val="20"/>
                <w:szCs w:val="20"/>
              </w:rPr>
              <w:t>0%</w:t>
            </w:r>
          </w:p>
        </w:tc>
      </w:tr>
      <w:tr w:rsidR="00C153D7" w:rsidRPr="00F6205B" w14:paraId="62B8F0ED" w14:textId="77777777" w:rsidTr="00876EB2">
        <w:trPr>
          <w:trHeight w:val="288"/>
          <w:jc w:val="center"/>
        </w:trPr>
        <w:tc>
          <w:tcPr>
            <w:tcW w:w="538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9060DB0" w14:textId="77777777" w:rsidR="00C153D7" w:rsidRPr="00F6205B" w:rsidRDefault="00C153D7" w:rsidP="00876EB2">
            <w:pPr>
              <w:keepNext/>
              <w:keepLines/>
              <w:spacing w:after="0"/>
              <w:rPr>
                <w:sz w:val="20"/>
                <w:szCs w:val="20"/>
              </w:rPr>
            </w:pPr>
            <w:r w:rsidRPr="00F6205B">
              <w:rPr>
                <w:sz w:val="20"/>
                <w:szCs w:val="20"/>
              </w:rPr>
              <w:t>Replace gas storage DHW with gas condensing</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47E5E5" w14:textId="77777777" w:rsidR="00C153D7" w:rsidRPr="00F6205B" w:rsidRDefault="00C153D7" w:rsidP="0044249F">
            <w:pPr>
              <w:keepNext/>
              <w:keepLines/>
              <w:spacing w:after="0"/>
              <w:jc w:val="center"/>
              <w:rPr>
                <w:i/>
                <w:sz w:val="20"/>
                <w:szCs w:val="20"/>
              </w:rPr>
            </w:pPr>
            <w:r w:rsidRPr="00F6205B">
              <w:rPr>
                <w:i/>
                <w:sz w:val="20"/>
                <w:szCs w:val="20"/>
              </w:rPr>
              <w:t>0</w:t>
            </w:r>
          </w:p>
        </w:tc>
        <w:tc>
          <w:tcPr>
            <w:tcW w:w="11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94B2435" w14:textId="77777777" w:rsidR="00C153D7" w:rsidRPr="00F6205B" w:rsidRDefault="00C153D7" w:rsidP="0044249F">
            <w:pPr>
              <w:keepNext/>
              <w:keepLines/>
              <w:spacing w:after="0"/>
              <w:jc w:val="center"/>
              <w:rPr>
                <w:sz w:val="20"/>
                <w:szCs w:val="20"/>
              </w:rPr>
            </w:pPr>
            <w:r w:rsidRPr="00F6205B">
              <w:rPr>
                <w:sz w:val="20"/>
                <w:szCs w:val="20"/>
              </w:rPr>
              <w:t>0%</w:t>
            </w:r>
          </w:p>
        </w:tc>
      </w:tr>
      <w:tr w:rsidR="00C153D7" w:rsidRPr="00F6205B" w14:paraId="739032FB" w14:textId="77777777" w:rsidTr="00876EB2">
        <w:trPr>
          <w:trHeight w:val="288"/>
          <w:jc w:val="center"/>
        </w:trPr>
        <w:tc>
          <w:tcPr>
            <w:tcW w:w="538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BFF8E9C" w14:textId="77777777" w:rsidR="00C153D7" w:rsidRPr="00F6205B" w:rsidRDefault="00C153D7" w:rsidP="00876EB2">
            <w:pPr>
              <w:keepNext/>
              <w:keepLines/>
              <w:spacing w:after="0"/>
              <w:rPr>
                <w:sz w:val="20"/>
                <w:szCs w:val="20"/>
              </w:rPr>
            </w:pPr>
            <w:r w:rsidRPr="00F6205B">
              <w:rPr>
                <w:sz w:val="20"/>
                <w:szCs w:val="20"/>
              </w:rPr>
              <w:t>Replace LP storage DHW with more efficient LP storage</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0EE0B2" w14:textId="77777777" w:rsidR="00C153D7" w:rsidRPr="00F6205B" w:rsidRDefault="00C153D7" w:rsidP="0044249F">
            <w:pPr>
              <w:keepNext/>
              <w:keepLines/>
              <w:spacing w:after="0"/>
              <w:jc w:val="center"/>
              <w:rPr>
                <w:i/>
                <w:sz w:val="20"/>
                <w:szCs w:val="20"/>
              </w:rPr>
            </w:pPr>
            <w:r w:rsidRPr="00F6205B">
              <w:rPr>
                <w:i/>
                <w:sz w:val="20"/>
                <w:szCs w:val="20"/>
              </w:rPr>
              <w:t>0</w:t>
            </w:r>
          </w:p>
        </w:tc>
        <w:tc>
          <w:tcPr>
            <w:tcW w:w="11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3CEE767" w14:textId="77777777" w:rsidR="00C153D7" w:rsidRPr="00F6205B" w:rsidRDefault="00C153D7" w:rsidP="0044249F">
            <w:pPr>
              <w:keepNext/>
              <w:keepLines/>
              <w:spacing w:after="0"/>
              <w:jc w:val="center"/>
              <w:rPr>
                <w:sz w:val="20"/>
                <w:szCs w:val="20"/>
              </w:rPr>
            </w:pPr>
            <w:r w:rsidRPr="00F6205B">
              <w:rPr>
                <w:sz w:val="20"/>
                <w:szCs w:val="20"/>
              </w:rPr>
              <w:t>0%</w:t>
            </w:r>
          </w:p>
        </w:tc>
      </w:tr>
      <w:tr w:rsidR="00C153D7" w:rsidRPr="00F6205B" w14:paraId="54F08325" w14:textId="77777777" w:rsidTr="00876EB2">
        <w:trPr>
          <w:trHeight w:val="288"/>
          <w:jc w:val="center"/>
        </w:trPr>
        <w:tc>
          <w:tcPr>
            <w:tcW w:w="538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E00BBD8" w14:textId="77777777" w:rsidR="00C153D7" w:rsidRPr="00F6205B" w:rsidRDefault="00C153D7" w:rsidP="00876EB2">
            <w:pPr>
              <w:keepNext/>
              <w:keepLines/>
              <w:spacing w:after="0"/>
              <w:rPr>
                <w:sz w:val="20"/>
                <w:szCs w:val="20"/>
              </w:rPr>
            </w:pPr>
            <w:r w:rsidRPr="00F6205B">
              <w:rPr>
                <w:sz w:val="20"/>
                <w:szCs w:val="20"/>
              </w:rPr>
              <w:t>Replace LP storage water heater with LP condensing</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3346A0" w14:textId="77777777" w:rsidR="00C153D7" w:rsidRPr="00F6205B" w:rsidRDefault="00C153D7" w:rsidP="0044249F">
            <w:pPr>
              <w:keepNext/>
              <w:keepLines/>
              <w:spacing w:after="0"/>
              <w:jc w:val="center"/>
              <w:rPr>
                <w:i/>
                <w:sz w:val="20"/>
                <w:szCs w:val="20"/>
              </w:rPr>
            </w:pPr>
            <w:r w:rsidRPr="00F6205B">
              <w:rPr>
                <w:i/>
                <w:sz w:val="20"/>
                <w:szCs w:val="20"/>
              </w:rPr>
              <w:t>0</w:t>
            </w:r>
          </w:p>
        </w:tc>
        <w:tc>
          <w:tcPr>
            <w:tcW w:w="11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3295D64" w14:textId="77777777" w:rsidR="00C153D7" w:rsidRPr="00F6205B" w:rsidRDefault="00C153D7" w:rsidP="0044249F">
            <w:pPr>
              <w:keepNext/>
              <w:keepLines/>
              <w:spacing w:after="0"/>
              <w:jc w:val="center"/>
              <w:rPr>
                <w:sz w:val="20"/>
                <w:szCs w:val="20"/>
              </w:rPr>
            </w:pPr>
            <w:r w:rsidRPr="00F6205B">
              <w:rPr>
                <w:sz w:val="20"/>
                <w:szCs w:val="20"/>
              </w:rPr>
              <w:t>0%</w:t>
            </w:r>
          </w:p>
        </w:tc>
      </w:tr>
      <w:tr w:rsidR="00C153D7" w:rsidRPr="00F6205B" w14:paraId="1CB5E9CD" w14:textId="77777777" w:rsidTr="00876EB2">
        <w:trPr>
          <w:trHeight w:val="288"/>
          <w:jc w:val="center"/>
        </w:trPr>
        <w:tc>
          <w:tcPr>
            <w:tcW w:w="538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9E3F6AA" w14:textId="77777777" w:rsidR="00C153D7" w:rsidRPr="00F6205B" w:rsidRDefault="00C153D7" w:rsidP="00876EB2">
            <w:pPr>
              <w:keepNext/>
              <w:keepLines/>
              <w:spacing w:after="0"/>
              <w:rPr>
                <w:sz w:val="20"/>
                <w:szCs w:val="20"/>
              </w:rPr>
            </w:pPr>
            <w:r w:rsidRPr="00F6205B">
              <w:rPr>
                <w:sz w:val="20"/>
                <w:szCs w:val="20"/>
              </w:rPr>
              <w:t>Upgrade central air conditioner</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7A9187" w14:textId="77777777" w:rsidR="00C153D7" w:rsidRPr="00F6205B" w:rsidRDefault="00C153D7" w:rsidP="0044249F">
            <w:pPr>
              <w:keepNext/>
              <w:keepLines/>
              <w:spacing w:after="0"/>
              <w:jc w:val="center"/>
              <w:rPr>
                <w:i/>
                <w:sz w:val="20"/>
                <w:szCs w:val="20"/>
              </w:rPr>
            </w:pPr>
            <w:r w:rsidRPr="00F6205B">
              <w:rPr>
                <w:i/>
                <w:sz w:val="20"/>
                <w:szCs w:val="20"/>
              </w:rPr>
              <w:t>0</w:t>
            </w:r>
          </w:p>
        </w:tc>
        <w:tc>
          <w:tcPr>
            <w:tcW w:w="11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E2DC39B" w14:textId="77777777" w:rsidR="00C153D7" w:rsidRPr="00F6205B" w:rsidRDefault="00C153D7" w:rsidP="0044249F">
            <w:pPr>
              <w:keepNext/>
              <w:keepLines/>
              <w:spacing w:after="0"/>
              <w:jc w:val="center"/>
              <w:rPr>
                <w:sz w:val="20"/>
                <w:szCs w:val="20"/>
              </w:rPr>
            </w:pPr>
            <w:r w:rsidRPr="00F6205B">
              <w:rPr>
                <w:sz w:val="20"/>
                <w:szCs w:val="20"/>
              </w:rPr>
              <w:t>0%</w:t>
            </w:r>
          </w:p>
        </w:tc>
      </w:tr>
      <w:tr w:rsidR="00C153D7" w:rsidRPr="00F6205B" w14:paraId="52E66E14" w14:textId="77777777" w:rsidTr="00876EB2">
        <w:trPr>
          <w:trHeight w:val="288"/>
          <w:jc w:val="center"/>
        </w:trPr>
        <w:tc>
          <w:tcPr>
            <w:tcW w:w="538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9D724CF" w14:textId="77777777" w:rsidR="00C153D7" w:rsidRPr="00F6205B" w:rsidRDefault="00C153D7" w:rsidP="00876EB2">
            <w:pPr>
              <w:keepNext/>
              <w:keepLines/>
              <w:spacing w:after="0"/>
              <w:rPr>
                <w:sz w:val="20"/>
                <w:szCs w:val="20"/>
              </w:rPr>
            </w:pPr>
            <w:r w:rsidRPr="00F6205B">
              <w:rPr>
                <w:sz w:val="20"/>
                <w:szCs w:val="20"/>
              </w:rPr>
              <w:t>Upgrade room air conditioners</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ABC9AE" w14:textId="77777777" w:rsidR="00C153D7" w:rsidRPr="00F6205B" w:rsidRDefault="00C153D7" w:rsidP="0044249F">
            <w:pPr>
              <w:keepNext/>
              <w:keepLines/>
              <w:spacing w:after="0"/>
              <w:jc w:val="center"/>
              <w:rPr>
                <w:i/>
                <w:sz w:val="20"/>
                <w:szCs w:val="20"/>
              </w:rPr>
            </w:pPr>
            <w:r w:rsidRPr="00F6205B">
              <w:rPr>
                <w:i/>
                <w:sz w:val="20"/>
                <w:szCs w:val="20"/>
              </w:rPr>
              <w:t>0</w:t>
            </w:r>
          </w:p>
        </w:tc>
        <w:tc>
          <w:tcPr>
            <w:tcW w:w="11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264DFB1" w14:textId="77777777" w:rsidR="00C153D7" w:rsidRPr="00F6205B" w:rsidRDefault="00C153D7" w:rsidP="0044249F">
            <w:pPr>
              <w:keepNext/>
              <w:keepLines/>
              <w:spacing w:after="0"/>
              <w:jc w:val="center"/>
              <w:rPr>
                <w:sz w:val="20"/>
                <w:szCs w:val="20"/>
              </w:rPr>
            </w:pPr>
            <w:r w:rsidRPr="00F6205B">
              <w:rPr>
                <w:sz w:val="20"/>
                <w:szCs w:val="20"/>
              </w:rPr>
              <w:t>0%</w:t>
            </w:r>
          </w:p>
        </w:tc>
      </w:tr>
      <w:tr w:rsidR="00C153D7" w:rsidRPr="00F6205B" w14:paraId="1E8C6ED6" w14:textId="77777777" w:rsidTr="00876EB2">
        <w:trPr>
          <w:trHeight w:val="288"/>
          <w:jc w:val="center"/>
        </w:trPr>
        <w:tc>
          <w:tcPr>
            <w:tcW w:w="5385" w:type="dxa"/>
            <w:tcBorders>
              <w:top w:val="single" w:sz="4" w:space="0" w:color="000000" w:themeColor="text1"/>
              <w:left w:val="single" w:sz="4" w:space="0" w:color="auto"/>
              <w:bottom w:val="single" w:sz="4" w:space="0" w:color="auto"/>
              <w:right w:val="single" w:sz="4" w:space="0" w:color="000000" w:themeColor="text1"/>
            </w:tcBorders>
            <w:vAlign w:val="center"/>
          </w:tcPr>
          <w:p w14:paraId="6D19DADE" w14:textId="77777777" w:rsidR="00C153D7" w:rsidRPr="00F6205B" w:rsidRDefault="00C153D7" w:rsidP="00876EB2">
            <w:pPr>
              <w:keepNext/>
              <w:keepLines/>
              <w:spacing w:after="0"/>
              <w:rPr>
                <w:sz w:val="20"/>
                <w:szCs w:val="20"/>
              </w:rPr>
            </w:pPr>
            <w:r w:rsidRPr="00F6205B">
              <w:rPr>
                <w:sz w:val="20"/>
                <w:szCs w:val="20"/>
              </w:rPr>
              <w:t>Install ground source heat pump</w:t>
            </w:r>
          </w:p>
        </w:tc>
        <w:tc>
          <w:tcPr>
            <w:tcW w:w="847"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3EE5C2E" w14:textId="77777777" w:rsidR="00C153D7" w:rsidRPr="00F6205B" w:rsidRDefault="00C153D7" w:rsidP="0044249F">
            <w:pPr>
              <w:keepNext/>
              <w:keepLines/>
              <w:spacing w:after="0"/>
              <w:jc w:val="center"/>
              <w:rPr>
                <w:i/>
                <w:sz w:val="20"/>
                <w:szCs w:val="20"/>
              </w:rPr>
            </w:pPr>
            <w:r w:rsidRPr="00F6205B">
              <w:rPr>
                <w:i/>
                <w:sz w:val="20"/>
                <w:szCs w:val="20"/>
              </w:rPr>
              <w:t>0</w:t>
            </w:r>
          </w:p>
        </w:tc>
        <w:tc>
          <w:tcPr>
            <w:tcW w:w="1152" w:type="dxa"/>
            <w:tcBorders>
              <w:top w:val="single" w:sz="4" w:space="0" w:color="000000" w:themeColor="text1"/>
              <w:left w:val="single" w:sz="4" w:space="0" w:color="000000" w:themeColor="text1"/>
              <w:bottom w:val="single" w:sz="4" w:space="0" w:color="auto"/>
              <w:right w:val="single" w:sz="4" w:space="0" w:color="auto"/>
            </w:tcBorders>
            <w:vAlign w:val="center"/>
          </w:tcPr>
          <w:p w14:paraId="3A5308FC" w14:textId="77777777" w:rsidR="00C153D7" w:rsidRPr="00F6205B" w:rsidRDefault="00C153D7" w:rsidP="0044249F">
            <w:pPr>
              <w:keepNext/>
              <w:keepLines/>
              <w:spacing w:after="0"/>
              <w:jc w:val="center"/>
              <w:rPr>
                <w:sz w:val="20"/>
                <w:szCs w:val="20"/>
              </w:rPr>
            </w:pPr>
            <w:r w:rsidRPr="00F6205B">
              <w:rPr>
                <w:sz w:val="20"/>
                <w:szCs w:val="20"/>
              </w:rPr>
              <w:t>0%</w:t>
            </w:r>
          </w:p>
        </w:tc>
      </w:tr>
    </w:tbl>
    <w:p w14:paraId="5BB5DD83" w14:textId="4E90362A" w:rsidR="00C153D7" w:rsidRPr="00F6205B" w:rsidRDefault="006F1BB3" w:rsidP="00435A4D">
      <w:pPr>
        <w:keepNext/>
        <w:keepLines/>
        <w:ind w:left="810" w:right="738"/>
        <w:rPr>
          <w:sz w:val="18"/>
          <w:szCs w:val="20"/>
        </w:rPr>
      </w:pPr>
      <w:r w:rsidRPr="00F6205B">
        <w:rPr>
          <w:sz w:val="18"/>
          <w:szCs w:val="20"/>
        </w:rPr>
        <w:t xml:space="preserve">* Central heating systems were upgraded for </w:t>
      </w:r>
      <w:r w:rsidR="00435A4D" w:rsidRPr="00F6205B">
        <w:rPr>
          <w:sz w:val="18"/>
          <w:szCs w:val="20"/>
        </w:rPr>
        <w:t>a portion of the sample. While d</w:t>
      </w:r>
      <w:r w:rsidRPr="00F6205B">
        <w:rPr>
          <w:sz w:val="18"/>
          <w:szCs w:val="20"/>
        </w:rPr>
        <w:t xml:space="preserve">uctless mini-splits were included in every model, they were sized to meet the cooling load of each home, not the heating load. As a result, the existing heating equipment was modeled to fulfill the remainder of the heating load and was upgraded where applicable. </w:t>
      </w:r>
    </w:p>
    <w:p w14:paraId="6AFFE180" w14:textId="77777777" w:rsidR="00C153D7" w:rsidRPr="00F6205B" w:rsidRDefault="00C153D7" w:rsidP="00C34D07">
      <w:pPr>
        <w:pStyle w:val="Heading2"/>
        <w:numPr>
          <w:ilvl w:val="0"/>
          <w:numId w:val="0"/>
        </w:numPr>
        <w:jc w:val="both"/>
      </w:pPr>
      <w:bookmarkStart w:id="88" w:name="_Cost-Effectiveness_Methodology"/>
      <w:bookmarkStart w:id="89" w:name="_Ref390760509"/>
      <w:bookmarkStart w:id="90" w:name="_Toc391887300"/>
      <w:bookmarkStart w:id="91" w:name="_Toc439939391"/>
      <w:bookmarkEnd w:id="88"/>
      <w:r w:rsidRPr="00F6205B">
        <w:t>Cost-Effective Potential Methodology</w:t>
      </w:r>
      <w:bookmarkEnd w:id="89"/>
      <w:bookmarkEnd w:id="90"/>
      <w:bookmarkEnd w:id="91"/>
    </w:p>
    <w:p w14:paraId="757ACF74" w14:textId="3BF2B4E4" w:rsidR="00C153D7" w:rsidRPr="00F6205B" w:rsidRDefault="00C153D7" w:rsidP="00C153D7">
      <w:r w:rsidRPr="00F6205B">
        <w:t>Each of the 43 measures considered for the potential study were s</w:t>
      </w:r>
      <w:r w:rsidR="007425A4" w:rsidRPr="00F6205B">
        <w:t xml:space="preserve">creened for cost-effectiveness </w:t>
      </w:r>
      <w:r w:rsidR="001A5F93" w:rsidRPr="00F6205B">
        <w:t>using both the total resource</w:t>
      </w:r>
      <w:r w:rsidRPr="00F6205B">
        <w:t xml:space="preserve"> </w:t>
      </w:r>
      <w:r w:rsidR="001A5F93" w:rsidRPr="00F6205B">
        <w:t>c</w:t>
      </w:r>
      <w:r w:rsidRPr="00F6205B">
        <w:t xml:space="preserve">ost (TRC) test and the </w:t>
      </w:r>
      <w:r w:rsidR="001A5F93" w:rsidRPr="00F6205B">
        <w:t>utility cost t</w:t>
      </w:r>
      <w:r w:rsidRPr="00F6205B">
        <w:t>est (UCT)</w:t>
      </w:r>
      <w:r w:rsidR="00935C2F" w:rsidRPr="00F6205B">
        <w:t>. These tests were conducted</w:t>
      </w:r>
      <w:r w:rsidRPr="00F6205B">
        <w:t xml:space="preserve"> at </w:t>
      </w:r>
      <w:r w:rsidR="00394983">
        <w:t xml:space="preserve">the </w:t>
      </w:r>
      <w:r w:rsidR="005B3ED2">
        <w:t xml:space="preserve">level of the individual measure </w:t>
      </w:r>
      <w:r w:rsidR="00394983">
        <w:t>for each home</w:t>
      </w:r>
      <w:r w:rsidR="00192287" w:rsidRPr="00F6205B">
        <w:t>. The</w:t>
      </w:r>
      <w:r w:rsidRPr="00F6205B">
        <w:t xml:space="preserve"> </w:t>
      </w:r>
      <w:r w:rsidR="000E3ABD" w:rsidRPr="00F6205B">
        <w:t>two tests</w:t>
      </w:r>
      <w:r w:rsidRPr="00F6205B">
        <w:t>, as defined in Connecticut’s 2013-2015 Electric and Natural Gas Conservation and Load Management Plan</w:t>
      </w:r>
      <w:r w:rsidRPr="00F6205B">
        <w:rPr>
          <w:rStyle w:val="FootnoteReference"/>
        </w:rPr>
        <w:footnoteReference w:id="27"/>
      </w:r>
      <w:r w:rsidR="00A74BE8" w:rsidRPr="00F6205B">
        <w:t>, are describ</w:t>
      </w:r>
      <w:r w:rsidRPr="00F6205B">
        <w:t>ed below:</w:t>
      </w:r>
    </w:p>
    <w:p w14:paraId="42764A1F" w14:textId="00EB54BF" w:rsidR="00612D3F" w:rsidRPr="00F6205B" w:rsidRDefault="00E5536E" w:rsidP="00F52E2F">
      <w:pPr>
        <w:pStyle w:val="ListParagraph"/>
        <w:numPr>
          <w:ilvl w:val="0"/>
          <w:numId w:val="36"/>
        </w:numPr>
        <w:contextualSpacing w:val="0"/>
      </w:pPr>
      <w:r w:rsidRPr="00F6205B">
        <w:t xml:space="preserve">The </w:t>
      </w:r>
      <w:r w:rsidRPr="00F6205B">
        <w:rPr>
          <w:b/>
        </w:rPr>
        <w:t>t</w:t>
      </w:r>
      <w:r w:rsidR="00C153D7" w:rsidRPr="00F6205B">
        <w:rPr>
          <w:b/>
        </w:rPr>
        <w:t xml:space="preserve">otal </w:t>
      </w:r>
      <w:r w:rsidRPr="00F6205B">
        <w:rPr>
          <w:b/>
        </w:rPr>
        <w:t>resource c</w:t>
      </w:r>
      <w:r w:rsidR="00C153D7" w:rsidRPr="00F6205B">
        <w:rPr>
          <w:b/>
        </w:rPr>
        <w:t>ost</w:t>
      </w:r>
      <w:r w:rsidRPr="00F6205B">
        <w:rPr>
          <w:b/>
        </w:rPr>
        <w:t xml:space="preserve"> (TRC)</w:t>
      </w:r>
      <w:r w:rsidR="00C153D7" w:rsidRPr="00F6205B">
        <w:rPr>
          <w:b/>
        </w:rPr>
        <w:t xml:space="preserve"> </w:t>
      </w:r>
      <w:r w:rsidRPr="00F6205B">
        <w:rPr>
          <w:b/>
        </w:rPr>
        <w:t>t</w:t>
      </w:r>
      <w:r w:rsidR="00C153D7" w:rsidRPr="00F6205B">
        <w:rPr>
          <w:b/>
        </w:rPr>
        <w:t>est</w:t>
      </w:r>
      <w:r w:rsidRPr="00F6205B">
        <w:t xml:space="preserve"> c</w:t>
      </w:r>
      <w:r w:rsidR="00C153D7" w:rsidRPr="00F6205B">
        <w:t>ompares the present value of future utility system and other customer savings to the total of the conservation expenditures plus customer costs necess</w:t>
      </w:r>
      <w:r w:rsidR="00612D3F" w:rsidRPr="00F6205B">
        <w:t xml:space="preserve">ary to implement the programs. </w:t>
      </w:r>
    </w:p>
    <w:p w14:paraId="03757AF9" w14:textId="57875FA4" w:rsidR="00C153D7" w:rsidRPr="00F6205B" w:rsidRDefault="00E5536E" w:rsidP="00F52E2F">
      <w:pPr>
        <w:pStyle w:val="ListParagraph"/>
        <w:numPr>
          <w:ilvl w:val="0"/>
          <w:numId w:val="36"/>
        </w:numPr>
        <w:contextualSpacing w:val="0"/>
      </w:pPr>
      <w:r w:rsidRPr="00F6205B">
        <w:lastRenderedPageBreak/>
        <w:t xml:space="preserve">The </w:t>
      </w:r>
      <w:r w:rsidRPr="00F6205B">
        <w:rPr>
          <w:b/>
        </w:rPr>
        <w:t>u</w:t>
      </w:r>
      <w:r w:rsidR="00C153D7" w:rsidRPr="00F6205B">
        <w:rPr>
          <w:b/>
        </w:rPr>
        <w:t xml:space="preserve">tility </w:t>
      </w:r>
      <w:r w:rsidRPr="00F6205B">
        <w:rPr>
          <w:b/>
        </w:rPr>
        <w:t>c</w:t>
      </w:r>
      <w:r w:rsidR="00C153D7" w:rsidRPr="00F6205B">
        <w:rPr>
          <w:b/>
        </w:rPr>
        <w:t xml:space="preserve">ost </w:t>
      </w:r>
      <w:r w:rsidRPr="00F6205B">
        <w:rPr>
          <w:b/>
        </w:rPr>
        <w:t>t</w:t>
      </w:r>
      <w:r w:rsidR="00C153D7" w:rsidRPr="00F6205B">
        <w:rPr>
          <w:b/>
        </w:rPr>
        <w:t>est</w:t>
      </w:r>
      <w:r w:rsidRPr="00F6205B">
        <w:rPr>
          <w:b/>
        </w:rPr>
        <w:t xml:space="preserve"> (UCT)</w:t>
      </w:r>
      <w:r w:rsidR="00C153D7" w:rsidRPr="00F6205B">
        <w:t xml:space="preserve"> </w:t>
      </w:r>
      <w:r w:rsidRPr="00F6205B">
        <w:t>c</w:t>
      </w:r>
      <w:r w:rsidR="00C153D7" w:rsidRPr="00F6205B">
        <w:t>ompares the present value of utility-specific program benefits to the “utility cost”, or program cost, of the program.</w:t>
      </w:r>
    </w:p>
    <w:p w14:paraId="4CFB503D" w14:textId="5C26A2DB" w:rsidR="00C153D7" w:rsidRPr="00F6205B" w:rsidRDefault="00C153D7" w:rsidP="009027EC">
      <w:r w:rsidRPr="00F6205B">
        <w:t xml:space="preserve">These screening methods were applied at the measure level for this study, not </w:t>
      </w:r>
      <w:r w:rsidR="00AF2EBB">
        <w:t xml:space="preserve">at </w:t>
      </w:r>
      <w:r w:rsidR="00402C23" w:rsidRPr="00F6205B">
        <w:t xml:space="preserve">the program level </w:t>
      </w:r>
      <w:r w:rsidR="00394983">
        <w:t xml:space="preserve">as </w:t>
      </w:r>
      <w:r w:rsidRPr="00F6205B">
        <w:t xml:space="preserve">described above. Many of the measures considered </w:t>
      </w:r>
      <w:r w:rsidR="00F64DAA" w:rsidRPr="00F6205B">
        <w:t>for this</w:t>
      </w:r>
      <w:r w:rsidRPr="00F6205B">
        <w:t xml:space="preserve"> study are not currently incentivized by the Companies and </w:t>
      </w:r>
      <w:r w:rsidR="00D21ABB" w:rsidRPr="00F6205B">
        <w:t>thus</w:t>
      </w:r>
      <w:r w:rsidRPr="00F6205B">
        <w:t xml:space="preserve"> cannot be</w:t>
      </w:r>
      <w:r w:rsidR="000826C9" w:rsidRPr="00F6205B">
        <w:t xml:space="preserve"> screened using the UCT method.</w:t>
      </w:r>
      <w:r w:rsidRPr="00F6205B">
        <w:t xml:space="preserve"> For this reason, the TRC test was used to determine whether or no</w:t>
      </w:r>
      <w:r w:rsidR="00E92C3D" w:rsidRPr="00F6205B">
        <w:t xml:space="preserve">t measures were cost-effective for </w:t>
      </w:r>
      <w:r w:rsidR="005B3ED2">
        <w:t>the purposes of modeling and analysis.</w:t>
      </w:r>
    </w:p>
    <w:p w14:paraId="60420D53" w14:textId="7CEC1F50" w:rsidR="00C153D7" w:rsidRPr="00F6205B" w:rsidRDefault="0033645C" w:rsidP="009027EC">
      <w:r w:rsidRPr="00F6205B">
        <w:t>All m</w:t>
      </w:r>
      <w:r w:rsidR="00C153D7" w:rsidRPr="00F6205B">
        <w:t xml:space="preserve">easures that </w:t>
      </w:r>
      <w:r w:rsidRPr="00F6205B">
        <w:t xml:space="preserve">screened as cost-effective for a given site were modeled simultaneously in an “all cost-effective” REM/Rate model similar to the comprehensive model run described in the </w:t>
      </w:r>
      <w:r w:rsidRPr="00F6205B">
        <w:fldChar w:fldCharType="begin"/>
      </w:r>
      <w:r w:rsidRPr="00F6205B">
        <w:instrText xml:space="preserve"> REF _Ref439256638 \h </w:instrText>
      </w:r>
      <w:r w:rsidR="00F6205B">
        <w:instrText xml:space="preserve"> \* MERGEFORMAT </w:instrText>
      </w:r>
      <w:r w:rsidRPr="00F6205B">
        <w:fldChar w:fldCharType="separate"/>
      </w:r>
      <w:r w:rsidR="00FA26A9" w:rsidRPr="00F6205B">
        <w:t>Technical Potential Methodology</w:t>
      </w:r>
      <w:r w:rsidRPr="00F6205B">
        <w:fldChar w:fldCharType="end"/>
      </w:r>
      <w:r w:rsidRPr="00F6205B">
        <w:t xml:space="preserve"> section above. These models were then compared to the as-built models in order</w:t>
      </w:r>
      <w:r w:rsidR="00C153D7" w:rsidRPr="00F6205B">
        <w:t xml:space="preserve"> to estimate cost-effective potent</w:t>
      </w:r>
      <w:r w:rsidR="006F21C3" w:rsidRPr="00F6205B">
        <w:t xml:space="preserve">ial savings. The results of </w:t>
      </w:r>
      <w:r w:rsidR="00C153D7" w:rsidRPr="00F6205B">
        <w:t>cost-effectiveness s</w:t>
      </w:r>
      <w:r w:rsidR="00BA4426" w:rsidRPr="00F6205B">
        <w:t>c</w:t>
      </w:r>
      <w:r w:rsidR="004853DB">
        <w:t xml:space="preserve">reening can be found in </w:t>
      </w:r>
      <w:r w:rsidR="004853DB">
        <w:fldChar w:fldCharType="begin"/>
      </w:r>
      <w:r w:rsidR="004853DB">
        <w:instrText xml:space="preserve"> REF _Ref439321265 \h </w:instrText>
      </w:r>
      <w:r w:rsidR="004853DB">
        <w:fldChar w:fldCharType="separate"/>
      </w:r>
      <w:r w:rsidR="00FA26A9" w:rsidRPr="00F6205B">
        <w:t xml:space="preserve">Table </w:t>
      </w:r>
      <w:r w:rsidR="00FA26A9">
        <w:rPr>
          <w:noProof/>
        </w:rPr>
        <w:t>24</w:t>
      </w:r>
      <w:r w:rsidR="004853DB">
        <w:fldChar w:fldCharType="end"/>
      </w:r>
      <w:r w:rsidR="004853DB">
        <w:t xml:space="preserve"> and </w:t>
      </w:r>
      <w:r w:rsidR="004853DB">
        <w:fldChar w:fldCharType="begin"/>
      </w:r>
      <w:r w:rsidR="004853DB">
        <w:instrText xml:space="preserve"> REF _Ref439321466 \h </w:instrText>
      </w:r>
      <w:r w:rsidR="004853DB">
        <w:fldChar w:fldCharType="separate"/>
      </w:r>
      <w:r w:rsidR="00FA26A9" w:rsidRPr="00F6205B">
        <w:t xml:space="preserve">Table </w:t>
      </w:r>
      <w:r w:rsidR="00FA26A9">
        <w:rPr>
          <w:noProof/>
        </w:rPr>
        <w:t>25</w:t>
      </w:r>
      <w:r w:rsidR="004853DB">
        <w:fldChar w:fldCharType="end"/>
      </w:r>
      <w:r w:rsidR="004853DB">
        <w:t>;</w:t>
      </w:r>
      <w:r w:rsidR="009E5901" w:rsidRPr="00F6205B">
        <w:t xml:space="preserve"> the results of the cost-effective potential </w:t>
      </w:r>
      <w:r w:rsidR="004853DB">
        <w:t xml:space="preserve">analysis can be found in the </w:t>
      </w:r>
      <w:r w:rsidR="00A964F0">
        <w:fldChar w:fldCharType="begin"/>
      </w:r>
      <w:r w:rsidR="00A964F0">
        <w:instrText xml:space="preserve"> REF _Ref439933773 \h </w:instrText>
      </w:r>
      <w:r w:rsidR="00A964F0">
        <w:fldChar w:fldCharType="separate"/>
      </w:r>
      <w:r w:rsidR="00A964F0" w:rsidRPr="00F6205B">
        <w:t>Cost-Effective Potential Savings</w:t>
      </w:r>
      <w:r w:rsidR="00A964F0">
        <w:fldChar w:fldCharType="end"/>
      </w:r>
      <w:r w:rsidR="004853DB">
        <w:t xml:space="preserve"> section</w:t>
      </w:r>
      <w:r w:rsidR="009E5901" w:rsidRPr="00F6205B">
        <w:t>.</w:t>
      </w:r>
    </w:p>
    <w:p w14:paraId="3F8DD1DC" w14:textId="49C0B010" w:rsidR="00C153D7" w:rsidRPr="00F6205B" w:rsidRDefault="00743EAE" w:rsidP="00350681">
      <w:pPr>
        <w:pStyle w:val="Heading3"/>
        <w:numPr>
          <w:ilvl w:val="0"/>
          <w:numId w:val="0"/>
        </w:numPr>
        <w:jc w:val="both"/>
      </w:pPr>
      <w:bookmarkStart w:id="92" w:name="_Toc439939392"/>
      <w:r w:rsidRPr="00F6205B">
        <w:t>Cost-Effectiveness Tests: TRC and UCT</w:t>
      </w:r>
      <w:bookmarkEnd w:id="92"/>
    </w:p>
    <w:p w14:paraId="4A4A2016" w14:textId="428A6A45" w:rsidR="002C36DB" w:rsidRPr="00F6205B" w:rsidRDefault="00C153D7" w:rsidP="00C153D7">
      <w:r w:rsidRPr="00F6205B">
        <w:t xml:space="preserve">Benefit/cost ratios were </w:t>
      </w:r>
      <w:r w:rsidR="00AF5771" w:rsidRPr="00F6205B">
        <w:t>calculated u</w:t>
      </w:r>
      <w:r w:rsidRPr="00F6205B">
        <w:t xml:space="preserve">sing both the TRC test and the UCT. </w:t>
      </w:r>
      <w:r w:rsidR="002C36DB" w:rsidRPr="00F6205B">
        <w:t>Cost-effectiveness testing tools developed for use in this study were based on a reference model provided by Eversource. The methodology used in the Eversource tool and the methodology used for this study are consistent with one another. All benefits from the 2016 Avoided Energy Supply Costs study were included as benefits for the TRC test. For the UCT, all benefits except emissions, water, and non-resource benefits were included.</w:t>
      </w:r>
    </w:p>
    <w:p w14:paraId="3EB8AFC7" w14:textId="1587C8CD" w:rsidR="00C153D7" w:rsidRPr="00F6205B" w:rsidRDefault="002C36DB" w:rsidP="00C153D7">
      <w:r w:rsidRPr="00F6205B">
        <w:t>The algorithms used for each test are below:</w:t>
      </w:r>
    </w:p>
    <w:p w14:paraId="4E3C2A60" w14:textId="77777777" w:rsidR="00C153D7" w:rsidRPr="00F6205B" w:rsidRDefault="00C153D7" w:rsidP="00C153D7">
      <w:pPr>
        <w:rPr>
          <w:b/>
        </w:rPr>
      </w:pPr>
      <w:r w:rsidRPr="00F6205B">
        <w:rPr>
          <w:b/>
        </w:rPr>
        <w:t>Total Resource Cost Test</w:t>
      </w:r>
    </w:p>
    <w:p w14:paraId="753290D8" w14:textId="77777777" w:rsidR="00C153D7" w:rsidRPr="00F6205B" w:rsidRDefault="00796FE4" w:rsidP="00C153D7">
      <w:pPr>
        <w:ind w:left="420"/>
      </w:pPr>
      <m:oMathPara>
        <m:oMathParaPr>
          <m:jc m:val="center"/>
        </m:oMathParaPr>
        <m:oMath>
          <m:sSub>
            <m:sSubPr>
              <m:ctrlPr>
                <w:rPr>
                  <w:rFonts w:ascii="Cambria Math" w:hAnsi="Cambria Math"/>
                  <w:i/>
                </w:rPr>
              </m:ctrlPr>
            </m:sSubPr>
            <m:e>
              <m:r>
                <w:rPr>
                  <w:rFonts w:ascii="Cambria Math" w:hAnsi="Cambria Math"/>
                </w:rPr>
                <m:t>BC</m:t>
              </m:r>
            </m:e>
            <m:sub>
              <m:r>
                <w:rPr>
                  <w:rFonts w:ascii="Cambria Math" w:hAnsi="Cambria Math"/>
                </w:rPr>
                <m:t>TRC</m:t>
              </m:r>
            </m:sub>
          </m:sSub>
          <m:r>
            <w:rPr>
              <w:rFonts w:ascii="Cambria Math" w:hAnsi="Cambria Math"/>
            </w:rPr>
            <m:t>=</m:t>
          </m:r>
          <m:f>
            <m:fPr>
              <m:ctrlPr>
                <w:rPr>
                  <w:rFonts w:ascii="Cambria Math" w:hAnsi="Cambria Math"/>
                  <w:i/>
                </w:rPr>
              </m:ctrlPr>
            </m:fPr>
            <m:num>
              <m:r>
                <w:rPr>
                  <w:rFonts w:ascii="Cambria Math" w:hAnsi="Cambria Math"/>
                </w:rPr>
                <m:t>Sum of Utility and Customer Benefits</m:t>
              </m:r>
            </m:num>
            <m:den>
              <m:r>
                <w:rPr>
                  <w:rFonts w:ascii="Cambria Math" w:hAnsi="Cambria Math"/>
                </w:rPr>
                <m:t>Total Resource Cost</m:t>
              </m:r>
            </m:den>
          </m:f>
        </m:oMath>
      </m:oMathPara>
    </w:p>
    <w:p w14:paraId="2FEBA4DB" w14:textId="37E8754A" w:rsidR="00C153D7" w:rsidRPr="00F6205B" w:rsidRDefault="001B4F88" w:rsidP="001B4F88">
      <w:pPr>
        <w:ind w:left="1440"/>
        <w:rPr>
          <w:sz w:val="20"/>
        </w:rPr>
      </w:pPr>
      <w:r w:rsidRPr="00F6205B">
        <w:rPr>
          <w:sz w:val="20"/>
        </w:rPr>
        <w:t>w</w:t>
      </w:r>
      <w:r w:rsidR="00C153D7" w:rsidRPr="00F6205B">
        <w:rPr>
          <w:sz w:val="20"/>
        </w:rPr>
        <w:t>here:</w:t>
      </w:r>
    </w:p>
    <w:p w14:paraId="7E203F18" w14:textId="0139A1EA" w:rsidR="00C153D7" w:rsidRPr="00F6205B" w:rsidRDefault="00C153D7" w:rsidP="001B4F88">
      <w:pPr>
        <w:ind w:left="840"/>
        <w:jc w:val="both"/>
      </w:pPr>
      <m:oMathPara>
        <m:oMath>
          <m:r>
            <w:rPr>
              <w:rFonts w:ascii="Cambria Math" w:hAnsi="Cambria Math"/>
            </w:rPr>
            <m:t>Total Resource Cost=Program Cost+Participant Cost</m:t>
          </m:r>
        </m:oMath>
      </m:oMathPara>
    </w:p>
    <w:p w14:paraId="36217E3F" w14:textId="77777777" w:rsidR="00C153D7" w:rsidRPr="00F6205B" w:rsidRDefault="00C153D7" w:rsidP="001B4F88">
      <w:pPr>
        <w:ind w:left="840"/>
        <w:jc w:val="both"/>
      </w:pPr>
      <m:oMathPara>
        <m:oMath>
          <m:r>
            <w:rPr>
              <w:rFonts w:ascii="Cambria Math" w:hAnsi="Cambria Math"/>
            </w:rPr>
            <m:t>Program Cost=Incentive Cost+Administrative Cost</m:t>
          </m:r>
          <m:r>
            <w:rPr>
              <w:rStyle w:val="FootnoteReference"/>
              <w:rFonts w:ascii="Cambria Math" w:hAnsi="Cambria Math"/>
              <w:i/>
            </w:rPr>
            <w:footnoteReference w:id="28"/>
          </m:r>
        </m:oMath>
      </m:oMathPara>
    </w:p>
    <w:p w14:paraId="3DF4FA8C" w14:textId="77777777" w:rsidR="00C153D7" w:rsidRPr="00F6205B" w:rsidRDefault="00C153D7" w:rsidP="00C153D7">
      <w:pPr>
        <w:rPr>
          <w:b/>
          <w:u w:val="single"/>
        </w:rPr>
      </w:pPr>
    </w:p>
    <w:p w14:paraId="7A3CA785" w14:textId="77777777" w:rsidR="00C153D7" w:rsidRPr="00F6205B" w:rsidRDefault="00C153D7" w:rsidP="00C153D7">
      <w:pPr>
        <w:rPr>
          <w:b/>
        </w:rPr>
      </w:pPr>
      <w:r w:rsidRPr="00F6205B">
        <w:rPr>
          <w:b/>
        </w:rPr>
        <w:t>Utility Cost Test</w:t>
      </w:r>
    </w:p>
    <w:p w14:paraId="03F39148" w14:textId="77777777" w:rsidR="00C153D7" w:rsidRPr="00F6205B" w:rsidRDefault="00796FE4" w:rsidP="00C153D7">
      <w:pPr>
        <w:ind w:left="420"/>
      </w:pPr>
      <m:oMathPara>
        <m:oMathParaPr>
          <m:jc m:val="center"/>
        </m:oMathParaPr>
        <m:oMath>
          <m:sSub>
            <m:sSubPr>
              <m:ctrlPr>
                <w:rPr>
                  <w:rFonts w:ascii="Cambria Math" w:hAnsi="Cambria Math"/>
                  <w:i/>
                </w:rPr>
              </m:ctrlPr>
            </m:sSubPr>
            <m:e>
              <m:r>
                <w:rPr>
                  <w:rFonts w:ascii="Cambria Math" w:hAnsi="Cambria Math"/>
                </w:rPr>
                <m:t>BC</m:t>
              </m:r>
            </m:e>
            <m:sub>
              <m:r>
                <w:rPr>
                  <w:rFonts w:ascii="Cambria Math" w:hAnsi="Cambria Math"/>
                </w:rPr>
                <m:t>UCT</m:t>
              </m:r>
            </m:sub>
          </m:sSub>
          <m:r>
            <w:rPr>
              <w:rFonts w:ascii="Cambria Math" w:hAnsi="Cambria Math"/>
            </w:rPr>
            <m:t>=</m:t>
          </m:r>
          <m:f>
            <m:fPr>
              <m:ctrlPr>
                <w:rPr>
                  <w:rFonts w:ascii="Cambria Math" w:hAnsi="Cambria Math"/>
                  <w:i/>
                </w:rPr>
              </m:ctrlPr>
            </m:fPr>
            <m:num>
              <m:r>
                <w:rPr>
                  <w:rFonts w:ascii="Cambria Math" w:hAnsi="Cambria Math"/>
                </w:rPr>
                <m:t>Sum of Utility Benefits</m:t>
              </m:r>
            </m:num>
            <m:den>
              <m:r>
                <w:rPr>
                  <w:rFonts w:ascii="Cambria Math" w:hAnsi="Cambria Math"/>
                </w:rPr>
                <m:t>Program Cost</m:t>
              </m:r>
            </m:den>
          </m:f>
        </m:oMath>
      </m:oMathPara>
    </w:p>
    <w:p w14:paraId="01FA16CA" w14:textId="51A68863" w:rsidR="00C153D7" w:rsidRPr="00F6205B" w:rsidRDefault="00743EAE" w:rsidP="000D5CD0">
      <w:pPr>
        <w:pStyle w:val="Heading3"/>
        <w:numPr>
          <w:ilvl w:val="0"/>
          <w:numId w:val="0"/>
        </w:numPr>
        <w:jc w:val="both"/>
      </w:pPr>
      <w:bookmarkStart w:id="93" w:name="_Toc439939393"/>
      <w:r w:rsidRPr="00F6205B">
        <w:lastRenderedPageBreak/>
        <w:t>Cost-Effectiveness Screening</w:t>
      </w:r>
      <w:r w:rsidR="00507FAC" w:rsidRPr="00F6205B">
        <w:t xml:space="preserve"> Process</w:t>
      </w:r>
      <w:bookmarkEnd w:id="93"/>
    </w:p>
    <w:p w14:paraId="7248ECE4" w14:textId="7FDC40AB" w:rsidR="00C153D7" w:rsidRPr="00F6205B" w:rsidRDefault="00C153D7" w:rsidP="00C153D7">
      <w:r w:rsidRPr="00F6205B">
        <w:t>As noted earlier, this study made use of REM/Rate models for 180 existing single-family homes in Connecticut. As part of the technical potential assessment</w:t>
      </w:r>
      <w:r w:rsidR="007A0614">
        <w:t>,</w:t>
      </w:r>
      <w:r w:rsidRPr="00F6205B">
        <w:t xml:space="preserve"> each of the 43 measures </w:t>
      </w:r>
      <w:r w:rsidR="009D09F6" w:rsidRPr="00F6205B">
        <w:t>under consideration</w:t>
      </w:r>
      <w:r w:rsidRPr="00F6205B">
        <w:t xml:space="preserve"> was modeled individually to show the potential savings of individual measures. The savings associated with these individual model runs were used as the savings inputs for cost-effectiveness screening. Given that the savings for each measure varied by household</w:t>
      </w:r>
      <w:r w:rsidR="007A0614">
        <w:t>,</w:t>
      </w:r>
      <w:r w:rsidRPr="00F6205B">
        <w:t xml:space="preserve"> the cost-effectiveness of each measure was screened at the measure level for each of the 180 sites in the sample. For example, an </w:t>
      </w:r>
      <w:r w:rsidR="007A0614">
        <w:t>R-13 wall insulation upgrade might</w:t>
      </w:r>
      <w:r w:rsidRPr="00F6205B">
        <w:t xml:space="preserve"> pass cost-effectiveness screening at a home that previously had uninsulated walls, while the same upgrade may not pass cost-effectiveness screening at a home that </w:t>
      </w:r>
      <w:r w:rsidR="00743EAE" w:rsidRPr="00F6205B">
        <w:t>previously had R-11 insulation.</w:t>
      </w:r>
    </w:p>
    <w:p w14:paraId="1A5A007C" w14:textId="5B520235" w:rsidR="00743EAE" w:rsidRPr="00F6205B" w:rsidRDefault="003C732B" w:rsidP="003C732B">
      <w:pPr>
        <w:pStyle w:val="Heading4"/>
        <w:numPr>
          <w:ilvl w:val="0"/>
          <w:numId w:val="0"/>
        </w:numPr>
      </w:pPr>
      <w:r w:rsidRPr="00F6205B">
        <w:t xml:space="preserve">Full Cost &amp; </w:t>
      </w:r>
      <w:r w:rsidR="00743EAE" w:rsidRPr="00F6205B">
        <w:t>Net Measure Cost</w:t>
      </w:r>
    </w:p>
    <w:p w14:paraId="5E93C9CA" w14:textId="69125209" w:rsidR="00F22054" w:rsidRPr="00F6205B" w:rsidRDefault="00031CF8" w:rsidP="003C732B">
      <w:pPr>
        <w:rPr>
          <w:lang w:bidi="ar-SA"/>
        </w:rPr>
      </w:pPr>
      <w:r w:rsidRPr="00F6205B">
        <w:rPr>
          <w:lang w:bidi="ar-SA"/>
        </w:rPr>
        <w:t>One of two types of cost</w:t>
      </w:r>
      <w:r w:rsidR="00AF2EBB">
        <w:rPr>
          <w:lang w:bidi="ar-SA"/>
        </w:rPr>
        <w:t>s</w:t>
      </w:r>
      <w:r w:rsidRPr="00F6205B">
        <w:rPr>
          <w:lang w:bidi="ar-SA"/>
        </w:rPr>
        <w:t xml:space="preserve"> w</w:t>
      </w:r>
      <w:r w:rsidR="00AF2EBB">
        <w:rPr>
          <w:lang w:bidi="ar-SA"/>
        </w:rPr>
        <w:t>ere</w:t>
      </w:r>
      <w:r w:rsidRPr="00F6205B">
        <w:rPr>
          <w:lang w:bidi="ar-SA"/>
        </w:rPr>
        <w:t xml:space="preserve"> included in the TRC ratio for the purposes of screening measures for cost-effectiveness. For measures that are not subject to </w:t>
      </w:r>
      <w:r w:rsidR="007A0614">
        <w:rPr>
          <w:lang w:bidi="ar-SA"/>
        </w:rPr>
        <w:t xml:space="preserve">federal </w:t>
      </w:r>
      <w:r w:rsidRPr="00F6205B">
        <w:rPr>
          <w:lang w:bidi="ar-SA"/>
        </w:rPr>
        <w:t>minimum efficiency standards—</w:t>
      </w:r>
      <w:r w:rsidR="00040DF8" w:rsidRPr="00F6205B">
        <w:rPr>
          <w:lang w:bidi="ar-SA"/>
        </w:rPr>
        <w:t>e.g. insulation, air sealing, pipe insulation, or photovoltaics—</w:t>
      </w:r>
      <w:r w:rsidR="009C0FDA" w:rsidRPr="00F6205B">
        <w:rPr>
          <w:lang w:bidi="ar-SA"/>
        </w:rPr>
        <w:t>the full cost of the upgrade was used to calculate the ratio.</w:t>
      </w:r>
    </w:p>
    <w:p w14:paraId="6F402844" w14:textId="7EE220D9" w:rsidR="003C732B" w:rsidRPr="00F6205B" w:rsidRDefault="003C732B" w:rsidP="003C732B">
      <w:pPr>
        <w:rPr>
          <w:lang w:bidi="ar-SA"/>
        </w:rPr>
      </w:pPr>
      <w:r w:rsidRPr="00F6205B">
        <w:rPr>
          <w:lang w:bidi="ar-SA"/>
        </w:rPr>
        <w:t xml:space="preserve">For measures </w:t>
      </w:r>
      <w:r w:rsidR="007A0614">
        <w:rPr>
          <w:lang w:bidi="ar-SA"/>
        </w:rPr>
        <w:t xml:space="preserve">that are </w:t>
      </w:r>
      <w:r w:rsidRPr="00F6205B">
        <w:rPr>
          <w:lang w:bidi="ar-SA"/>
        </w:rPr>
        <w:t xml:space="preserve">subject to </w:t>
      </w:r>
      <w:r w:rsidR="00DA3E6B" w:rsidRPr="00F6205B">
        <w:rPr>
          <w:lang w:bidi="ar-SA"/>
        </w:rPr>
        <w:t xml:space="preserve">changing </w:t>
      </w:r>
      <w:r w:rsidRPr="00F6205B">
        <w:rPr>
          <w:lang w:bidi="ar-SA"/>
        </w:rPr>
        <w:t xml:space="preserve">federal </w:t>
      </w:r>
      <w:r w:rsidR="00031CF8" w:rsidRPr="00F6205B">
        <w:rPr>
          <w:lang w:bidi="ar-SA"/>
        </w:rPr>
        <w:t xml:space="preserve">minimum efficiency </w:t>
      </w:r>
      <w:r w:rsidRPr="00F6205B">
        <w:rPr>
          <w:lang w:bidi="ar-SA"/>
        </w:rPr>
        <w:t>standards</w:t>
      </w:r>
      <w:r w:rsidR="007A0614">
        <w:rPr>
          <w:lang w:bidi="ar-SA"/>
        </w:rPr>
        <w:t>—e.g. HVAC equipment or</w:t>
      </w:r>
      <w:r w:rsidR="00031CF8" w:rsidRPr="00F6205B">
        <w:rPr>
          <w:lang w:bidi="ar-SA"/>
        </w:rPr>
        <w:t xml:space="preserve"> appliances—</w:t>
      </w:r>
      <w:r w:rsidRPr="00F6205B">
        <w:rPr>
          <w:lang w:bidi="ar-SA"/>
        </w:rPr>
        <w:t xml:space="preserve">a net measure cost (NMC) was calculated for use in the benefit/cost equation. This </w:t>
      </w:r>
      <w:r w:rsidR="00FD17B5" w:rsidRPr="00F6205B">
        <w:rPr>
          <w:lang w:bidi="ar-SA"/>
        </w:rPr>
        <w:t>NMC</w:t>
      </w:r>
      <w:r w:rsidRPr="00F6205B">
        <w:rPr>
          <w:lang w:bidi="ar-SA"/>
        </w:rPr>
        <w:t xml:space="preserve"> is equal to the full cost of the efficient upgrade measure minus a deferred replacement credit.</w:t>
      </w:r>
      <w:r w:rsidRPr="00F6205B">
        <w:rPr>
          <w:rStyle w:val="FootnoteReference"/>
          <w:lang w:bidi="ar-SA"/>
        </w:rPr>
        <w:footnoteReference w:id="29"/>
      </w:r>
      <w:r w:rsidRPr="00F6205B">
        <w:rPr>
          <w:lang w:bidi="ar-SA"/>
        </w:rPr>
        <w:t xml:space="preserve"> The deferred replacement credit is calculated using this equation</w:t>
      </w:r>
      <w:r w:rsidR="00264A9E">
        <w:rPr>
          <w:rStyle w:val="FootnoteReference"/>
          <w:lang w:bidi="ar-SA"/>
        </w:rPr>
        <w:footnoteReference w:id="30"/>
      </w:r>
      <w:r w:rsidR="00264A9E" w:rsidRPr="00F6205B">
        <w:rPr>
          <w:lang w:bidi="ar-SA"/>
        </w:rPr>
        <w:t>:</w:t>
      </w:r>
    </w:p>
    <w:p w14:paraId="0B559BE9" w14:textId="77777777" w:rsidR="003C732B" w:rsidRPr="00F6205B" w:rsidRDefault="003C732B" w:rsidP="003C732B">
      <w:pPr>
        <w:rPr>
          <w:rFonts w:ascii="Cambria Math" w:hAnsi="Cambria Math"/>
          <w:i/>
          <w:lang w:bidi="ar-SA"/>
        </w:rPr>
      </w:pPr>
      <m:oMathPara>
        <m:oMathParaPr>
          <m:jc m:val="center"/>
        </m:oMathParaPr>
        <m:oMath>
          <m:r>
            <w:rPr>
              <w:rFonts w:ascii="Cambria Math" w:hAnsi="Cambria Math"/>
              <w:lang w:bidi="ar-SA"/>
            </w:rPr>
            <m:t>DRC=</m:t>
          </m:r>
          <m:f>
            <m:fPr>
              <m:ctrlPr>
                <w:rPr>
                  <w:rFonts w:ascii="Cambria Math" w:hAnsi="Cambria Math"/>
                  <w:i/>
                  <w:lang w:bidi="ar-SA"/>
                </w:rPr>
              </m:ctrlPr>
            </m:fPr>
            <m:num>
              <m:r>
                <w:rPr>
                  <w:rFonts w:ascii="Cambria Math" w:hAnsi="Cambria Math"/>
                  <w:lang w:bidi="ar-SA"/>
                </w:rPr>
                <m:t>PV</m:t>
              </m:r>
              <m:d>
                <m:dPr>
                  <m:begChr m:val="["/>
                  <m:endChr m:val="]"/>
                  <m:ctrlPr>
                    <w:rPr>
                      <w:rFonts w:ascii="Cambria Math" w:hAnsi="Cambria Math"/>
                      <w:i/>
                      <w:lang w:bidi="ar-SA"/>
                    </w:rPr>
                  </m:ctrlPr>
                </m:dPr>
                <m:e>
                  <m:r>
                    <w:rPr>
                      <w:rFonts w:ascii="Cambria Math" w:hAnsi="Cambria Math"/>
                      <w:lang w:bidi="ar-SA"/>
                    </w:rPr>
                    <m:t>R,BA,PMT</m:t>
                  </m:r>
                  <m:d>
                    <m:dPr>
                      <m:ctrlPr>
                        <w:rPr>
                          <w:rFonts w:ascii="Cambria Math" w:hAnsi="Cambria Math"/>
                          <w:i/>
                          <w:lang w:bidi="ar-SA"/>
                        </w:rPr>
                      </m:ctrlPr>
                    </m:dPr>
                    <m:e>
                      <m:r>
                        <w:rPr>
                          <w:rFonts w:ascii="Cambria Math" w:hAnsi="Cambria Math"/>
                          <w:lang w:bidi="ar-SA"/>
                        </w:rPr>
                        <m:t>R,BL,BC</m:t>
                      </m:r>
                    </m:e>
                  </m:d>
                </m:e>
              </m:d>
            </m:num>
            <m:den>
              <m:sSup>
                <m:sSupPr>
                  <m:ctrlPr>
                    <w:rPr>
                      <w:rFonts w:ascii="Cambria Math" w:hAnsi="Cambria Math"/>
                      <w:i/>
                      <w:lang w:bidi="ar-SA"/>
                    </w:rPr>
                  </m:ctrlPr>
                </m:sSupPr>
                <m:e>
                  <m:d>
                    <m:dPr>
                      <m:ctrlPr>
                        <w:rPr>
                          <w:rFonts w:ascii="Cambria Math" w:hAnsi="Cambria Math"/>
                          <w:i/>
                          <w:lang w:bidi="ar-SA"/>
                        </w:rPr>
                      </m:ctrlPr>
                    </m:dPr>
                    <m:e>
                      <m:r>
                        <w:rPr>
                          <w:rFonts w:ascii="Cambria Math" w:hAnsi="Cambria Math"/>
                          <w:lang w:bidi="ar-SA"/>
                        </w:rPr>
                        <m:t>1+R</m:t>
                      </m:r>
                    </m:e>
                  </m:d>
                </m:e>
                <m:sup>
                  <m:r>
                    <w:rPr>
                      <w:rFonts w:ascii="Cambria Math" w:hAnsi="Cambria Math"/>
                      <w:lang w:bidi="ar-SA"/>
                    </w:rPr>
                    <m:t>BL-BA</m:t>
                  </m:r>
                </m:sup>
              </m:sSup>
            </m:den>
          </m:f>
        </m:oMath>
      </m:oMathPara>
    </w:p>
    <w:p w14:paraId="6E4B0000" w14:textId="77777777" w:rsidR="003C732B" w:rsidRPr="00F6205B" w:rsidRDefault="003C732B" w:rsidP="003C732B">
      <w:pPr>
        <w:pStyle w:val="ListParagraph"/>
        <w:ind w:left="1440"/>
        <w:contextualSpacing w:val="0"/>
        <w:rPr>
          <w:i/>
          <w:sz w:val="18"/>
          <w:lang w:bidi="ar-SA"/>
        </w:rPr>
      </w:pPr>
      <w:r w:rsidRPr="00F6205B">
        <w:rPr>
          <w:i/>
          <w:sz w:val="18"/>
          <w:lang w:bidi="ar-SA"/>
        </w:rPr>
        <w:t>where:</w:t>
      </w:r>
    </w:p>
    <w:p w14:paraId="4E4BEF58" w14:textId="77777777" w:rsidR="003C732B" w:rsidRPr="00F6205B" w:rsidRDefault="003C732B" w:rsidP="003C732B">
      <w:pPr>
        <w:pStyle w:val="ListParagraph"/>
        <w:spacing w:after="0"/>
        <w:ind w:left="1440"/>
        <w:contextualSpacing w:val="0"/>
        <w:rPr>
          <w:sz w:val="18"/>
          <w:lang w:bidi="ar-SA"/>
        </w:rPr>
      </w:pPr>
      <w:r w:rsidRPr="00F6205B">
        <w:rPr>
          <w:sz w:val="18"/>
          <w:lang w:bidi="ar-SA"/>
        </w:rPr>
        <w:t>R = real discount rate</w:t>
      </w:r>
    </w:p>
    <w:p w14:paraId="5229D9CF" w14:textId="77777777" w:rsidR="003C732B" w:rsidRPr="00F6205B" w:rsidRDefault="003C732B" w:rsidP="003C732B">
      <w:pPr>
        <w:pStyle w:val="ListParagraph"/>
        <w:spacing w:after="0"/>
        <w:ind w:left="1440"/>
        <w:contextualSpacing w:val="0"/>
        <w:rPr>
          <w:sz w:val="18"/>
          <w:lang w:bidi="ar-SA"/>
        </w:rPr>
      </w:pPr>
      <w:r w:rsidRPr="00F6205B">
        <w:rPr>
          <w:sz w:val="18"/>
          <w:lang w:bidi="ar-SA"/>
        </w:rPr>
        <w:t>BA = baseline measure age</w:t>
      </w:r>
    </w:p>
    <w:p w14:paraId="2A95C80C" w14:textId="77777777" w:rsidR="003C732B" w:rsidRPr="00F6205B" w:rsidRDefault="003C732B" w:rsidP="003C732B">
      <w:pPr>
        <w:pStyle w:val="ListParagraph"/>
        <w:spacing w:after="0"/>
        <w:ind w:left="1440"/>
        <w:contextualSpacing w:val="0"/>
        <w:rPr>
          <w:sz w:val="18"/>
          <w:lang w:bidi="ar-SA"/>
        </w:rPr>
      </w:pPr>
      <w:r w:rsidRPr="00F6205B">
        <w:rPr>
          <w:sz w:val="18"/>
          <w:lang w:bidi="ar-SA"/>
        </w:rPr>
        <w:t>BL = baseline measure lifetime</w:t>
      </w:r>
    </w:p>
    <w:p w14:paraId="4F2832C6" w14:textId="77777777" w:rsidR="003C732B" w:rsidRPr="00F6205B" w:rsidRDefault="003C732B" w:rsidP="003C732B">
      <w:pPr>
        <w:pStyle w:val="ListParagraph"/>
        <w:spacing w:after="0"/>
        <w:ind w:left="1440"/>
        <w:contextualSpacing w:val="0"/>
        <w:rPr>
          <w:sz w:val="18"/>
          <w:lang w:bidi="ar-SA"/>
        </w:rPr>
      </w:pPr>
      <w:r w:rsidRPr="00F6205B">
        <w:rPr>
          <w:sz w:val="18"/>
          <w:lang w:bidi="ar-SA"/>
        </w:rPr>
        <w:t>BC = baseline measure cost</w:t>
      </w:r>
    </w:p>
    <w:p w14:paraId="5430BB88" w14:textId="77777777" w:rsidR="003C732B" w:rsidRPr="00F6205B" w:rsidRDefault="003C732B" w:rsidP="003C732B">
      <w:pPr>
        <w:pStyle w:val="ListParagraph"/>
        <w:spacing w:after="0"/>
        <w:ind w:left="1440"/>
        <w:contextualSpacing w:val="0"/>
        <w:rPr>
          <w:sz w:val="18"/>
          <w:lang w:bidi="ar-SA"/>
        </w:rPr>
      </w:pPr>
      <w:r w:rsidRPr="00F6205B">
        <w:rPr>
          <w:sz w:val="18"/>
          <w:lang w:bidi="ar-SA"/>
        </w:rPr>
        <w:t>PV = the present value at discount rate R of BA number of payments</w:t>
      </w:r>
    </w:p>
    <w:p w14:paraId="08353FC3" w14:textId="23497F86" w:rsidR="00E65C83" w:rsidRPr="00F6205B" w:rsidRDefault="003C732B" w:rsidP="00E65C83">
      <w:pPr>
        <w:pStyle w:val="ListParagraph"/>
        <w:ind w:left="1440"/>
        <w:contextualSpacing w:val="0"/>
        <w:rPr>
          <w:sz w:val="18"/>
          <w:lang w:bidi="ar-SA"/>
        </w:rPr>
      </w:pPr>
      <w:r w:rsidRPr="00F6205B">
        <w:rPr>
          <w:sz w:val="18"/>
          <w:lang w:bidi="ar-SA"/>
        </w:rPr>
        <w:t>PMT = the payment for an annuity of BL number of years that yields a present value BC given discount rate R</w:t>
      </w:r>
    </w:p>
    <w:p w14:paraId="21C695A5" w14:textId="5A5B0CE9" w:rsidR="00743EAE" w:rsidRPr="00F6205B" w:rsidRDefault="00743EAE" w:rsidP="003C732B">
      <w:pPr>
        <w:pStyle w:val="Heading4"/>
        <w:numPr>
          <w:ilvl w:val="0"/>
          <w:numId w:val="0"/>
        </w:numPr>
      </w:pPr>
      <w:r w:rsidRPr="00F6205B">
        <w:t>Adjusted Savings</w:t>
      </w:r>
    </w:p>
    <w:p w14:paraId="720B1DA2" w14:textId="7247FE4D" w:rsidR="00743EAE" w:rsidRPr="00F6205B" w:rsidRDefault="00B7329D" w:rsidP="00743EAE">
      <w:r w:rsidRPr="00F6205B">
        <w:t xml:space="preserve">The dollar benefits that comprise the numerator of the benefit/cost equation were calculated using measure-level savings </w:t>
      </w:r>
      <w:r w:rsidR="00E37C72" w:rsidRPr="00F6205B">
        <w:t xml:space="preserve">modeled in the technical potential stage. </w:t>
      </w:r>
      <w:r w:rsidR="0075483F" w:rsidRPr="00F6205B">
        <w:t xml:space="preserve">However, these savings had to be revised for 25 of the 43 measures in order to take into account the </w:t>
      </w:r>
      <w:r w:rsidR="0075483F" w:rsidRPr="00F6205B">
        <w:lastRenderedPageBreak/>
        <w:t xml:space="preserve">baseline shift resulting from changes in </w:t>
      </w:r>
      <w:r w:rsidR="007A0614">
        <w:t>codes and</w:t>
      </w:r>
      <w:r w:rsidR="0075483F" w:rsidRPr="00F6205B">
        <w:t xml:space="preserve"> standards. For each of these 25 measures, three types of savings were </w:t>
      </w:r>
      <w:r w:rsidR="007A0614">
        <w:t>calculated</w:t>
      </w:r>
      <w:r w:rsidR="0075483F" w:rsidRPr="00F6205B">
        <w:t>:</w:t>
      </w:r>
    </w:p>
    <w:p w14:paraId="3DE5E471" w14:textId="43410F21" w:rsidR="0075483F" w:rsidRPr="00F6205B" w:rsidRDefault="0075483F" w:rsidP="00F52E2F">
      <w:pPr>
        <w:pStyle w:val="ListParagraph"/>
        <w:numPr>
          <w:ilvl w:val="0"/>
          <w:numId w:val="37"/>
        </w:numPr>
        <w:rPr>
          <w:lang w:bidi="ar-SA"/>
        </w:rPr>
      </w:pPr>
      <w:r w:rsidRPr="00F6205B">
        <w:rPr>
          <w:b/>
          <w:lang w:bidi="ar-SA"/>
        </w:rPr>
        <w:t>Early retirement savings</w:t>
      </w:r>
      <w:r w:rsidRPr="00F6205B">
        <w:rPr>
          <w:lang w:bidi="ar-SA"/>
        </w:rPr>
        <w:t>, which reflect the difference in consumption between a high-efficiency upgrade unit and the existing unit;</w:t>
      </w:r>
    </w:p>
    <w:p w14:paraId="37799326" w14:textId="77777777" w:rsidR="0075483F" w:rsidRPr="00F6205B" w:rsidRDefault="0075483F" w:rsidP="00F52E2F">
      <w:pPr>
        <w:pStyle w:val="ListParagraph"/>
        <w:numPr>
          <w:ilvl w:val="0"/>
          <w:numId w:val="37"/>
        </w:numPr>
        <w:rPr>
          <w:lang w:bidi="ar-SA"/>
        </w:rPr>
      </w:pPr>
      <w:r w:rsidRPr="00F6205B">
        <w:rPr>
          <w:b/>
          <w:lang w:bidi="ar-SA"/>
        </w:rPr>
        <w:t>Lost opportunity savings under the current federal standard</w:t>
      </w:r>
      <w:r w:rsidRPr="00F6205B">
        <w:rPr>
          <w:lang w:bidi="ar-SA"/>
        </w:rPr>
        <w:t>, which reflect the difference in consumption between a high-efficiency upgrade unit and a replacement unit meeting the federal minimum efficiency standard in place in 2016, the first year of the study window; and</w:t>
      </w:r>
    </w:p>
    <w:p w14:paraId="4E0EF950" w14:textId="77777777" w:rsidR="0075483F" w:rsidRPr="00F6205B" w:rsidRDefault="0075483F" w:rsidP="00F52E2F">
      <w:pPr>
        <w:pStyle w:val="ListParagraph"/>
        <w:numPr>
          <w:ilvl w:val="0"/>
          <w:numId w:val="37"/>
        </w:numPr>
        <w:rPr>
          <w:lang w:bidi="ar-SA"/>
        </w:rPr>
      </w:pPr>
      <w:r w:rsidRPr="00F6205B">
        <w:rPr>
          <w:b/>
          <w:lang w:bidi="ar-SA"/>
        </w:rPr>
        <w:t>Lost opportunity savings under a future federal standard</w:t>
      </w:r>
      <w:r w:rsidRPr="00F6205B">
        <w:rPr>
          <w:lang w:bidi="ar-SA"/>
        </w:rPr>
        <w:t>, which reflect the difference in consumption between a high-efficiency upgrade unit and a replacement unit meeting a future standard.</w:t>
      </w:r>
      <w:r w:rsidRPr="00F6205B">
        <w:rPr>
          <w:rStyle w:val="FootnoteReference"/>
          <w:lang w:bidi="ar-SA"/>
        </w:rPr>
        <w:footnoteReference w:id="31"/>
      </w:r>
      <w:r w:rsidRPr="00F6205B">
        <w:rPr>
          <w:lang w:bidi="ar-SA"/>
        </w:rPr>
        <w:t xml:space="preserve"> For clothes washers, there are two future federal standards; for the other 24 measures, there is only one.</w:t>
      </w:r>
    </w:p>
    <w:p w14:paraId="2F7F4A1B" w14:textId="2D5F5430" w:rsidR="0075483F" w:rsidRPr="00F6205B" w:rsidRDefault="0075483F" w:rsidP="0075483F">
      <w:pPr>
        <w:rPr>
          <w:lang w:bidi="ar-SA"/>
        </w:rPr>
      </w:pPr>
      <w:r w:rsidRPr="00F6205B">
        <w:rPr>
          <w:lang w:bidi="ar-SA"/>
        </w:rPr>
        <w:t xml:space="preserve">Early retirement savings were derived </w:t>
      </w:r>
      <w:r w:rsidR="00DE66E8" w:rsidRPr="00F6205B">
        <w:rPr>
          <w:lang w:bidi="ar-SA"/>
        </w:rPr>
        <w:t xml:space="preserve">directly </w:t>
      </w:r>
      <w:r w:rsidRPr="00F6205B">
        <w:rPr>
          <w:lang w:bidi="ar-SA"/>
        </w:rPr>
        <w:t>from the REM/Rate models developed in</w:t>
      </w:r>
      <w:r w:rsidR="00DE66E8" w:rsidRPr="00F6205B">
        <w:rPr>
          <w:lang w:bidi="ar-SA"/>
        </w:rPr>
        <w:t xml:space="preserve"> the technical p</w:t>
      </w:r>
      <w:r w:rsidRPr="00F6205B">
        <w:rPr>
          <w:lang w:bidi="ar-SA"/>
        </w:rPr>
        <w:t xml:space="preserve">otential stage of the study. Both varieties of lost opportunity savings were calculated using the following </w:t>
      </w:r>
      <w:r w:rsidR="00D320C3" w:rsidRPr="00F6205B">
        <w:rPr>
          <w:lang w:bidi="ar-SA"/>
        </w:rPr>
        <w:t xml:space="preserve">basic </w:t>
      </w:r>
      <w:r w:rsidRPr="00F6205B">
        <w:rPr>
          <w:lang w:bidi="ar-SA"/>
        </w:rPr>
        <w:t>formula</w:t>
      </w:r>
      <w:r w:rsidR="00CC11EE" w:rsidRPr="00F6205B">
        <w:rPr>
          <w:lang w:bidi="ar-SA"/>
        </w:rPr>
        <w:t xml:space="preserve"> (some variations exist between measures)</w:t>
      </w:r>
      <w:r w:rsidRPr="00F6205B">
        <w:rPr>
          <w:lang w:bidi="ar-SA"/>
        </w:rPr>
        <w:t>:</w:t>
      </w:r>
    </w:p>
    <w:p w14:paraId="414AB1B2" w14:textId="77777777" w:rsidR="0075483F" w:rsidRPr="00F6205B" w:rsidRDefault="0075483F" w:rsidP="0075483F">
      <w:pPr>
        <w:rPr>
          <w:lang w:bidi="ar-SA"/>
        </w:rPr>
      </w:pPr>
      <m:oMathPara>
        <m:oMath>
          <m:r>
            <w:rPr>
              <w:rFonts w:ascii="Cambria Math" w:hAnsi="Cambria Math"/>
              <w:lang w:bidi="ar-SA"/>
            </w:rPr>
            <m:t>L=B*</m:t>
          </m:r>
          <m:d>
            <m:dPr>
              <m:ctrlPr>
                <w:rPr>
                  <w:rFonts w:ascii="Cambria Math" w:hAnsi="Cambria Math"/>
                  <w:i/>
                  <w:lang w:bidi="ar-SA"/>
                </w:rPr>
              </m:ctrlPr>
            </m:dPr>
            <m:e>
              <m:f>
                <m:fPr>
                  <m:ctrlPr>
                    <w:rPr>
                      <w:rFonts w:ascii="Cambria Math" w:hAnsi="Cambria Math"/>
                      <w:i/>
                      <w:lang w:bidi="ar-SA"/>
                    </w:rPr>
                  </m:ctrlPr>
                </m:fPr>
                <m:num>
                  <m:r>
                    <w:rPr>
                      <w:rFonts w:ascii="Cambria Math" w:hAnsi="Cambria Math"/>
                      <w:lang w:bidi="ar-SA"/>
                    </w:rPr>
                    <m:t>E</m:t>
                  </m:r>
                </m:num>
                <m:den>
                  <m:r>
                    <w:rPr>
                      <w:rFonts w:ascii="Cambria Math" w:hAnsi="Cambria Math"/>
                      <w:lang w:bidi="ar-SA"/>
                    </w:rPr>
                    <m:t>F</m:t>
                  </m:r>
                </m:den>
              </m:f>
            </m:e>
          </m:d>
          <m:r>
            <w:rPr>
              <w:rFonts w:ascii="Cambria Math" w:hAnsi="Cambria Math"/>
              <w:lang w:bidi="ar-SA"/>
            </w:rPr>
            <m:t>-T</m:t>
          </m:r>
        </m:oMath>
      </m:oMathPara>
    </w:p>
    <w:p w14:paraId="698FC2DE" w14:textId="77777777" w:rsidR="0075483F" w:rsidRPr="00F6205B" w:rsidRDefault="0075483F" w:rsidP="0075483F">
      <w:pPr>
        <w:pStyle w:val="ListParagraph"/>
        <w:ind w:left="1440"/>
        <w:contextualSpacing w:val="0"/>
        <w:rPr>
          <w:i/>
          <w:sz w:val="18"/>
          <w:lang w:bidi="ar-SA"/>
        </w:rPr>
      </w:pPr>
      <w:r w:rsidRPr="00F6205B">
        <w:rPr>
          <w:i/>
          <w:sz w:val="18"/>
          <w:lang w:bidi="ar-SA"/>
        </w:rPr>
        <w:t>where:</w:t>
      </w:r>
    </w:p>
    <w:p w14:paraId="4B33AA3F" w14:textId="77777777" w:rsidR="0075483F" w:rsidRPr="00F6205B" w:rsidRDefault="0075483F" w:rsidP="0075483F">
      <w:pPr>
        <w:pStyle w:val="ListParagraph"/>
        <w:spacing w:after="0"/>
        <w:ind w:left="1440"/>
        <w:contextualSpacing w:val="0"/>
        <w:rPr>
          <w:sz w:val="18"/>
          <w:lang w:bidi="ar-SA"/>
        </w:rPr>
      </w:pPr>
      <w:r w:rsidRPr="00F6205B">
        <w:rPr>
          <w:sz w:val="18"/>
          <w:lang w:bidi="ar-SA"/>
        </w:rPr>
        <w:t>L = lost opportunity savings</w:t>
      </w:r>
    </w:p>
    <w:p w14:paraId="1817066F" w14:textId="77777777" w:rsidR="0075483F" w:rsidRPr="00F6205B" w:rsidRDefault="0075483F" w:rsidP="0075483F">
      <w:pPr>
        <w:pStyle w:val="ListParagraph"/>
        <w:spacing w:after="0"/>
        <w:ind w:left="1440"/>
        <w:contextualSpacing w:val="0"/>
        <w:rPr>
          <w:sz w:val="18"/>
          <w:lang w:bidi="ar-SA"/>
        </w:rPr>
      </w:pPr>
      <w:r w:rsidRPr="00F6205B">
        <w:rPr>
          <w:sz w:val="18"/>
          <w:lang w:bidi="ar-SA"/>
        </w:rPr>
        <w:t>B = baseline consumption at end use corresponding to measure in question</w:t>
      </w:r>
    </w:p>
    <w:p w14:paraId="465E981B" w14:textId="77777777" w:rsidR="0075483F" w:rsidRPr="00F6205B" w:rsidRDefault="0075483F" w:rsidP="0075483F">
      <w:pPr>
        <w:pStyle w:val="ListParagraph"/>
        <w:spacing w:after="0"/>
        <w:ind w:left="1440"/>
        <w:contextualSpacing w:val="0"/>
        <w:rPr>
          <w:sz w:val="18"/>
          <w:lang w:bidi="ar-SA"/>
        </w:rPr>
      </w:pPr>
      <w:r w:rsidRPr="00F6205B">
        <w:rPr>
          <w:sz w:val="18"/>
          <w:lang w:bidi="ar-SA"/>
        </w:rPr>
        <w:t>E = existing efficiency of unit</w:t>
      </w:r>
    </w:p>
    <w:p w14:paraId="35FE1E19" w14:textId="77777777" w:rsidR="0075483F" w:rsidRPr="00F6205B" w:rsidRDefault="0075483F" w:rsidP="0075483F">
      <w:pPr>
        <w:pStyle w:val="ListParagraph"/>
        <w:spacing w:after="0"/>
        <w:ind w:left="1440"/>
        <w:contextualSpacing w:val="0"/>
        <w:rPr>
          <w:sz w:val="18"/>
          <w:lang w:bidi="ar-SA"/>
        </w:rPr>
      </w:pPr>
      <w:r w:rsidRPr="00F6205B">
        <w:rPr>
          <w:sz w:val="18"/>
          <w:lang w:bidi="ar-SA"/>
        </w:rPr>
        <w:t>F = federal minimum efficiency standard for unit</w:t>
      </w:r>
      <w:r w:rsidRPr="00F6205B">
        <w:rPr>
          <w:rStyle w:val="FootnoteReference"/>
          <w:sz w:val="18"/>
          <w:lang w:bidi="ar-SA"/>
        </w:rPr>
        <w:footnoteReference w:id="32"/>
      </w:r>
    </w:p>
    <w:p w14:paraId="70D57A33" w14:textId="77777777" w:rsidR="0075483F" w:rsidRPr="00F6205B" w:rsidRDefault="0075483F" w:rsidP="0075483F">
      <w:pPr>
        <w:pStyle w:val="ListParagraph"/>
        <w:spacing w:after="0"/>
        <w:ind w:left="1440"/>
        <w:contextualSpacing w:val="0"/>
        <w:rPr>
          <w:sz w:val="18"/>
          <w:lang w:bidi="ar-SA"/>
        </w:rPr>
      </w:pPr>
      <w:r w:rsidRPr="00F6205B">
        <w:rPr>
          <w:sz w:val="18"/>
          <w:lang w:bidi="ar-SA"/>
        </w:rPr>
        <w:t>T = technical potential consumption at end use corresponding to measure in question</w:t>
      </w:r>
    </w:p>
    <w:p w14:paraId="48BDDD8E" w14:textId="77777777" w:rsidR="0075483F" w:rsidRPr="00F6205B" w:rsidRDefault="0075483F" w:rsidP="0075483F">
      <w:pPr>
        <w:rPr>
          <w:lang w:bidi="ar-SA"/>
        </w:rPr>
      </w:pPr>
    </w:p>
    <w:p w14:paraId="36E96122" w14:textId="17F72D95" w:rsidR="0075483F" w:rsidRPr="00F6205B" w:rsidRDefault="0075483F" w:rsidP="0075483F">
      <w:pPr>
        <w:rPr>
          <w:lang w:bidi="ar-SA"/>
        </w:rPr>
      </w:pPr>
      <w:r w:rsidRPr="00F6205B">
        <w:rPr>
          <w:lang w:bidi="ar-SA"/>
        </w:rPr>
        <w:t xml:space="preserve">Depending on the remaining useful life of the existing equipment, the efficiency of the existing equipment, and the federal standard in effect at the time of replacement, either early retirement or </w:t>
      </w:r>
      <w:r w:rsidR="002A175C" w:rsidRPr="00F6205B">
        <w:rPr>
          <w:lang w:bidi="ar-SA"/>
        </w:rPr>
        <w:t>lost opportunity savings we</w:t>
      </w:r>
      <w:r w:rsidRPr="00F6205B">
        <w:rPr>
          <w:lang w:bidi="ar-SA"/>
        </w:rPr>
        <w:t xml:space="preserve">re applied </w:t>
      </w:r>
      <w:r w:rsidR="006E1E0D" w:rsidRPr="00F6205B">
        <w:rPr>
          <w:lang w:bidi="ar-SA"/>
        </w:rPr>
        <w:t xml:space="preserve">to avoided costs </w:t>
      </w:r>
      <w:r w:rsidR="007D5D38" w:rsidRPr="00F6205B">
        <w:rPr>
          <w:lang w:bidi="ar-SA"/>
        </w:rPr>
        <w:t>for</w:t>
      </w:r>
      <w:r w:rsidRPr="00F6205B">
        <w:rPr>
          <w:lang w:bidi="ar-SA"/>
        </w:rPr>
        <w:t xml:space="preserve"> a given year for the purposes </w:t>
      </w:r>
      <w:r w:rsidR="006E1E0D" w:rsidRPr="00F6205B">
        <w:rPr>
          <w:lang w:bidi="ar-SA"/>
        </w:rPr>
        <w:t>of calculating benefits</w:t>
      </w:r>
      <w:r w:rsidRPr="00F6205B">
        <w:rPr>
          <w:lang w:bidi="ar-SA"/>
        </w:rPr>
        <w:t xml:space="preserve">. </w:t>
      </w:r>
      <w:r w:rsidR="00382DF4" w:rsidRPr="00F6205B">
        <w:rPr>
          <w:lang w:bidi="ar-SA"/>
        </w:rPr>
        <w:t>Benefits we</w:t>
      </w:r>
      <w:r w:rsidRPr="00F6205B">
        <w:rPr>
          <w:lang w:bidi="ar-SA"/>
        </w:rPr>
        <w:t>re counted for a number of years into the future equal to the relevant measure’s lifetime, not just within the ten-year study window.</w:t>
      </w:r>
    </w:p>
    <w:p w14:paraId="1E0CA684" w14:textId="74358E79" w:rsidR="0075483F" w:rsidRDefault="0075483F" w:rsidP="00743EAE">
      <w:pPr>
        <w:rPr>
          <w:lang w:bidi="ar-SA"/>
        </w:rPr>
      </w:pPr>
      <w:r w:rsidRPr="00F6205B">
        <w:rPr>
          <w:lang w:bidi="ar-SA"/>
        </w:rPr>
        <w:t xml:space="preserve">For example, say a furnace, which has a lifetime of 20 years according to Connecticut’s </w:t>
      </w:r>
      <w:r w:rsidR="00DD4132" w:rsidRPr="00F6205B">
        <w:rPr>
          <w:lang w:bidi="ar-SA"/>
        </w:rPr>
        <w:t xml:space="preserve">2013 </w:t>
      </w:r>
      <w:r w:rsidRPr="00F6205B">
        <w:rPr>
          <w:lang w:bidi="ar-SA"/>
        </w:rPr>
        <w:t xml:space="preserve">PSD, is due to expire in 2019, based on its age when found on-site during </w:t>
      </w:r>
      <w:r w:rsidR="00956CCF" w:rsidRPr="00F6205B">
        <w:rPr>
          <w:lang w:bidi="ar-SA"/>
        </w:rPr>
        <w:t xml:space="preserve">data collection for </w:t>
      </w:r>
      <w:r w:rsidRPr="00F6205B">
        <w:rPr>
          <w:lang w:bidi="ar-SA"/>
        </w:rPr>
        <w:t xml:space="preserve">the Weatherization Baseline </w:t>
      </w:r>
      <w:r w:rsidR="00DD4132" w:rsidRPr="00F6205B">
        <w:rPr>
          <w:lang w:bidi="ar-SA"/>
        </w:rPr>
        <w:t>Assessment</w:t>
      </w:r>
      <w:r w:rsidRPr="00F6205B">
        <w:rPr>
          <w:lang w:bidi="ar-SA"/>
        </w:rPr>
        <w:t xml:space="preserve">. The screening </w:t>
      </w:r>
      <w:r w:rsidR="00781EE6">
        <w:rPr>
          <w:lang w:bidi="ar-SA"/>
        </w:rPr>
        <w:t xml:space="preserve">tool </w:t>
      </w:r>
      <w:r w:rsidRPr="00F6205B">
        <w:rPr>
          <w:lang w:bidi="ar-SA"/>
        </w:rPr>
        <w:t>would count early retirement savings in the years from 2016 to 2019, then the lost opportunity savings associated with the federal standard applicable in 2019 from the years 2020 t</w:t>
      </w:r>
      <w:r w:rsidR="008A7A5A" w:rsidRPr="00F6205B">
        <w:rPr>
          <w:lang w:bidi="ar-SA"/>
        </w:rPr>
        <w:t>o 2035. Savings are counted in</w:t>
      </w:r>
      <w:r w:rsidRPr="00F6205B">
        <w:rPr>
          <w:lang w:bidi="ar-SA"/>
        </w:rPr>
        <w:t xml:space="preserve"> the 20 years from 2016 to 2035 </w:t>
      </w:r>
      <w:r w:rsidR="008A7A5A" w:rsidRPr="00F6205B">
        <w:rPr>
          <w:lang w:bidi="ar-SA"/>
        </w:rPr>
        <w:t xml:space="preserve">in order </w:t>
      </w:r>
      <w:r w:rsidRPr="00F6205B">
        <w:rPr>
          <w:lang w:bidi="ar-SA"/>
        </w:rPr>
        <w:t>to c</w:t>
      </w:r>
      <w:r w:rsidR="008A7A5A" w:rsidRPr="00F6205B">
        <w:rPr>
          <w:lang w:bidi="ar-SA"/>
        </w:rPr>
        <w:t>orrespond to the 20-year</w:t>
      </w:r>
      <w:r w:rsidRPr="00F6205B">
        <w:rPr>
          <w:lang w:bidi="ar-SA"/>
        </w:rPr>
        <w:t xml:space="preserve"> lifetime of a furnace.</w:t>
      </w:r>
    </w:p>
    <w:p w14:paraId="06D9F469" w14:textId="14D9DCC9" w:rsidR="00743EAE" w:rsidRPr="00F6205B" w:rsidRDefault="00743EAE" w:rsidP="003C732B">
      <w:pPr>
        <w:pStyle w:val="Heading4"/>
        <w:numPr>
          <w:ilvl w:val="0"/>
          <w:numId w:val="0"/>
        </w:numPr>
      </w:pPr>
      <w:r w:rsidRPr="00F6205B">
        <w:lastRenderedPageBreak/>
        <w:t>Data Sources</w:t>
      </w:r>
    </w:p>
    <w:p w14:paraId="1EEDDF28" w14:textId="266BE73E" w:rsidR="00C153D7" w:rsidRPr="00F6205B" w:rsidRDefault="0014207C" w:rsidP="00C153D7">
      <w:bookmarkStart w:id="94" w:name="_Data_Sources_for"/>
      <w:bookmarkEnd w:id="94"/>
      <w:r w:rsidRPr="00F6205B">
        <w:t>A</w:t>
      </w:r>
      <w:r w:rsidR="00C153D7" w:rsidRPr="00F6205B">
        <w:t xml:space="preserve"> variety of data sources </w:t>
      </w:r>
      <w:r w:rsidRPr="00F6205B">
        <w:t>were used in defining</w:t>
      </w:r>
      <w:r w:rsidR="00C153D7" w:rsidRPr="00F6205B">
        <w:t xml:space="preserve"> cost-effectiveness screening model</w:t>
      </w:r>
      <w:r w:rsidRPr="00F6205B">
        <w:t xml:space="preserve"> inputs</w:t>
      </w:r>
      <w:r w:rsidR="00C153D7" w:rsidRPr="00F6205B">
        <w:t>.</w:t>
      </w:r>
      <w:r w:rsidRPr="00F6205B">
        <w:t xml:space="preserve"> They are described below.</w:t>
      </w:r>
    </w:p>
    <w:p w14:paraId="2696BB4E" w14:textId="77777777" w:rsidR="00C153D7" w:rsidRPr="00F6205B" w:rsidRDefault="00C153D7" w:rsidP="00F22054">
      <w:pPr>
        <w:pStyle w:val="Heading5"/>
        <w:keepNext/>
        <w:numPr>
          <w:ilvl w:val="0"/>
          <w:numId w:val="0"/>
        </w:numPr>
      </w:pPr>
      <w:r w:rsidRPr="00F6205B">
        <w:t>Program Incentives</w:t>
      </w:r>
    </w:p>
    <w:p w14:paraId="2B63E443" w14:textId="795C80D1" w:rsidR="00C153D7" w:rsidRPr="00F6205B" w:rsidRDefault="0055295A" w:rsidP="00C153D7">
      <w:r w:rsidRPr="00F6205B">
        <w:t>Eversource and t</w:t>
      </w:r>
      <w:r w:rsidR="00C153D7" w:rsidRPr="00F6205B">
        <w:t>he United Illuminating Company (UI)</w:t>
      </w:r>
      <w:r w:rsidRPr="00F6205B">
        <w:t xml:space="preserve"> provided a list of the </w:t>
      </w:r>
      <w:r w:rsidR="00C153D7" w:rsidRPr="00F6205B">
        <w:t xml:space="preserve">incentive levels for the measures currently incentivized through the HES and HES-IE programs. The Companies do not incentivize all of the measures </w:t>
      </w:r>
      <w:r w:rsidR="007A0DBA" w:rsidRPr="00F6205B">
        <w:t>examined in this</w:t>
      </w:r>
      <w:r w:rsidR="00C153D7" w:rsidRPr="00F6205B">
        <w:t xml:space="preserve"> study. Measures that are not currently incentiv</w:t>
      </w:r>
      <w:r w:rsidR="007A0DBA" w:rsidRPr="00F6205B">
        <w:t xml:space="preserve">ized by the Companies were </w:t>
      </w:r>
      <w:r w:rsidR="00C153D7" w:rsidRPr="00F6205B">
        <w:t>screened for cost-eff</w:t>
      </w:r>
      <w:r w:rsidR="007A0DBA" w:rsidRPr="00F6205B">
        <w:t>ectiveness using only the TRC test.</w:t>
      </w:r>
    </w:p>
    <w:p w14:paraId="3238A5BF" w14:textId="77777777" w:rsidR="00C153D7" w:rsidRPr="00F6205B" w:rsidRDefault="00C153D7" w:rsidP="00F22054">
      <w:pPr>
        <w:pStyle w:val="Heading5"/>
        <w:keepNext/>
        <w:numPr>
          <w:ilvl w:val="0"/>
          <w:numId w:val="0"/>
        </w:numPr>
      </w:pPr>
      <w:r w:rsidRPr="00F6205B">
        <w:t>Cost of Measure Upgrades</w:t>
      </w:r>
    </w:p>
    <w:p w14:paraId="7CFF5DE2" w14:textId="17623D89" w:rsidR="00C153D7" w:rsidRPr="00F6205B" w:rsidRDefault="00C153D7" w:rsidP="00C153D7">
      <w:r w:rsidRPr="00F6205B">
        <w:t>Most of the cost data for the cost-effectiveness screening came from two in</w:t>
      </w:r>
      <w:r w:rsidR="00C93E6B" w:rsidRPr="00F6205B">
        <w:t xml:space="preserve">cremental cost studies </w:t>
      </w:r>
      <w:r w:rsidRPr="00F6205B">
        <w:t>conducted by the Northeast Energy Efficiency Partnerships (NEEP).</w:t>
      </w:r>
    </w:p>
    <w:p w14:paraId="6BC1B29E" w14:textId="77777777" w:rsidR="00C153D7" w:rsidRPr="00F6205B" w:rsidRDefault="00C153D7" w:rsidP="00F52E2F">
      <w:pPr>
        <w:pStyle w:val="ListParagraph"/>
        <w:numPr>
          <w:ilvl w:val="0"/>
          <w:numId w:val="13"/>
        </w:numPr>
        <w:jc w:val="both"/>
      </w:pPr>
      <w:r w:rsidRPr="00F6205B">
        <w:t xml:space="preserve">Navigant, “Incremental Cost Study Report, Final” </w:t>
      </w:r>
      <w:r w:rsidRPr="00F6205B">
        <w:rPr>
          <w:i/>
        </w:rPr>
        <w:t>Submitted to NEEP</w:t>
      </w:r>
      <w:r w:rsidRPr="00F6205B">
        <w:t>, September 23, 2011</w:t>
      </w:r>
      <w:r w:rsidRPr="00F6205B">
        <w:rPr>
          <w:rStyle w:val="FootnoteReference"/>
        </w:rPr>
        <w:footnoteReference w:id="33"/>
      </w:r>
    </w:p>
    <w:p w14:paraId="00EE39A2" w14:textId="77777777" w:rsidR="00C153D7" w:rsidRPr="00F6205B" w:rsidRDefault="00C153D7" w:rsidP="00F52E2F">
      <w:pPr>
        <w:pStyle w:val="ListParagraph"/>
        <w:numPr>
          <w:ilvl w:val="0"/>
          <w:numId w:val="13"/>
        </w:numPr>
        <w:jc w:val="both"/>
      </w:pPr>
      <w:r w:rsidRPr="00F6205B">
        <w:t xml:space="preserve">Navigant, “Incremental Cost Study Phase Two, Final Report” </w:t>
      </w:r>
      <w:r w:rsidRPr="00F6205B">
        <w:rPr>
          <w:i/>
        </w:rPr>
        <w:t>Submitted to NEEP</w:t>
      </w:r>
      <w:r w:rsidRPr="00F6205B">
        <w:t>, January 16, 2013</w:t>
      </w:r>
      <w:r w:rsidRPr="00F6205B">
        <w:rPr>
          <w:rStyle w:val="FootnoteReference"/>
        </w:rPr>
        <w:footnoteReference w:id="34"/>
      </w:r>
    </w:p>
    <w:p w14:paraId="4E25B46C" w14:textId="6066593F" w:rsidR="00C153D7" w:rsidRPr="00F6205B" w:rsidRDefault="00C153D7" w:rsidP="00C153D7">
      <w:r w:rsidRPr="00F6205B">
        <w:t xml:space="preserve">Specifically, these studies were used to assess costs for the majority of shell measures and </w:t>
      </w:r>
      <w:r w:rsidR="00515D04" w:rsidRPr="00F6205B">
        <w:t xml:space="preserve">for </w:t>
      </w:r>
      <w:r w:rsidRPr="00F6205B">
        <w:t>mechanical equipment. NEEP provides the raw data for these studies along with final published reports</w:t>
      </w:r>
      <w:r w:rsidR="00937BDC" w:rsidRPr="00F6205B">
        <w:t xml:space="preserve"> on their website</w:t>
      </w:r>
      <w:r w:rsidRPr="00F6205B">
        <w:t>.</w:t>
      </w:r>
      <w:r w:rsidRPr="00F6205B">
        <w:rPr>
          <w:rStyle w:val="FootnoteReference"/>
        </w:rPr>
        <w:footnoteReference w:id="35"/>
      </w:r>
      <w:r w:rsidR="00937BDC" w:rsidRPr="00F6205B">
        <w:t xml:space="preserve"> </w:t>
      </w:r>
      <w:r w:rsidR="00CB2011" w:rsidRPr="00F6205B">
        <w:t>T</w:t>
      </w:r>
      <w:r w:rsidRPr="00F6205B">
        <w:t xml:space="preserve">he raw data from these studies </w:t>
      </w:r>
      <w:r w:rsidR="003F19B8" w:rsidRPr="00F6205B">
        <w:t xml:space="preserve">was leveraged to </w:t>
      </w:r>
      <w:r w:rsidRPr="00F6205B">
        <w:t>develop C</w:t>
      </w:r>
      <w:r w:rsidR="00CB2011" w:rsidRPr="00F6205B">
        <w:t>onnecticut-</w:t>
      </w:r>
      <w:r w:rsidRPr="00F6205B">
        <w:t>specific cost estimates.</w:t>
      </w:r>
    </w:p>
    <w:p w14:paraId="17877266" w14:textId="30D52A5F" w:rsidR="00C153D7" w:rsidRPr="00F6205B" w:rsidRDefault="00C153D7" w:rsidP="00C153D7">
      <w:r w:rsidRPr="00F6205B">
        <w:t>In addition to the NEEP studies</w:t>
      </w:r>
      <w:r w:rsidR="00282FB3" w:rsidRPr="00F6205B">
        <w:t>,</w:t>
      </w:r>
      <w:r w:rsidRPr="00F6205B">
        <w:t xml:space="preserve"> the following sources were used to assess the costs associated with various measure upgrades:</w:t>
      </w:r>
    </w:p>
    <w:p w14:paraId="423C65DB" w14:textId="784419CE" w:rsidR="00C153D7" w:rsidRPr="00F6205B" w:rsidRDefault="00C153D7" w:rsidP="003A6CD9">
      <w:pPr>
        <w:pStyle w:val="ListParagraph"/>
        <w:numPr>
          <w:ilvl w:val="0"/>
          <w:numId w:val="14"/>
        </w:numPr>
      </w:pPr>
      <w:r w:rsidRPr="00F6205B">
        <w:t>NMR</w:t>
      </w:r>
      <w:r w:rsidR="00AF2EBB">
        <w:t xml:space="preserve"> Group</w:t>
      </w:r>
      <w:r w:rsidRPr="00F6205B">
        <w:t xml:space="preserve">, “MA RNC Program, Incremental Cost Report” </w:t>
      </w:r>
      <w:r w:rsidRPr="00F6205B">
        <w:rPr>
          <w:i/>
        </w:rPr>
        <w:t>Submitted to Berkshire Gas, Cape Light Compact, Columbia Gas of Massachusetts, National Grid, New England Gas Company, NSTAR Electric &amp; Gas, Unitil, and the Western Massachusetts Electric Company</w:t>
      </w:r>
      <w:r w:rsidRPr="00F6205B">
        <w:t>, June 11, 2013</w:t>
      </w:r>
      <w:r w:rsidRPr="00F6205B">
        <w:rPr>
          <w:rStyle w:val="FootnoteReference"/>
        </w:rPr>
        <w:footnoteReference w:id="36"/>
      </w:r>
    </w:p>
    <w:p w14:paraId="221C623F" w14:textId="0EF79722" w:rsidR="00C153D7" w:rsidRPr="00F6205B" w:rsidRDefault="00C153D7" w:rsidP="003A6CD9">
      <w:pPr>
        <w:pStyle w:val="ListParagraph"/>
        <w:numPr>
          <w:ilvl w:val="0"/>
          <w:numId w:val="14"/>
        </w:numPr>
      </w:pPr>
      <w:r w:rsidRPr="00F6205B">
        <w:t>NMR</w:t>
      </w:r>
      <w:r w:rsidR="00AF2EBB">
        <w:t xml:space="preserve"> Group</w:t>
      </w:r>
      <w:r w:rsidRPr="00F6205B">
        <w:t xml:space="preserve">, “Connecticut Ground Source Heat Pump Impact Evaluation &amp; Market Assessment-Final, Study R7” </w:t>
      </w:r>
      <w:r w:rsidRPr="00F6205B">
        <w:rPr>
          <w:i/>
        </w:rPr>
        <w:t>Submitted to the Connecticut Energy Efficiency Board and the Connecticut Clean Energy Finance and Investment Authority</w:t>
      </w:r>
      <w:r w:rsidRPr="00F6205B">
        <w:t>, June 3, 2014</w:t>
      </w:r>
      <w:r w:rsidRPr="00F6205B">
        <w:rPr>
          <w:rStyle w:val="FootnoteReference"/>
        </w:rPr>
        <w:footnoteReference w:id="37"/>
      </w:r>
    </w:p>
    <w:p w14:paraId="35F1BCA4" w14:textId="77777777" w:rsidR="00C153D7" w:rsidRPr="00F6205B" w:rsidRDefault="00C153D7" w:rsidP="003A6CD9">
      <w:pPr>
        <w:pStyle w:val="ListParagraph"/>
        <w:numPr>
          <w:ilvl w:val="0"/>
          <w:numId w:val="14"/>
        </w:numPr>
      </w:pPr>
      <w:r w:rsidRPr="00F6205B">
        <w:t>Database for Energy Efficient Resources (DEER)</w:t>
      </w:r>
      <w:r w:rsidRPr="00F6205B">
        <w:rPr>
          <w:rStyle w:val="FootnoteReference"/>
        </w:rPr>
        <w:footnoteReference w:id="38"/>
      </w:r>
    </w:p>
    <w:p w14:paraId="15DEAA6F" w14:textId="77777777" w:rsidR="00C153D7" w:rsidRPr="00F6205B" w:rsidRDefault="00C153D7" w:rsidP="003A6CD9">
      <w:pPr>
        <w:pStyle w:val="ListParagraph"/>
        <w:numPr>
          <w:ilvl w:val="0"/>
          <w:numId w:val="14"/>
        </w:numPr>
      </w:pPr>
      <w:r w:rsidRPr="00F6205B">
        <w:lastRenderedPageBreak/>
        <w:t>Standards and supporting documentation from the Department of Energy’s Energy Efficiency and Renewable Energy Office</w:t>
      </w:r>
    </w:p>
    <w:p w14:paraId="1A3D2969" w14:textId="77777777" w:rsidR="00C153D7" w:rsidRPr="00F6205B" w:rsidRDefault="00C153D7" w:rsidP="003A6CD9">
      <w:pPr>
        <w:pStyle w:val="ListParagraph"/>
        <w:numPr>
          <w:ilvl w:val="0"/>
          <w:numId w:val="14"/>
        </w:numPr>
      </w:pPr>
      <w:r w:rsidRPr="00F6205B">
        <w:t>Internet-based market research</w:t>
      </w:r>
    </w:p>
    <w:p w14:paraId="359AF4CE" w14:textId="77777777" w:rsidR="00C153D7" w:rsidRPr="00F6205B" w:rsidRDefault="00C153D7" w:rsidP="00F22054">
      <w:pPr>
        <w:pStyle w:val="Heading5"/>
        <w:keepNext/>
        <w:numPr>
          <w:ilvl w:val="0"/>
          <w:numId w:val="0"/>
        </w:numPr>
      </w:pPr>
      <w:r w:rsidRPr="00F6205B">
        <w:t>Avoided Energy Costs</w:t>
      </w:r>
    </w:p>
    <w:p w14:paraId="14AE4F91" w14:textId="77777777" w:rsidR="00C153D7" w:rsidRPr="00F6205B" w:rsidRDefault="00C153D7" w:rsidP="00C153D7">
      <w:r w:rsidRPr="00F6205B">
        <w:t>Data from the following report and its supporting documentation were used to calculate avoided energy costs for the cost-effectiveness screening:</w:t>
      </w:r>
    </w:p>
    <w:p w14:paraId="7E2F2126" w14:textId="5C218C4B" w:rsidR="00C153D7" w:rsidRPr="00F6205B" w:rsidRDefault="00C153D7" w:rsidP="003A6CD9">
      <w:pPr>
        <w:pStyle w:val="ListParagraph"/>
        <w:numPr>
          <w:ilvl w:val="0"/>
          <w:numId w:val="15"/>
        </w:numPr>
      </w:pPr>
      <w:r w:rsidRPr="00F6205B">
        <w:t>Synapse</w:t>
      </w:r>
      <w:r w:rsidR="00E408CC" w:rsidRPr="00F6205B">
        <w:t xml:space="preserve"> Energy Economics, Inc.</w:t>
      </w:r>
      <w:r w:rsidRPr="00F6205B">
        <w:t xml:space="preserve"> “Avoided Energy Supply Costs in New England”, </w:t>
      </w:r>
      <w:r w:rsidRPr="00F6205B">
        <w:rPr>
          <w:i/>
        </w:rPr>
        <w:t>Prepared for the Avoided-Energy-Supply-Component (AESC) Study Group</w:t>
      </w:r>
      <w:r w:rsidRPr="00F6205B">
        <w:t xml:space="preserve">, </w:t>
      </w:r>
      <w:r w:rsidR="00E408CC" w:rsidRPr="00F6205B">
        <w:t>March</w:t>
      </w:r>
      <w:r w:rsidRPr="00F6205B">
        <w:t xml:space="preserve"> </w:t>
      </w:r>
      <w:r w:rsidR="00E408CC" w:rsidRPr="00F6205B">
        <w:t>27</w:t>
      </w:r>
      <w:r w:rsidRPr="00F6205B">
        <w:t>, 201</w:t>
      </w:r>
      <w:r w:rsidR="00E408CC" w:rsidRPr="00F6205B">
        <w:t>5</w:t>
      </w:r>
      <w:r w:rsidRPr="00F6205B">
        <w:rPr>
          <w:rStyle w:val="FootnoteReference"/>
        </w:rPr>
        <w:footnoteReference w:id="39"/>
      </w:r>
    </w:p>
    <w:p w14:paraId="7117A6D6" w14:textId="5571DC92" w:rsidR="00C153D7" w:rsidRPr="00F6205B" w:rsidRDefault="00781EE6" w:rsidP="00C153D7">
      <w:r>
        <w:fldChar w:fldCharType="begin"/>
      </w:r>
      <w:r>
        <w:instrText xml:space="preserve"> REF _Ref439696982 \h </w:instrText>
      </w:r>
      <w:r>
        <w:fldChar w:fldCharType="separate"/>
      </w:r>
      <w:r w:rsidR="00FA26A9" w:rsidRPr="00F6205B">
        <w:t xml:space="preserve">Table </w:t>
      </w:r>
      <w:r w:rsidR="00FA26A9">
        <w:rPr>
          <w:noProof/>
        </w:rPr>
        <w:t>4</w:t>
      </w:r>
      <w:r>
        <w:fldChar w:fldCharType="end"/>
      </w:r>
      <w:r>
        <w:t xml:space="preserve"> list</w:t>
      </w:r>
      <w:r w:rsidR="00C153D7" w:rsidRPr="00F6205B">
        <w:t>s the benefits that were included in the cost-effectiveness screening. Each of these benefits was calculated independently so that the benefit/cost ratios can be easily re-calculated to include any combination of benefits. For more detail on the benefit definitions and values please refer to the Synapse study</w:t>
      </w:r>
      <w:r>
        <w:t xml:space="preserve"> cited above</w:t>
      </w:r>
      <w:r w:rsidR="00C153D7" w:rsidRPr="00F6205B">
        <w:t>.</w:t>
      </w:r>
    </w:p>
    <w:p w14:paraId="33685FA5" w14:textId="4206AEB9" w:rsidR="00C153D7" w:rsidRPr="00F6205B" w:rsidRDefault="00C153D7" w:rsidP="004F23CF">
      <w:pPr>
        <w:pStyle w:val="Caption"/>
      </w:pPr>
      <w:bookmarkStart w:id="95" w:name="_Ref391538650"/>
      <w:bookmarkStart w:id="96" w:name="_Ref439696982"/>
      <w:bookmarkStart w:id="97" w:name="_Toc391887340"/>
      <w:bookmarkStart w:id="98" w:name="_Toc439931835"/>
      <w:r w:rsidRPr="00F6205B">
        <w:t>Table</w:t>
      </w:r>
      <w:bookmarkEnd w:id="95"/>
      <w:r w:rsidR="004F23CF" w:rsidRPr="00F6205B">
        <w:t xml:space="preserve"> </w:t>
      </w:r>
      <w:fldSimple w:instr=" SEQ Table \* ARABIC ">
        <w:r w:rsidR="00FA26A9">
          <w:rPr>
            <w:noProof/>
          </w:rPr>
          <w:t>4</w:t>
        </w:r>
      </w:fldSimple>
      <w:bookmarkEnd w:id="96"/>
      <w:r w:rsidRPr="00F6205B">
        <w:t xml:space="preserve">: Benefits </w:t>
      </w:r>
      <w:r w:rsidR="00F67149" w:rsidRPr="00F6205B">
        <w:t>Accounted for</w:t>
      </w:r>
      <w:r w:rsidRPr="00F6205B">
        <w:t xml:space="preserve"> in Cost-Effectiveness Screening</w:t>
      </w:r>
      <w:bookmarkEnd w:id="97"/>
      <w:bookmarkEnd w:id="98"/>
    </w:p>
    <w:tbl>
      <w:tblPr>
        <w:tblW w:w="3861"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64"/>
        <w:gridCol w:w="1197"/>
      </w:tblGrid>
      <w:tr w:rsidR="00C153D7" w:rsidRPr="00F6205B" w14:paraId="2FB75468" w14:textId="77777777" w:rsidTr="004F1222">
        <w:trPr>
          <w:trHeight w:val="288"/>
          <w:jc w:val="center"/>
        </w:trPr>
        <w:tc>
          <w:tcPr>
            <w:tcW w:w="2664" w:type="dxa"/>
            <w:tcBorders>
              <w:top w:val="single" w:sz="4" w:space="0" w:color="auto"/>
              <w:left w:val="single" w:sz="4" w:space="0" w:color="auto"/>
              <w:bottom w:val="single" w:sz="4" w:space="0" w:color="auto"/>
              <w:right w:val="single" w:sz="4" w:space="0" w:color="000000" w:themeColor="text1"/>
            </w:tcBorders>
            <w:shd w:val="clear" w:color="auto" w:fill="0B4D2C" w:themeFill="background2" w:themeFillShade="BF"/>
            <w:vAlign w:val="center"/>
          </w:tcPr>
          <w:p w14:paraId="462A192E" w14:textId="1DDB8A3D" w:rsidR="00C153D7" w:rsidRPr="00F6205B" w:rsidRDefault="00FE1E58" w:rsidP="00353A75">
            <w:pPr>
              <w:spacing w:line="280" w:lineRule="exact"/>
              <w:rPr>
                <w:b/>
                <w:color w:val="FFFFFF" w:themeColor="background1"/>
                <w:sz w:val="20"/>
                <w:szCs w:val="20"/>
              </w:rPr>
            </w:pPr>
            <w:r w:rsidRPr="00F6205B">
              <w:rPr>
                <w:b/>
                <w:color w:val="FFFFFF" w:themeColor="background1"/>
                <w:sz w:val="20"/>
                <w:szCs w:val="20"/>
              </w:rPr>
              <w:t>Benefit description</w:t>
            </w:r>
          </w:p>
        </w:tc>
        <w:tc>
          <w:tcPr>
            <w:tcW w:w="1197" w:type="dxa"/>
            <w:tcBorders>
              <w:top w:val="single" w:sz="4" w:space="0" w:color="auto"/>
              <w:left w:val="single" w:sz="4" w:space="0" w:color="000000" w:themeColor="text1"/>
              <w:bottom w:val="single" w:sz="4" w:space="0" w:color="auto"/>
              <w:right w:val="single" w:sz="4" w:space="0" w:color="auto"/>
            </w:tcBorders>
            <w:shd w:val="clear" w:color="auto" w:fill="0B4D2C" w:themeFill="background2" w:themeFillShade="BF"/>
            <w:vAlign w:val="center"/>
          </w:tcPr>
          <w:p w14:paraId="5814C430" w14:textId="23952303" w:rsidR="00C153D7" w:rsidRPr="00F6205B" w:rsidRDefault="00FE1E58" w:rsidP="00353A75">
            <w:pPr>
              <w:spacing w:line="280" w:lineRule="exact"/>
              <w:jc w:val="center"/>
              <w:rPr>
                <w:b/>
                <w:color w:val="FFFFFF" w:themeColor="background1"/>
                <w:sz w:val="20"/>
                <w:szCs w:val="20"/>
              </w:rPr>
            </w:pPr>
            <w:r w:rsidRPr="00F6205B">
              <w:rPr>
                <w:b/>
                <w:color w:val="FFFFFF" w:themeColor="background1"/>
                <w:sz w:val="20"/>
                <w:szCs w:val="20"/>
              </w:rPr>
              <w:t>Unit</w:t>
            </w:r>
          </w:p>
        </w:tc>
      </w:tr>
      <w:tr w:rsidR="00C153D7" w:rsidRPr="00F6205B" w14:paraId="0BC6492C" w14:textId="77777777" w:rsidTr="004F1222">
        <w:trPr>
          <w:trHeight w:val="288"/>
          <w:jc w:val="center"/>
        </w:trPr>
        <w:tc>
          <w:tcPr>
            <w:tcW w:w="2664" w:type="dxa"/>
            <w:tcBorders>
              <w:top w:val="single" w:sz="4" w:space="0" w:color="auto"/>
              <w:left w:val="single" w:sz="4" w:space="0" w:color="auto"/>
              <w:bottom w:val="single" w:sz="4" w:space="0" w:color="000000" w:themeColor="text1"/>
              <w:right w:val="single" w:sz="4" w:space="0" w:color="000000" w:themeColor="text1"/>
            </w:tcBorders>
            <w:vAlign w:val="center"/>
          </w:tcPr>
          <w:p w14:paraId="272DF3FF" w14:textId="7F8871E6" w:rsidR="00C153D7" w:rsidRPr="00F6205B" w:rsidRDefault="00EB2A26" w:rsidP="0044249F">
            <w:pPr>
              <w:keepNext/>
              <w:keepLines/>
              <w:spacing w:after="0"/>
              <w:rPr>
                <w:sz w:val="20"/>
                <w:szCs w:val="20"/>
              </w:rPr>
            </w:pPr>
            <w:r w:rsidRPr="00F6205B">
              <w:rPr>
                <w:sz w:val="20"/>
                <w:szCs w:val="20"/>
              </w:rPr>
              <w:t>Gross electric energy</w:t>
            </w:r>
          </w:p>
        </w:tc>
        <w:tc>
          <w:tcPr>
            <w:tcW w:w="1197" w:type="dxa"/>
            <w:tcBorders>
              <w:top w:val="single" w:sz="4" w:space="0" w:color="auto"/>
              <w:left w:val="single" w:sz="4" w:space="0" w:color="000000" w:themeColor="text1"/>
              <w:bottom w:val="single" w:sz="4" w:space="0" w:color="000000" w:themeColor="text1"/>
              <w:right w:val="single" w:sz="4" w:space="0" w:color="auto"/>
            </w:tcBorders>
            <w:vAlign w:val="center"/>
          </w:tcPr>
          <w:p w14:paraId="28F64BCA" w14:textId="5CC7E9E6" w:rsidR="00C153D7" w:rsidRPr="00F6205B" w:rsidRDefault="00FE1E58" w:rsidP="00242E7E">
            <w:pPr>
              <w:keepNext/>
              <w:keepLines/>
              <w:spacing w:after="0"/>
              <w:jc w:val="center"/>
              <w:rPr>
                <w:sz w:val="20"/>
                <w:szCs w:val="20"/>
              </w:rPr>
            </w:pPr>
            <w:r w:rsidRPr="00F6205B">
              <w:rPr>
                <w:sz w:val="20"/>
                <w:szCs w:val="20"/>
              </w:rPr>
              <w:t>$/kWh</w:t>
            </w:r>
          </w:p>
        </w:tc>
      </w:tr>
      <w:tr w:rsidR="00C153D7" w:rsidRPr="00F6205B" w14:paraId="40E091BC" w14:textId="77777777" w:rsidTr="004F1222">
        <w:trPr>
          <w:trHeight w:val="288"/>
          <w:jc w:val="center"/>
        </w:trPr>
        <w:tc>
          <w:tcPr>
            <w:tcW w:w="2664"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0F1C6B8" w14:textId="3BB74664" w:rsidR="00C153D7" w:rsidRPr="00F6205B" w:rsidRDefault="00EB2A26" w:rsidP="0044249F">
            <w:pPr>
              <w:keepNext/>
              <w:keepLines/>
              <w:spacing w:after="0"/>
              <w:rPr>
                <w:sz w:val="20"/>
                <w:szCs w:val="20"/>
              </w:rPr>
            </w:pPr>
            <w:r w:rsidRPr="00F6205B">
              <w:rPr>
                <w:sz w:val="20"/>
                <w:szCs w:val="20"/>
              </w:rPr>
              <w:t>Electric capacity</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6616159" w14:textId="7FF2B486" w:rsidR="00C153D7" w:rsidRPr="00F6205B" w:rsidRDefault="00FE1E58" w:rsidP="00242E7E">
            <w:pPr>
              <w:keepNext/>
              <w:keepLines/>
              <w:spacing w:after="0"/>
              <w:jc w:val="center"/>
              <w:rPr>
                <w:sz w:val="20"/>
                <w:szCs w:val="20"/>
              </w:rPr>
            </w:pPr>
            <w:r w:rsidRPr="00F6205B">
              <w:rPr>
                <w:sz w:val="20"/>
                <w:szCs w:val="20"/>
              </w:rPr>
              <w:t>$/kW</w:t>
            </w:r>
          </w:p>
        </w:tc>
      </w:tr>
      <w:tr w:rsidR="00C153D7" w:rsidRPr="00F6205B" w14:paraId="4496A069" w14:textId="77777777" w:rsidTr="004F1222">
        <w:trPr>
          <w:trHeight w:val="288"/>
          <w:jc w:val="center"/>
        </w:trPr>
        <w:tc>
          <w:tcPr>
            <w:tcW w:w="2664"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243C38D" w14:textId="084EF4F7" w:rsidR="00C153D7" w:rsidRPr="00F6205B" w:rsidRDefault="00EB2A26" w:rsidP="0044249F">
            <w:pPr>
              <w:keepNext/>
              <w:keepLines/>
              <w:spacing w:after="0"/>
              <w:rPr>
                <w:sz w:val="20"/>
                <w:szCs w:val="20"/>
              </w:rPr>
            </w:pPr>
            <w:r w:rsidRPr="00F6205B">
              <w:rPr>
                <w:sz w:val="20"/>
                <w:szCs w:val="20"/>
              </w:rPr>
              <w:t>Transmission &amp; distribution</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CB19B10" w14:textId="3D674266" w:rsidR="00C153D7" w:rsidRPr="00F6205B" w:rsidRDefault="00FE1E58" w:rsidP="00242E7E">
            <w:pPr>
              <w:keepNext/>
              <w:keepLines/>
              <w:spacing w:after="0"/>
              <w:jc w:val="center"/>
              <w:rPr>
                <w:sz w:val="20"/>
                <w:szCs w:val="20"/>
              </w:rPr>
            </w:pPr>
            <w:r w:rsidRPr="00F6205B">
              <w:rPr>
                <w:sz w:val="20"/>
                <w:szCs w:val="20"/>
              </w:rPr>
              <w:t>$/kW</w:t>
            </w:r>
          </w:p>
        </w:tc>
      </w:tr>
      <w:tr w:rsidR="00C153D7" w:rsidRPr="00F6205B" w14:paraId="6E93233D" w14:textId="77777777" w:rsidTr="004F1222">
        <w:trPr>
          <w:trHeight w:val="288"/>
          <w:jc w:val="center"/>
        </w:trPr>
        <w:tc>
          <w:tcPr>
            <w:tcW w:w="2664"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194C6C4" w14:textId="34356592" w:rsidR="00C153D7" w:rsidRPr="00F6205B" w:rsidRDefault="00EB2A26" w:rsidP="0044249F">
            <w:pPr>
              <w:keepNext/>
              <w:keepLines/>
              <w:spacing w:after="0"/>
              <w:rPr>
                <w:sz w:val="20"/>
                <w:szCs w:val="20"/>
              </w:rPr>
            </w:pPr>
            <w:r w:rsidRPr="00F6205B">
              <w:rPr>
                <w:sz w:val="20"/>
                <w:szCs w:val="20"/>
              </w:rPr>
              <w:t>Intrastate DRIPE</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39A3940" w14:textId="71A6DF8E" w:rsidR="00C153D7" w:rsidRPr="00F6205B" w:rsidRDefault="00FE1E58" w:rsidP="00242E7E">
            <w:pPr>
              <w:keepNext/>
              <w:keepLines/>
              <w:spacing w:after="0"/>
              <w:jc w:val="center"/>
              <w:rPr>
                <w:sz w:val="20"/>
                <w:szCs w:val="20"/>
              </w:rPr>
            </w:pPr>
            <w:r w:rsidRPr="00F6205B">
              <w:rPr>
                <w:sz w:val="20"/>
                <w:szCs w:val="20"/>
              </w:rPr>
              <w:t>$/kWh</w:t>
            </w:r>
          </w:p>
        </w:tc>
      </w:tr>
      <w:tr w:rsidR="00C153D7" w:rsidRPr="00F6205B" w14:paraId="70700A57" w14:textId="77777777" w:rsidTr="004F1222">
        <w:trPr>
          <w:trHeight w:val="288"/>
          <w:jc w:val="center"/>
        </w:trPr>
        <w:tc>
          <w:tcPr>
            <w:tcW w:w="2664"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DBBD6F2" w14:textId="5FB3484A" w:rsidR="00C153D7" w:rsidRPr="00F6205B" w:rsidRDefault="00EB2A26" w:rsidP="0044249F">
            <w:pPr>
              <w:keepNext/>
              <w:keepLines/>
              <w:spacing w:after="0"/>
              <w:rPr>
                <w:sz w:val="20"/>
                <w:szCs w:val="20"/>
              </w:rPr>
            </w:pPr>
            <w:r w:rsidRPr="00F6205B">
              <w:rPr>
                <w:sz w:val="20"/>
                <w:szCs w:val="20"/>
              </w:rPr>
              <w:t>Rest-of-pool DRIPE</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A31B816" w14:textId="23B56A33" w:rsidR="00C153D7" w:rsidRPr="00F6205B" w:rsidRDefault="00FE1E58" w:rsidP="00242E7E">
            <w:pPr>
              <w:keepNext/>
              <w:keepLines/>
              <w:spacing w:after="0"/>
              <w:jc w:val="center"/>
              <w:rPr>
                <w:sz w:val="20"/>
                <w:szCs w:val="20"/>
              </w:rPr>
            </w:pPr>
            <w:r w:rsidRPr="00F6205B">
              <w:rPr>
                <w:sz w:val="20"/>
                <w:szCs w:val="20"/>
              </w:rPr>
              <w:t>$/kWh</w:t>
            </w:r>
          </w:p>
        </w:tc>
      </w:tr>
      <w:tr w:rsidR="00C153D7" w:rsidRPr="00F6205B" w14:paraId="6005CA7E" w14:textId="77777777" w:rsidTr="004F1222">
        <w:trPr>
          <w:trHeight w:val="288"/>
          <w:jc w:val="center"/>
        </w:trPr>
        <w:tc>
          <w:tcPr>
            <w:tcW w:w="2664"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549B075" w14:textId="655C09F5" w:rsidR="00C153D7" w:rsidRPr="00F6205B" w:rsidRDefault="00EB2A26" w:rsidP="0044249F">
            <w:pPr>
              <w:keepNext/>
              <w:keepLines/>
              <w:spacing w:after="0"/>
              <w:rPr>
                <w:sz w:val="20"/>
                <w:szCs w:val="20"/>
              </w:rPr>
            </w:pPr>
            <w:r w:rsidRPr="00F6205B">
              <w:rPr>
                <w:sz w:val="20"/>
                <w:szCs w:val="20"/>
              </w:rPr>
              <w:t>Capacity DRIPE</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7032DED" w14:textId="12D52E2E" w:rsidR="00C153D7" w:rsidRPr="00F6205B" w:rsidRDefault="00FE1E58" w:rsidP="00242E7E">
            <w:pPr>
              <w:keepNext/>
              <w:keepLines/>
              <w:spacing w:after="0"/>
              <w:jc w:val="center"/>
              <w:rPr>
                <w:sz w:val="20"/>
                <w:szCs w:val="20"/>
              </w:rPr>
            </w:pPr>
            <w:r w:rsidRPr="00F6205B">
              <w:rPr>
                <w:sz w:val="20"/>
                <w:szCs w:val="20"/>
              </w:rPr>
              <w:t>$/kW</w:t>
            </w:r>
          </w:p>
        </w:tc>
      </w:tr>
      <w:tr w:rsidR="00C153D7" w:rsidRPr="00F6205B" w14:paraId="11D31336" w14:textId="77777777" w:rsidTr="004F1222">
        <w:trPr>
          <w:trHeight w:val="288"/>
          <w:jc w:val="center"/>
        </w:trPr>
        <w:tc>
          <w:tcPr>
            <w:tcW w:w="2664"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936251B" w14:textId="2C885417" w:rsidR="00C153D7" w:rsidRPr="00F6205B" w:rsidRDefault="00EB2A26" w:rsidP="0044249F">
            <w:pPr>
              <w:keepNext/>
              <w:keepLines/>
              <w:spacing w:after="0"/>
              <w:rPr>
                <w:sz w:val="20"/>
                <w:szCs w:val="20"/>
              </w:rPr>
            </w:pPr>
            <w:r w:rsidRPr="00F6205B">
              <w:rPr>
                <w:sz w:val="20"/>
                <w:szCs w:val="20"/>
              </w:rPr>
              <w:t>Cross-fuel DRIPE</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D3A54C7" w14:textId="426E2337" w:rsidR="00C153D7" w:rsidRPr="00F6205B" w:rsidRDefault="00FE1E58" w:rsidP="00242E7E">
            <w:pPr>
              <w:keepNext/>
              <w:keepLines/>
              <w:spacing w:after="0"/>
              <w:jc w:val="center"/>
              <w:rPr>
                <w:sz w:val="20"/>
                <w:szCs w:val="20"/>
              </w:rPr>
            </w:pPr>
            <w:r w:rsidRPr="00F6205B">
              <w:rPr>
                <w:sz w:val="20"/>
                <w:szCs w:val="20"/>
              </w:rPr>
              <w:t>$/kWh</w:t>
            </w:r>
          </w:p>
        </w:tc>
      </w:tr>
      <w:tr w:rsidR="00C153D7" w:rsidRPr="00F6205B" w14:paraId="77DCCDFE" w14:textId="77777777" w:rsidTr="004F1222">
        <w:trPr>
          <w:trHeight w:val="288"/>
          <w:jc w:val="center"/>
        </w:trPr>
        <w:tc>
          <w:tcPr>
            <w:tcW w:w="2664"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994CBF1" w14:textId="357238F4" w:rsidR="00C153D7" w:rsidRPr="00F6205B" w:rsidRDefault="00EB2A26" w:rsidP="0044249F">
            <w:pPr>
              <w:keepNext/>
              <w:keepLines/>
              <w:spacing w:after="0"/>
              <w:rPr>
                <w:sz w:val="20"/>
                <w:szCs w:val="20"/>
              </w:rPr>
            </w:pPr>
            <w:r w:rsidRPr="00F6205B">
              <w:rPr>
                <w:sz w:val="20"/>
                <w:szCs w:val="20"/>
              </w:rPr>
              <w:t>Electric emissions</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C60C7C7" w14:textId="5AA6FED2" w:rsidR="00C153D7" w:rsidRPr="00F6205B" w:rsidRDefault="00FE1E58" w:rsidP="00242E7E">
            <w:pPr>
              <w:keepNext/>
              <w:keepLines/>
              <w:spacing w:after="0"/>
              <w:jc w:val="center"/>
              <w:rPr>
                <w:sz w:val="20"/>
                <w:szCs w:val="20"/>
              </w:rPr>
            </w:pPr>
            <w:r w:rsidRPr="00F6205B">
              <w:rPr>
                <w:sz w:val="20"/>
                <w:szCs w:val="20"/>
              </w:rPr>
              <w:t>$/kWh</w:t>
            </w:r>
          </w:p>
        </w:tc>
      </w:tr>
      <w:tr w:rsidR="00AA0C57" w:rsidRPr="00F6205B" w14:paraId="3FE93A40" w14:textId="77777777" w:rsidTr="004F1222">
        <w:trPr>
          <w:trHeight w:val="288"/>
          <w:jc w:val="center"/>
        </w:trPr>
        <w:tc>
          <w:tcPr>
            <w:tcW w:w="2664"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9F6A07A" w14:textId="09F73FB0" w:rsidR="00AA0C57" w:rsidRPr="00F6205B" w:rsidRDefault="00AA0C57" w:rsidP="00AA0C57">
            <w:pPr>
              <w:keepNext/>
              <w:keepLines/>
              <w:spacing w:after="0"/>
              <w:rPr>
                <w:sz w:val="20"/>
                <w:szCs w:val="20"/>
              </w:rPr>
            </w:pPr>
            <w:r w:rsidRPr="00F6205B">
              <w:rPr>
                <w:sz w:val="20"/>
                <w:szCs w:val="20"/>
              </w:rPr>
              <w:t>Residential heating gas</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57761A1" w14:textId="4416CE38" w:rsidR="00AA0C57" w:rsidRPr="00F6205B" w:rsidRDefault="00FE1E58" w:rsidP="00242E7E">
            <w:pPr>
              <w:keepNext/>
              <w:keepLines/>
              <w:spacing w:after="0"/>
              <w:jc w:val="center"/>
              <w:rPr>
                <w:sz w:val="20"/>
                <w:szCs w:val="20"/>
              </w:rPr>
            </w:pPr>
            <w:r w:rsidRPr="00F6205B">
              <w:rPr>
                <w:sz w:val="20"/>
                <w:szCs w:val="20"/>
              </w:rPr>
              <w:t>$/MMBtu</w:t>
            </w:r>
          </w:p>
        </w:tc>
      </w:tr>
      <w:tr w:rsidR="00AA0C57" w:rsidRPr="00F6205B" w14:paraId="03C19E6D" w14:textId="77777777" w:rsidTr="004F1222">
        <w:trPr>
          <w:trHeight w:val="288"/>
          <w:jc w:val="center"/>
        </w:trPr>
        <w:tc>
          <w:tcPr>
            <w:tcW w:w="2664"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85779C0" w14:textId="6D530612" w:rsidR="00AA0C57" w:rsidRPr="00F6205B" w:rsidRDefault="00AA0C57" w:rsidP="00AA0C57">
            <w:pPr>
              <w:keepNext/>
              <w:keepLines/>
              <w:spacing w:after="0"/>
              <w:rPr>
                <w:sz w:val="20"/>
                <w:szCs w:val="20"/>
              </w:rPr>
            </w:pPr>
            <w:r w:rsidRPr="00F6205B">
              <w:rPr>
                <w:sz w:val="20"/>
                <w:szCs w:val="20"/>
              </w:rPr>
              <w:t>Residential hot water gas</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EE6B52F" w14:textId="3CB4AE93" w:rsidR="00AA0C57" w:rsidRPr="00F6205B" w:rsidRDefault="00FE1E58" w:rsidP="00242E7E">
            <w:pPr>
              <w:keepNext/>
              <w:keepLines/>
              <w:spacing w:after="0"/>
              <w:jc w:val="center"/>
              <w:rPr>
                <w:sz w:val="20"/>
                <w:szCs w:val="20"/>
              </w:rPr>
            </w:pPr>
            <w:r w:rsidRPr="00F6205B">
              <w:rPr>
                <w:sz w:val="20"/>
                <w:szCs w:val="20"/>
              </w:rPr>
              <w:t>$/MMBtu</w:t>
            </w:r>
          </w:p>
        </w:tc>
      </w:tr>
      <w:tr w:rsidR="00AA0C57" w:rsidRPr="00F6205B" w14:paraId="2AF6C9C8" w14:textId="77777777" w:rsidTr="004F1222">
        <w:trPr>
          <w:trHeight w:val="288"/>
          <w:jc w:val="center"/>
        </w:trPr>
        <w:tc>
          <w:tcPr>
            <w:tcW w:w="2664"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4AC2463" w14:textId="251CD727" w:rsidR="00AA0C57" w:rsidRPr="00F6205B" w:rsidRDefault="00AA0C57" w:rsidP="00AA0C57">
            <w:pPr>
              <w:keepNext/>
              <w:keepLines/>
              <w:spacing w:after="0"/>
              <w:rPr>
                <w:sz w:val="20"/>
                <w:szCs w:val="20"/>
              </w:rPr>
            </w:pPr>
            <w:r w:rsidRPr="00F6205B">
              <w:rPr>
                <w:sz w:val="20"/>
                <w:szCs w:val="20"/>
              </w:rPr>
              <w:t>Residential oil</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AFCAFF2" w14:textId="448C6C88" w:rsidR="00AA0C57" w:rsidRPr="00F6205B" w:rsidRDefault="00FE1E58" w:rsidP="00242E7E">
            <w:pPr>
              <w:keepNext/>
              <w:keepLines/>
              <w:spacing w:after="0"/>
              <w:jc w:val="center"/>
              <w:rPr>
                <w:sz w:val="20"/>
                <w:szCs w:val="20"/>
              </w:rPr>
            </w:pPr>
            <w:r w:rsidRPr="00F6205B">
              <w:rPr>
                <w:sz w:val="20"/>
                <w:szCs w:val="20"/>
              </w:rPr>
              <w:t>$/MMBtu</w:t>
            </w:r>
          </w:p>
        </w:tc>
      </w:tr>
      <w:tr w:rsidR="00AA0C57" w:rsidRPr="00F6205B" w14:paraId="19787F4D" w14:textId="77777777" w:rsidTr="004F1222">
        <w:trPr>
          <w:trHeight w:val="288"/>
          <w:jc w:val="center"/>
        </w:trPr>
        <w:tc>
          <w:tcPr>
            <w:tcW w:w="2664"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19AD03C" w14:textId="5E76BB53" w:rsidR="00AA0C57" w:rsidRPr="00F6205B" w:rsidRDefault="00AA0C57" w:rsidP="00AA0C57">
            <w:pPr>
              <w:keepNext/>
              <w:keepLines/>
              <w:spacing w:after="0"/>
              <w:rPr>
                <w:sz w:val="20"/>
                <w:szCs w:val="20"/>
              </w:rPr>
            </w:pPr>
            <w:r w:rsidRPr="00F6205B">
              <w:rPr>
                <w:sz w:val="20"/>
                <w:szCs w:val="20"/>
              </w:rPr>
              <w:t>Residential propane</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B3348B1" w14:textId="62B4EE81" w:rsidR="00AA0C57" w:rsidRPr="00F6205B" w:rsidRDefault="00FE1E58" w:rsidP="00242E7E">
            <w:pPr>
              <w:keepNext/>
              <w:keepLines/>
              <w:spacing w:after="0"/>
              <w:jc w:val="center"/>
              <w:rPr>
                <w:sz w:val="20"/>
                <w:szCs w:val="20"/>
              </w:rPr>
            </w:pPr>
            <w:r w:rsidRPr="00F6205B">
              <w:rPr>
                <w:sz w:val="20"/>
                <w:szCs w:val="20"/>
              </w:rPr>
              <w:t>$/MMBtu</w:t>
            </w:r>
          </w:p>
        </w:tc>
      </w:tr>
      <w:tr w:rsidR="00AA0C57" w:rsidRPr="00F6205B" w14:paraId="23FBC26F" w14:textId="77777777" w:rsidTr="004F1222">
        <w:trPr>
          <w:trHeight w:val="288"/>
          <w:jc w:val="center"/>
        </w:trPr>
        <w:tc>
          <w:tcPr>
            <w:tcW w:w="2664"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C8B1926" w14:textId="0BFD35EC" w:rsidR="00AA0C57" w:rsidRPr="00F6205B" w:rsidRDefault="00AA0C57" w:rsidP="00AA0C57">
            <w:pPr>
              <w:keepNext/>
              <w:keepLines/>
              <w:spacing w:after="0"/>
              <w:rPr>
                <w:sz w:val="20"/>
                <w:szCs w:val="20"/>
              </w:rPr>
            </w:pPr>
            <w:r w:rsidRPr="00F6205B">
              <w:rPr>
                <w:sz w:val="20"/>
                <w:szCs w:val="20"/>
              </w:rPr>
              <w:t>Gas DRIPE</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F50A5F8" w14:textId="3250A6C6" w:rsidR="00AA0C57" w:rsidRPr="00F6205B" w:rsidRDefault="00FE1E58" w:rsidP="00242E7E">
            <w:pPr>
              <w:keepNext/>
              <w:keepLines/>
              <w:spacing w:after="0"/>
              <w:jc w:val="center"/>
              <w:rPr>
                <w:sz w:val="20"/>
                <w:szCs w:val="20"/>
              </w:rPr>
            </w:pPr>
            <w:r w:rsidRPr="00F6205B">
              <w:rPr>
                <w:sz w:val="20"/>
                <w:szCs w:val="20"/>
              </w:rPr>
              <w:t>$/MMBtu</w:t>
            </w:r>
          </w:p>
        </w:tc>
      </w:tr>
      <w:tr w:rsidR="00AA0C57" w:rsidRPr="00F6205B" w14:paraId="4CE282DE" w14:textId="77777777" w:rsidTr="004F1222">
        <w:trPr>
          <w:trHeight w:val="288"/>
          <w:jc w:val="center"/>
        </w:trPr>
        <w:tc>
          <w:tcPr>
            <w:tcW w:w="2664"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67138A8" w14:textId="0C0A5F40" w:rsidR="00AA0C57" w:rsidRPr="00F6205B" w:rsidRDefault="00AA0C57" w:rsidP="00AA0C57">
            <w:pPr>
              <w:keepNext/>
              <w:keepLines/>
              <w:spacing w:after="0"/>
              <w:rPr>
                <w:sz w:val="20"/>
                <w:szCs w:val="20"/>
              </w:rPr>
            </w:pPr>
            <w:r w:rsidRPr="00F6205B">
              <w:rPr>
                <w:sz w:val="20"/>
                <w:szCs w:val="20"/>
              </w:rPr>
              <w:t>Gas cross-fuel DRIPE</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097714F" w14:textId="6C3C478F" w:rsidR="00AA0C57" w:rsidRPr="00F6205B" w:rsidRDefault="00FE1E58" w:rsidP="00242E7E">
            <w:pPr>
              <w:keepNext/>
              <w:keepLines/>
              <w:spacing w:after="0"/>
              <w:jc w:val="center"/>
              <w:rPr>
                <w:sz w:val="20"/>
                <w:szCs w:val="20"/>
              </w:rPr>
            </w:pPr>
            <w:r w:rsidRPr="00F6205B">
              <w:rPr>
                <w:sz w:val="20"/>
                <w:szCs w:val="20"/>
              </w:rPr>
              <w:t>$/MMBtu</w:t>
            </w:r>
          </w:p>
        </w:tc>
      </w:tr>
      <w:tr w:rsidR="00AA0C57" w:rsidRPr="00F6205B" w14:paraId="437F1729" w14:textId="77777777" w:rsidTr="004F1222">
        <w:trPr>
          <w:trHeight w:val="288"/>
          <w:jc w:val="center"/>
        </w:trPr>
        <w:tc>
          <w:tcPr>
            <w:tcW w:w="2664"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C44A702" w14:textId="04F4DCCA" w:rsidR="00AA0C57" w:rsidRPr="00F6205B" w:rsidRDefault="00AA0C57" w:rsidP="00AA0C57">
            <w:pPr>
              <w:keepNext/>
              <w:keepLines/>
              <w:spacing w:after="0"/>
              <w:rPr>
                <w:sz w:val="20"/>
                <w:szCs w:val="20"/>
              </w:rPr>
            </w:pPr>
            <w:r w:rsidRPr="00F6205B">
              <w:rPr>
                <w:sz w:val="20"/>
                <w:szCs w:val="20"/>
              </w:rPr>
              <w:t>Gas emissions</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0C7FE99" w14:textId="2F3D0F32" w:rsidR="00AA0C57" w:rsidRPr="00F6205B" w:rsidRDefault="00FE1E58" w:rsidP="00242E7E">
            <w:pPr>
              <w:keepNext/>
              <w:keepLines/>
              <w:spacing w:after="0"/>
              <w:jc w:val="center"/>
              <w:rPr>
                <w:sz w:val="20"/>
                <w:szCs w:val="20"/>
              </w:rPr>
            </w:pPr>
            <w:r w:rsidRPr="00F6205B">
              <w:rPr>
                <w:sz w:val="20"/>
                <w:szCs w:val="20"/>
              </w:rPr>
              <w:t>$/MMBtu</w:t>
            </w:r>
          </w:p>
        </w:tc>
      </w:tr>
      <w:tr w:rsidR="00AA0C57" w:rsidRPr="00F6205B" w14:paraId="47827F8C" w14:textId="77777777" w:rsidTr="004F1222">
        <w:trPr>
          <w:trHeight w:val="288"/>
          <w:jc w:val="center"/>
        </w:trPr>
        <w:tc>
          <w:tcPr>
            <w:tcW w:w="2664"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EADD814" w14:textId="40C6F03F" w:rsidR="00AA0C57" w:rsidRPr="00F6205B" w:rsidRDefault="00AA0C57" w:rsidP="00AA0C57">
            <w:pPr>
              <w:keepNext/>
              <w:keepLines/>
              <w:spacing w:after="0"/>
              <w:rPr>
                <w:sz w:val="20"/>
                <w:szCs w:val="20"/>
              </w:rPr>
            </w:pPr>
            <w:r w:rsidRPr="00F6205B">
              <w:rPr>
                <w:sz w:val="20"/>
                <w:szCs w:val="20"/>
              </w:rPr>
              <w:t>Oil &amp; propane emissions</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E477C90" w14:textId="0EE60C54" w:rsidR="00AA0C57" w:rsidRPr="00F6205B" w:rsidRDefault="00FE1E58" w:rsidP="00242E7E">
            <w:pPr>
              <w:keepNext/>
              <w:keepLines/>
              <w:spacing w:after="0"/>
              <w:jc w:val="center"/>
              <w:rPr>
                <w:sz w:val="20"/>
                <w:szCs w:val="20"/>
              </w:rPr>
            </w:pPr>
            <w:r w:rsidRPr="00F6205B">
              <w:rPr>
                <w:sz w:val="20"/>
                <w:szCs w:val="20"/>
              </w:rPr>
              <w:t>$/MMBtu</w:t>
            </w:r>
          </w:p>
        </w:tc>
      </w:tr>
      <w:tr w:rsidR="00AA0C57" w:rsidRPr="00F6205B" w14:paraId="24AB64DA" w14:textId="77777777" w:rsidTr="004F1222">
        <w:trPr>
          <w:trHeight w:val="288"/>
          <w:jc w:val="center"/>
        </w:trPr>
        <w:tc>
          <w:tcPr>
            <w:tcW w:w="2664" w:type="dxa"/>
            <w:tcBorders>
              <w:top w:val="single" w:sz="4" w:space="0" w:color="000000" w:themeColor="text1"/>
              <w:left w:val="single" w:sz="4" w:space="0" w:color="auto"/>
              <w:bottom w:val="single" w:sz="4" w:space="0" w:color="auto"/>
              <w:right w:val="single" w:sz="4" w:space="0" w:color="000000" w:themeColor="text1"/>
            </w:tcBorders>
            <w:vAlign w:val="center"/>
          </w:tcPr>
          <w:p w14:paraId="17DFF278" w14:textId="6822C448" w:rsidR="00AA0C57" w:rsidRPr="00F6205B" w:rsidRDefault="00AA0C57" w:rsidP="00AA0C57">
            <w:pPr>
              <w:keepNext/>
              <w:keepLines/>
              <w:spacing w:after="0"/>
              <w:rPr>
                <w:sz w:val="20"/>
                <w:szCs w:val="20"/>
              </w:rPr>
            </w:pPr>
            <w:r w:rsidRPr="00F6205B">
              <w:rPr>
                <w:sz w:val="20"/>
                <w:szCs w:val="20"/>
              </w:rPr>
              <w:t>Water ($/gal)</w:t>
            </w:r>
          </w:p>
        </w:tc>
        <w:tc>
          <w:tcPr>
            <w:tcW w:w="1197" w:type="dxa"/>
            <w:tcBorders>
              <w:top w:val="single" w:sz="4" w:space="0" w:color="000000" w:themeColor="text1"/>
              <w:left w:val="single" w:sz="4" w:space="0" w:color="000000" w:themeColor="text1"/>
              <w:bottom w:val="single" w:sz="4" w:space="0" w:color="auto"/>
              <w:right w:val="single" w:sz="4" w:space="0" w:color="auto"/>
            </w:tcBorders>
            <w:vAlign w:val="center"/>
          </w:tcPr>
          <w:p w14:paraId="05659254" w14:textId="2DCDBA19" w:rsidR="00AA0C57" w:rsidRPr="00F6205B" w:rsidRDefault="00FE1E58" w:rsidP="00242E7E">
            <w:pPr>
              <w:keepNext/>
              <w:keepLines/>
              <w:spacing w:after="0"/>
              <w:jc w:val="center"/>
              <w:rPr>
                <w:sz w:val="20"/>
                <w:szCs w:val="20"/>
              </w:rPr>
            </w:pPr>
            <w:r w:rsidRPr="00F6205B">
              <w:rPr>
                <w:sz w:val="20"/>
                <w:szCs w:val="20"/>
              </w:rPr>
              <w:t>$/gallon</w:t>
            </w:r>
          </w:p>
        </w:tc>
      </w:tr>
    </w:tbl>
    <w:p w14:paraId="04F3D347" w14:textId="77777777" w:rsidR="00C153D7" w:rsidRPr="00F6205B" w:rsidRDefault="00C153D7" w:rsidP="00C153D7"/>
    <w:p w14:paraId="18FD0E75" w14:textId="77777777" w:rsidR="00C153D7" w:rsidRPr="00F6205B" w:rsidRDefault="00C153D7" w:rsidP="00864AEB">
      <w:pPr>
        <w:pStyle w:val="Heading2"/>
        <w:numPr>
          <w:ilvl w:val="0"/>
          <w:numId w:val="0"/>
        </w:numPr>
        <w:jc w:val="both"/>
      </w:pPr>
      <w:bookmarkStart w:id="99" w:name="_Ref391560062"/>
      <w:bookmarkStart w:id="100" w:name="_Toc391887304"/>
      <w:bookmarkStart w:id="101" w:name="_Toc439939394"/>
      <w:r w:rsidRPr="00F6205B">
        <w:lastRenderedPageBreak/>
        <w:t>Achievable Potential Methodology</w:t>
      </w:r>
      <w:bookmarkEnd w:id="99"/>
      <w:bookmarkEnd w:id="100"/>
      <w:bookmarkEnd w:id="101"/>
    </w:p>
    <w:p w14:paraId="13B49424" w14:textId="77777777" w:rsidR="00D65454" w:rsidRDefault="003B6D65" w:rsidP="00D65454">
      <w:r w:rsidRPr="00F6205B">
        <w:t>Achievable potential savings were derived by adjusting cost-effective savings to account for increases in federal minimum efficiency standards, gradual adoption of upgrade measures, and the replacement schedules of existing equipment.</w:t>
      </w:r>
    </w:p>
    <w:p w14:paraId="7052C1FD" w14:textId="19921176" w:rsidR="00B243BD" w:rsidRPr="00F6205B" w:rsidRDefault="00645785" w:rsidP="00645785">
      <w:pPr>
        <w:pStyle w:val="Heading3"/>
        <w:numPr>
          <w:ilvl w:val="0"/>
          <w:numId w:val="0"/>
        </w:numPr>
        <w:spacing w:line="268" w:lineRule="auto"/>
        <w:jc w:val="both"/>
        <w:rPr>
          <w:rFonts w:eastAsiaTheme="minorEastAsia"/>
        </w:rPr>
      </w:pPr>
      <w:bookmarkStart w:id="102" w:name="_Toc439939395"/>
      <w:r w:rsidRPr="00F6205B">
        <w:rPr>
          <w:rFonts w:eastAsiaTheme="minorEastAsia"/>
        </w:rPr>
        <w:t>Replacement Schedules</w:t>
      </w:r>
      <w:bookmarkEnd w:id="102"/>
    </w:p>
    <w:p w14:paraId="723E93A9" w14:textId="59487A5E" w:rsidR="00645785" w:rsidRPr="00F6205B" w:rsidRDefault="00645785" w:rsidP="00645785">
      <w:r w:rsidRPr="00F6205B">
        <w:t>The cost-effective potential stage of the study does not take the replacement schedules of existing equipment into account. In that part of the analysis, it is possible for an upgrade to screen as cost-effective even if the existing measure has not reached the end of its lifetime. In reality, it is rare for consumers to make the decision to upgrade the efficiency of their equipment before it becomes necessary to replace the equipment. For this reason, the achievable analysis only counts savings that are achieved after a given piece of equipment has reached the end of its effective useful life (EUL). These lifetimes were derived from Connecticut’</w:t>
      </w:r>
      <w:r w:rsidR="0071566D">
        <w:t>s 2013 Program Savings Documentation.</w:t>
      </w:r>
      <w:r w:rsidR="00264A9E">
        <w:rPr>
          <w:rStyle w:val="FootnoteReference"/>
        </w:rPr>
        <w:footnoteReference w:id="40"/>
      </w:r>
    </w:p>
    <w:p w14:paraId="1E217407" w14:textId="5A032312" w:rsidR="00C153D7" w:rsidRPr="00F6205B" w:rsidRDefault="00645785" w:rsidP="00864AEB">
      <w:pPr>
        <w:pStyle w:val="Heading3"/>
        <w:numPr>
          <w:ilvl w:val="0"/>
          <w:numId w:val="0"/>
        </w:numPr>
        <w:spacing w:line="268" w:lineRule="auto"/>
        <w:jc w:val="both"/>
        <w:rPr>
          <w:rFonts w:eastAsiaTheme="minorEastAsia"/>
        </w:rPr>
      </w:pPr>
      <w:bookmarkStart w:id="103" w:name="_Toc391887306"/>
      <w:bookmarkStart w:id="104" w:name="_Toc439939396"/>
      <w:r w:rsidRPr="00F6205B">
        <w:rPr>
          <w:rFonts w:eastAsiaTheme="minorEastAsia"/>
        </w:rPr>
        <w:t xml:space="preserve">Gradual </w:t>
      </w:r>
      <w:r w:rsidR="00E75DA8" w:rsidRPr="00F6205B">
        <w:rPr>
          <w:rFonts w:eastAsiaTheme="minorEastAsia"/>
        </w:rPr>
        <w:t xml:space="preserve">Market </w:t>
      </w:r>
      <w:r w:rsidR="00C153D7" w:rsidRPr="00F6205B">
        <w:rPr>
          <w:rFonts w:eastAsiaTheme="minorEastAsia"/>
        </w:rPr>
        <w:t>Adoption of Upgrade Measures</w:t>
      </w:r>
      <w:bookmarkEnd w:id="103"/>
      <w:bookmarkEnd w:id="104"/>
    </w:p>
    <w:p w14:paraId="61BFFEDD" w14:textId="77777777" w:rsidR="00DF7EA1" w:rsidRPr="00F6205B" w:rsidRDefault="00C153D7" w:rsidP="00C153D7">
      <w:pPr>
        <w:rPr>
          <w:rFonts w:cs="Times New Roman"/>
        </w:rPr>
      </w:pPr>
      <w:r w:rsidRPr="00F6205B">
        <w:rPr>
          <w:rFonts w:cs="Times New Roman"/>
        </w:rPr>
        <w:t xml:space="preserve">Achievable potential savings reflect the gradual </w:t>
      </w:r>
      <w:r w:rsidR="00645785" w:rsidRPr="00F6205B">
        <w:rPr>
          <w:rFonts w:cs="Times New Roman"/>
        </w:rPr>
        <w:t xml:space="preserve">market </w:t>
      </w:r>
      <w:r w:rsidRPr="00F6205B">
        <w:rPr>
          <w:rFonts w:cs="Times New Roman"/>
        </w:rPr>
        <w:t xml:space="preserve">adoption of upgrade measures over the course of </w:t>
      </w:r>
      <w:r w:rsidR="00645785" w:rsidRPr="00F6205B">
        <w:rPr>
          <w:rFonts w:cs="Times New Roman"/>
        </w:rPr>
        <w:t>the ten-year study window</w:t>
      </w:r>
      <w:r w:rsidRPr="00F6205B">
        <w:rPr>
          <w:rFonts w:cs="Times New Roman"/>
        </w:rPr>
        <w:t xml:space="preserve">. </w:t>
      </w:r>
      <w:r w:rsidR="00DF7EA1" w:rsidRPr="00F6205B">
        <w:rPr>
          <w:rFonts w:cs="Times New Roman"/>
        </w:rPr>
        <w:t>Truly reliable e</w:t>
      </w:r>
      <w:r w:rsidR="00645785" w:rsidRPr="00F6205B">
        <w:rPr>
          <w:rFonts w:cs="Times New Roman"/>
        </w:rPr>
        <w:t xml:space="preserve">stimates </w:t>
      </w:r>
      <w:r w:rsidR="00DF7EA1" w:rsidRPr="00F6205B">
        <w:rPr>
          <w:rFonts w:cs="Times New Roman"/>
        </w:rPr>
        <w:t>of what the market penetration of various products and services will be in 2025 are difficult to come by; projecting the characteristics of the market so far into the future necessarily entails some guesswork.</w:t>
      </w:r>
    </w:p>
    <w:p w14:paraId="7EE4914D" w14:textId="1B7A7795" w:rsidR="00A92C5D" w:rsidRPr="00F6205B" w:rsidRDefault="00DF7EA1" w:rsidP="00C153D7">
      <w:pPr>
        <w:rPr>
          <w:rFonts w:cs="Times New Roman"/>
        </w:rPr>
      </w:pPr>
      <w:r w:rsidRPr="00F6205B">
        <w:rPr>
          <w:rFonts w:cs="Times New Roman"/>
        </w:rPr>
        <w:t>In developing market penetration estimates, a 2009 potential study by the Electric Power Research Institute</w:t>
      </w:r>
      <w:r w:rsidR="003F0430" w:rsidRPr="00F6205B">
        <w:rPr>
          <w:rFonts w:cs="Times New Roman"/>
        </w:rPr>
        <w:t xml:space="preserve"> (EPRI)</w:t>
      </w:r>
      <w:r w:rsidRPr="00F6205B">
        <w:rPr>
          <w:rStyle w:val="FootnoteReference"/>
          <w:rFonts w:cs="Times New Roman"/>
        </w:rPr>
        <w:footnoteReference w:id="41"/>
      </w:r>
      <w:r w:rsidRPr="00F6205B">
        <w:rPr>
          <w:rFonts w:cs="Times New Roman"/>
        </w:rPr>
        <w:t xml:space="preserve"> was utilized. This study calculated achievable potential sav</w:t>
      </w:r>
      <w:r w:rsidR="0078418E" w:rsidRPr="00F6205B">
        <w:rPr>
          <w:rFonts w:cs="Times New Roman"/>
        </w:rPr>
        <w:t>ings nationwide and by region for</w:t>
      </w:r>
      <w:r w:rsidRPr="00F6205B">
        <w:rPr>
          <w:rFonts w:cs="Times New Roman"/>
        </w:rPr>
        <w:t xml:space="preserve"> the years 2010 to 2030. Its methodology included developing market acceptance ratios for each of the products and services it considered. These ratios describe the </w:t>
      </w:r>
      <w:r w:rsidR="000040DC" w:rsidRPr="00F6205B">
        <w:rPr>
          <w:rFonts w:cs="Times New Roman"/>
        </w:rPr>
        <w:t>share of the homes replacing equipment that will install above-minimum efficiency equipment.</w:t>
      </w:r>
    </w:p>
    <w:p w14:paraId="046D054A" w14:textId="00A04564" w:rsidR="00C153D7" w:rsidRPr="00F6205B" w:rsidRDefault="00A92C5D" w:rsidP="00C153D7">
      <w:pPr>
        <w:rPr>
          <w:rFonts w:cs="Times New Roman"/>
        </w:rPr>
      </w:pPr>
      <w:r w:rsidRPr="00F6205B">
        <w:rPr>
          <w:rFonts w:cs="Times New Roman"/>
        </w:rPr>
        <w:t xml:space="preserve">By this point in the analysis, the savings have already been adjusted to reflect changes in codes </w:t>
      </w:r>
      <w:r w:rsidR="004708F0" w:rsidRPr="00F6205B">
        <w:rPr>
          <w:rFonts w:cs="Times New Roman"/>
        </w:rPr>
        <w:t>and standards. F</w:t>
      </w:r>
      <w:r w:rsidRPr="00F6205B">
        <w:rPr>
          <w:rFonts w:cs="Times New Roman"/>
        </w:rPr>
        <w:t xml:space="preserve">or this reason, </w:t>
      </w:r>
      <w:r w:rsidR="003F0430" w:rsidRPr="00F6205B">
        <w:rPr>
          <w:rFonts w:cs="Times New Roman"/>
        </w:rPr>
        <w:t>the estimates taken from the EPRI study were revised down by half</w:t>
      </w:r>
      <w:r w:rsidRPr="00F6205B">
        <w:rPr>
          <w:rFonts w:cs="Times New Roman"/>
        </w:rPr>
        <w:t xml:space="preserve">. For instance, EPRI estimates that in 2025, 100% of refrigerators being replaced will be more efficient than the current federal minimum. However, the savings which these market adoption percentages are meant to adjust already reflect changes in federal standards. </w:t>
      </w:r>
      <w:r w:rsidR="00B0146C" w:rsidRPr="00F6205B">
        <w:rPr>
          <w:rFonts w:cs="Times New Roman"/>
        </w:rPr>
        <w:t>The analysis estimates that while 100% of refrigerators sold in 2025 may be more efficient than the current standard, 50% may be more efficient than the standard applicable in that year.</w:t>
      </w:r>
    </w:p>
    <w:p w14:paraId="1F92C740" w14:textId="3A6A129E" w:rsidR="008E478B" w:rsidRPr="00F6205B" w:rsidRDefault="008E478B" w:rsidP="00C153D7">
      <w:pPr>
        <w:rPr>
          <w:rFonts w:cs="Times New Roman"/>
        </w:rPr>
      </w:pPr>
      <w:r w:rsidRPr="00F6205B">
        <w:rPr>
          <w:rFonts w:cs="Times New Roman"/>
        </w:rPr>
        <w:t xml:space="preserve">Market penetration in year one (derived from Weatherization Baseline Assessment data for each measure except lighting) and estimated market penetration in year ten (derived from </w:t>
      </w:r>
      <w:r w:rsidRPr="00F6205B">
        <w:rPr>
          <w:rFonts w:cs="Times New Roman"/>
        </w:rPr>
        <w:lastRenderedPageBreak/>
        <w:t>the EPRI study) were used in developing an adoption curve, which was subsequently used to adjust annual savings in each year from 2016 to 2025 to account for gradual market adoption.</w:t>
      </w:r>
    </w:p>
    <w:p w14:paraId="6C973F7C" w14:textId="77777777" w:rsidR="00C153D7" w:rsidRPr="00F6205B" w:rsidRDefault="00C153D7" w:rsidP="00864AEB">
      <w:pPr>
        <w:pStyle w:val="Heading2"/>
        <w:numPr>
          <w:ilvl w:val="0"/>
          <w:numId w:val="0"/>
        </w:numPr>
        <w:jc w:val="both"/>
      </w:pPr>
      <w:bookmarkStart w:id="105" w:name="_Peak_Demand_and"/>
      <w:bookmarkStart w:id="106" w:name="_Ref390762681"/>
      <w:bookmarkStart w:id="107" w:name="_Toc391887309"/>
      <w:bookmarkStart w:id="108" w:name="_Toc439939397"/>
      <w:bookmarkEnd w:id="105"/>
      <w:r w:rsidRPr="00F6205B">
        <w:t>Peak Demand and Coincidence Factors</w:t>
      </w:r>
      <w:bookmarkEnd w:id="106"/>
      <w:bookmarkEnd w:id="107"/>
      <w:bookmarkEnd w:id="108"/>
    </w:p>
    <w:p w14:paraId="016B56E9" w14:textId="4C82065D" w:rsidR="00C153D7" w:rsidRPr="00F6205B" w:rsidRDefault="00125AEC" w:rsidP="00C153D7">
      <w:pPr>
        <w:rPr>
          <w:lang w:bidi="ar-SA"/>
        </w:rPr>
      </w:pPr>
      <w:r>
        <w:rPr>
          <w:lang w:bidi="ar-SA"/>
        </w:rPr>
        <w:t xml:space="preserve">The evaluation team used </w:t>
      </w:r>
      <w:r w:rsidR="00C153D7" w:rsidRPr="00F6205B">
        <w:rPr>
          <w:lang w:bidi="ar-SA"/>
        </w:rPr>
        <w:t>REM/Rate demand estimates as a starting point</w:t>
      </w:r>
      <w:r w:rsidR="00A076E9" w:rsidRPr="00F6205B">
        <w:rPr>
          <w:lang w:bidi="ar-SA"/>
        </w:rPr>
        <w:t xml:space="preserve"> in assessing peak demand savings</w:t>
      </w:r>
      <w:r w:rsidR="00C153D7" w:rsidRPr="00F6205B">
        <w:rPr>
          <w:lang w:bidi="ar-SA"/>
        </w:rPr>
        <w:t xml:space="preserve">. </w:t>
      </w:r>
      <w:r w:rsidR="00A076E9" w:rsidRPr="00F6205B">
        <w:rPr>
          <w:lang w:bidi="ar-SA"/>
        </w:rPr>
        <w:t>NORESCO, the developers of REM/Rate, confirmed that the software assumes coincidence factors when assessing peak demand.</w:t>
      </w:r>
      <w:r w:rsidR="00C153D7" w:rsidRPr="00F6205B">
        <w:rPr>
          <w:lang w:bidi="ar-SA"/>
        </w:rPr>
        <w:t xml:space="preserve"> </w:t>
      </w:r>
      <w:r w:rsidR="00A076E9" w:rsidRPr="00F6205B">
        <w:rPr>
          <w:lang w:bidi="ar-SA"/>
        </w:rPr>
        <w:t xml:space="preserve">In order to provide a more accurate estimate of peak demand for single-family homes in Connecticut, these default coincidence factors were </w:t>
      </w:r>
      <w:r w:rsidR="00C153D7" w:rsidRPr="00F6205B">
        <w:rPr>
          <w:lang w:bidi="ar-SA"/>
        </w:rPr>
        <w:t xml:space="preserve">removed and Connecticut-specific factors </w:t>
      </w:r>
      <w:r w:rsidR="00A076E9" w:rsidRPr="00F6205B">
        <w:rPr>
          <w:lang w:bidi="ar-SA"/>
        </w:rPr>
        <w:t>applied.</w:t>
      </w:r>
    </w:p>
    <w:p w14:paraId="0DF1DAA0" w14:textId="07FE0E4B" w:rsidR="00C153D7" w:rsidRPr="00F6205B" w:rsidRDefault="00A076E9" w:rsidP="00C153D7">
      <w:pPr>
        <w:rPr>
          <w:lang w:bidi="ar-SA"/>
        </w:rPr>
      </w:pPr>
      <w:r w:rsidRPr="00F6205B">
        <w:rPr>
          <w:lang w:bidi="ar-SA"/>
        </w:rPr>
        <w:fldChar w:fldCharType="begin"/>
      </w:r>
      <w:r w:rsidRPr="00F6205B">
        <w:rPr>
          <w:lang w:bidi="ar-SA"/>
        </w:rPr>
        <w:instrText xml:space="preserve"> REF _Ref439340421 \h </w:instrText>
      </w:r>
      <w:r w:rsidR="00F6205B">
        <w:rPr>
          <w:lang w:bidi="ar-SA"/>
        </w:rPr>
        <w:instrText xml:space="preserve"> \* MERGEFORMAT </w:instrText>
      </w:r>
      <w:r w:rsidRPr="00F6205B">
        <w:rPr>
          <w:lang w:bidi="ar-SA"/>
        </w:rPr>
      </w:r>
      <w:r w:rsidRPr="00F6205B">
        <w:rPr>
          <w:lang w:bidi="ar-SA"/>
        </w:rPr>
        <w:fldChar w:fldCharType="separate"/>
      </w:r>
      <w:r w:rsidR="00FA26A9" w:rsidRPr="00F6205B">
        <w:t xml:space="preserve">Table </w:t>
      </w:r>
      <w:r w:rsidR="00FA26A9">
        <w:rPr>
          <w:noProof/>
        </w:rPr>
        <w:t>5</w:t>
      </w:r>
      <w:r w:rsidRPr="00F6205B">
        <w:rPr>
          <w:lang w:bidi="ar-SA"/>
        </w:rPr>
        <w:fldChar w:fldCharType="end"/>
      </w:r>
      <w:r w:rsidRPr="00F6205B">
        <w:rPr>
          <w:lang w:bidi="ar-SA"/>
        </w:rPr>
        <w:t xml:space="preserve"> </w:t>
      </w:r>
      <w:r w:rsidR="00C153D7" w:rsidRPr="00F6205B">
        <w:rPr>
          <w:lang w:bidi="ar-SA"/>
        </w:rPr>
        <w:t xml:space="preserve">displays the coincidence factors that were </w:t>
      </w:r>
      <w:r w:rsidRPr="00F6205B">
        <w:rPr>
          <w:lang w:bidi="ar-SA"/>
        </w:rPr>
        <w:t>used in this study. All of the</w:t>
      </w:r>
      <w:r w:rsidR="00C153D7" w:rsidRPr="00F6205B">
        <w:rPr>
          <w:lang w:bidi="ar-SA"/>
        </w:rPr>
        <w:t xml:space="preserve"> factors, with the exception of those used for lighting, appliances, and plug loads, are from the 2013 Connecticut Program Savings Documentation.</w:t>
      </w:r>
      <w:r w:rsidR="00C153D7" w:rsidRPr="00F6205B">
        <w:rPr>
          <w:rStyle w:val="FootnoteReference"/>
          <w:lang w:bidi="ar-SA"/>
        </w:rPr>
        <w:footnoteReference w:id="42"/>
      </w:r>
      <w:r w:rsidR="00C153D7" w:rsidRPr="00F6205B">
        <w:rPr>
          <w:lang w:bidi="ar-SA"/>
        </w:rPr>
        <w:t xml:space="preserve"> The coincidence factors for lighting are based on the recent Northeast Residential Lighting Hours-of-Use Study.</w:t>
      </w:r>
      <w:r w:rsidR="00C153D7" w:rsidRPr="00F6205B">
        <w:rPr>
          <w:rStyle w:val="FootnoteReference"/>
          <w:lang w:bidi="ar-SA"/>
        </w:rPr>
        <w:footnoteReference w:id="43"/>
      </w:r>
      <w:r w:rsidR="00C153D7" w:rsidRPr="00F6205B">
        <w:rPr>
          <w:lang w:bidi="ar-SA"/>
        </w:rPr>
        <w:t xml:space="preserve"> The coincidence factors for appliances and plug loads are based on load profiles for these measures as estimated by the Department of Energy in their Building American Research Benchmark Definition.</w:t>
      </w:r>
      <w:r w:rsidR="00C153D7" w:rsidRPr="00F6205B">
        <w:rPr>
          <w:rStyle w:val="FootnoteReference"/>
          <w:lang w:bidi="ar-SA"/>
        </w:rPr>
        <w:footnoteReference w:id="44"/>
      </w:r>
    </w:p>
    <w:p w14:paraId="125CE586" w14:textId="5E8CE399" w:rsidR="00C153D7" w:rsidRPr="00F6205B" w:rsidRDefault="00C153D7" w:rsidP="007C5FDD">
      <w:pPr>
        <w:pStyle w:val="Caption"/>
      </w:pPr>
      <w:bookmarkStart w:id="109" w:name="_Ref366830223"/>
      <w:bookmarkStart w:id="110" w:name="_Ref439340421"/>
      <w:bookmarkStart w:id="111" w:name="_Toc373324113"/>
      <w:bookmarkStart w:id="112" w:name="_Toc391887341"/>
      <w:bookmarkStart w:id="113" w:name="_Toc439931836"/>
      <w:r w:rsidRPr="00F6205B">
        <w:t>Table</w:t>
      </w:r>
      <w:bookmarkEnd w:id="109"/>
      <w:r w:rsidR="004F23CF" w:rsidRPr="00F6205B">
        <w:t xml:space="preserve"> </w:t>
      </w:r>
      <w:fldSimple w:instr=" SEQ Table \* ARABIC ">
        <w:r w:rsidR="00FA26A9">
          <w:rPr>
            <w:noProof/>
          </w:rPr>
          <w:t>5</w:t>
        </w:r>
      </w:fldSimple>
      <w:bookmarkEnd w:id="110"/>
      <w:r w:rsidRPr="00F6205B">
        <w:t>: Coincidence Factors</w:t>
      </w:r>
      <w:bookmarkEnd w:id="111"/>
      <w:bookmarkEnd w:id="112"/>
      <w:bookmarkEnd w:id="113"/>
    </w:p>
    <w:tbl>
      <w:tblPr>
        <w:tblStyle w:val="TableGrid"/>
        <w:tblW w:w="5432"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2533"/>
        <w:gridCol w:w="1449"/>
        <w:gridCol w:w="1450"/>
      </w:tblGrid>
      <w:tr w:rsidR="00C153D7" w:rsidRPr="00F6205B" w14:paraId="72425EB2" w14:textId="77777777" w:rsidTr="00446A58">
        <w:trPr>
          <w:trHeight w:val="288"/>
          <w:jc w:val="center"/>
        </w:trPr>
        <w:tc>
          <w:tcPr>
            <w:tcW w:w="2533" w:type="dxa"/>
            <w:tcBorders>
              <w:top w:val="single" w:sz="4" w:space="0" w:color="auto"/>
              <w:left w:val="single" w:sz="4" w:space="0" w:color="auto"/>
              <w:bottom w:val="single" w:sz="4" w:space="0" w:color="auto"/>
              <w:right w:val="single" w:sz="4" w:space="0" w:color="000000" w:themeColor="text1"/>
            </w:tcBorders>
            <w:shd w:val="clear" w:color="auto" w:fill="0B4D2C" w:themeFill="background2" w:themeFillShade="BF"/>
            <w:vAlign w:val="center"/>
          </w:tcPr>
          <w:p w14:paraId="10DE09E8" w14:textId="77777777" w:rsidR="00C153D7" w:rsidRPr="00F6205B" w:rsidRDefault="00C153D7" w:rsidP="007C5FDD">
            <w:pPr>
              <w:keepNext/>
              <w:keepLines/>
              <w:spacing w:after="0"/>
              <w:rPr>
                <w:b/>
                <w:color w:val="FFFFFF" w:themeColor="background1"/>
                <w:sz w:val="20"/>
                <w:szCs w:val="20"/>
              </w:rPr>
            </w:pPr>
            <w:r w:rsidRPr="00F6205B">
              <w:rPr>
                <w:b/>
                <w:color w:val="FFFFFF" w:themeColor="background1"/>
                <w:sz w:val="20"/>
                <w:szCs w:val="20"/>
              </w:rPr>
              <w:t>End Use</w:t>
            </w:r>
          </w:p>
        </w:tc>
        <w:tc>
          <w:tcPr>
            <w:tcW w:w="1449" w:type="dxa"/>
            <w:tcBorders>
              <w:top w:val="single" w:sz="4" w:space="0" w:color="auto"/>
              <w:bottom w:val="single" w:sz="4" w:space="0" w:color="auto"/>
              <w:right w:val="single" w:sz="4" w:space="0" w:color="000000" w:themeColor="text1"/>
            </w:tcBorders>
            <w:shd w:val="clear" w:color="auto" w:fill="0B4D2C" w:themeFill="background2" w:themeFillShade="BF"/>
            <w:vAlign w:val="center"/>
          </w:tcPr>
          <w:p w14:paraId="312EB84D" w14:textId="77777777" w:rsidR="00C153D7" w:rsidRPr="00F6205B" w:rsidRDefault="00C153D7" w:rsidP="007C5FDD">
            <w:pPr>
              <w:keepNext/>
              <w:keepLines/>
              <w:spacing w:after="0"/>
              <w:jc w:val="center"/>
              <w:rPr>
                <w:b/>
                <w:color w:val="FFFFFF" w:themeColor="background1"/>
                <w:sz w:val="20"/>
                <w:szCs w:val="20"/>
              </w:rPr>
            </w:pPr>
            <w:r w:rsidRPr="00F6205B">
              <w:rPr>
                <w:b/>
                <w:color w:val="FFFFFF" w:themeColor="background1"/>
                <w:sz w:val="20"/>
                <w:szCs w:val="20"/>
              </w:rPr>
              <w:t>Summer Coincidence Factor</w:t>
            </w:r>
          </w:p>
        </w:tc>
        <w:tc>
          <w:tcPr>
            <w:tcW w:w="1450" w:type="dxa"/>
            <w:tcBorders>
              <w:top w:val="single" w:sz="4" w:space="0" w:color="auto"/>
              <w:bottom w:val="single" w:sz="4" w:space="0" w:color="auto"/>
              <w:right w:val="single" w:sz="4" w:space="0" w:color="auto"/>
            </w:tcBorders>
            <w:shd w:val="clear" w:color="auto" w:fill="0B4D2C" w:themeFill="background2" w:themeFillShade="BF"/>
            <w:vAlign w:val="center"/>
          </w:tcPr>
          <w:p w14:paraId="686127D7" w14:textId="77777777" w:rsidR="00C153D7" w:rsidRPr="00F6205B" w:rsidRDefault="00C153D7" w:rsidP="007C5FDD">
            <w:pPr>
              <w:keepNext/>
              <w:keepLines/>
              <w:spacing w:after="0"/>
              <w:jc w:val="center"/>
              <w:rPr>
                <w:b/>
                <w:color w:val="FFFFFF" w:themeColor="background1"/>
                <w:sz w:val="20"/>
                <w:szCs w:val="20"/>
              </w:rPr>
            </w:pPr>
            <w:r w:rsidRPr="00F6205B">
              <w:rPr>
                <w:b/>
                <w:color w:val="FFFFFF" w:themeColor="background1"/>
                <w:sz w:val="20"/>
                <w:szCs w:val="20"/>
              </w:rPr>
              <w:t>Winter Coincidence Factor</w:t>
            </w:r>
          </w:p>
        </w:tc>
      </w:tr>
      <w:tr w:rsidR="00C153D7" w:rsidRPr="00F6205B" w14:paraId="1B21F98E" w14:textId="77777777" w:rsidTr="00446A58">
        <w:trPr>
          <w:trHeight w:val="288"/>
          <w:jc w:val="center"/>
        </w:trPr>
        <w:tc>
          <w:tcPr>
            <w:tcW w:w="2533" w:type="dxa"/>
            <w:tcBorders>
              <w:top w:val="single" w:sz="4" w:space="0" w:color="auto"/>
              <w:left w:val="single" w:sz="4" w:space="0" w:color="auto"/>
              <w:bottom w:val="single" w:sz="4" w:space="0" w:color="000000" w:themeColor="text1"/>
              <w:right w:val="single" w:sz="4" w:space="0" w:color="000000" w:themeColor="text1"/>
            </w:tcBorders>
            <w:vAlign w:val="center"/>
          </w:tcPr>
          <w:p w14:paraId="7737D749" w14:textId="77777777" w:rsidR="00C153D7" w:rsidRPr="00F6205B" w:rsidRDefault="00C153D7" w:rsidP="007C5FDD">
            <w:pPr>
              <w:keepNext/>
              <w:keepLines/>
              <w:spacing w:after="0"/>
              <w:rPr>
                <w:sz w:val="20"/>
                <w:szCs w:val="20"/>
              </w:rPr>
            </w:pPr>
            <w:r w:rsidRPr="00F6205B">
              <w:rPr>
                <w:sz w:val="20"/>
                <w:szCs w:val="20"/>
              </w:rPr>
              <w:t>Heating</w:t>
            </w:r>
          </w:p>
        </w:tc>
        <w:tc>
          <w:tcPr>
            <w:tcW w:w="1449" w:type="dxa"/>
            <w:tcBorders>
              <w:top w:val="single" w:sz="4" w:space="0" w:color="auto"/>
              <w:bottom w:val="single" w:sz="4" w:space="0" w:color="000000" w:themeColor="text1"/>
              <w:right w:val="single" w:sz="4" w:space="0" w:color="000000" w:themeColor="text1"/>
            </w:tcBorders>
            <w:vAlign w:val="center"/>
          </w:tcPr>
          <w:p w14:paraId="344AF8D7" w14:textId="77777777" w:rsidR="00C153D7" w:rsidRPr="00F6205B" w:rsidRDefault="00C153D7" w:rsidP="007C5FDD">
            <w:pPr>
              <w:keepNext/>
              <w:keepLines/>
              <w:spacing w:after="0"/>
              <w:jc w:val="center"/>
              <w:rPr>
                <w:sz w:val="20"/>
                <w:szCs w:val="20"/>
              </w:rPr>
            </w:pPr>
            <w:r w:rsidRPr="00F6205B">
              <w:rPr>
                <w:sz w:val="20"/>
                <w:szCs w:val="20"/>
              </w:rPr>
              <w:t>0.00</w:t>
            </w:r>
          </w:p>
        </w:tc>
        <w:tc>
          <w:tcPr>
            <w:tcW w:w="1450" w:type="dxa"/>
            <w:tcBorders>
              <w:top w:val="single" w:sz="4" w:space="0" w:color="auto"/>
              <w:bottom w:val="single" w:sz="4" w:space="0" w:color="000000" w:themeColor="text1"/>
              <w:right w:val="single" w:sz="4" w:space="0" w:color="auto"/>
            </w:tcBorders>
            <w:vAlign w:val="center"/>
          </w:tcPr>
          <w:p w14:paraId="3B392A8B" w14:textId="77777777" w:rsidR="00C153D7" w:rsidRPr="00F6205B" w:rsidRDefault="00C153D7" w:rsidP="007C5FDD">
            <w:pPr>
              <w:keepNext/>
              <w:keepLines/>
              <w:spacing w:after="0"/>
              <w:jc w:val="center"/>
              <w:rPr>
                <w:sz w:val="20"/>
                <w:szCs w:val="20"/>
              </w:rPr>
            </w:pPr>
            <w:r w:rsidRPr="00F6205B">
              <w:rPr>
                <w:sz w:val="20"/>
                <w:szCs w:val="20"/>
              </w:rPr>
              <w:t>0.50</w:t>
            </w:r>
          </w:p>
        </w:tc>
      </w:tr>
      <w:tr w:rsidR="00C153D7" w:rsidRPr="00F6205B" w14:paraId="63C3A4CB" w14:textId="77777777" w:rsidTr="00446A58">
        <w:trPr>
          <w:trHeight w:val="288"/>
          <w:jc w:val="center"/>
        </w:trPr>
        <w:tc>
          <w:tcPr>
            <w:tcW w:w="253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16F7503" w14:textId="77777777" w:rsidR="00C153D7" w:rsidRPr="00F6205B" w:rsidRDefault="00C153D7" w:rsidP="007C5FDD">
            <w:pPr>
              <w:keepNext/>
              <w:keepLines/>
              <w:spacing w:after="0"/>
              <w:rPr>
                <w:sz w:val="20"/>
                <w:szCs w:val="20"/>
              </w:rPr>
            </w:pPr>
            <w:r w:rsidRPr="00F6205B">
              <w:rPr>
                <w:sz w:val="20"/>
                <w:szCs w:val="20"/>
              </w:rPr>
              <w:t>Cooling</w:t>
            </w:r>
          </w:p>
        </w:tc>
        <w:tc>
          <w:tcPr>
            <w:tcW w:w="1449" w:type="dxa"/>
            <w:tcBorders>
              <w:top w:val="single" w:sz="4" w:space="0" w:color="000000" w:themeColor="text1"/>
              <w:bottom w:val="single" w:sz="4" w:space="0" w:color="000000" w:themeColor="text1"/>
              <w:right w:val="single" w:sz="4" w:space="0" w:color="000000" w:themeColor="text1"/>
            </w:tcBorders>
            <w:vAlign w:val="center"/>
          </w:tcPr>
          <w:p w14:paraId="2BE89EF3" w14:textId="77777777" w:rsidR="00C153D7" w:rsidRPr="00F6205B" w:rsidRDefault="00C153D7" w:rsidP="007C5FDD">
            <w:pPr>
              <w:keepNext/>
              <w:keepLines/>
              <w:spacing w:after="0"/>
              <w:jc w:val="center"/>
              <w:rPr>
                <w:sz w:val="20"/>
                <w:szCs w:val="20"/>
              </w:rPr>
            </w:pPr>
            <w:r w:rsidRPr="00F6205B">
              <w:rPr>
                <w:sz w:val="20"/>
                <w:szCs w:val="20"/>
              </w:rPr>
              <w:t>0.59</w:t>
            </w:r>
          </w:p>
        </w:tc>
        <w:tc>
          <w:tcPr>
            <w:tcW w:w="1450" w:type="dxa"/>
            <w:tcBorders>
              <w:top w:val="single" w:sz="4" w:space="0" w:color="000000" w:themeColor="text1"/>
              <w:bottom w:val="single" w:sz="4" w:space="0" w:color="000000" w:themeColor="text1"/>
              <w:right w:val="single" w:sz="4" w:space="0" w:color="auto"/>
            </w:tcBorders>
            <w:vAlign w:val="center"/>
          </w:tcPr>
          <w:p w14:paraId="1626A639" w14:textId="77777777" w:rsidR="00C153D7" w:rsidRPr="00F6205B" w:rsidRDefault="00C153D7" w:rsidP="007C5FDD">
            <w:pPr>
              <w:keepNext/>
              <w:keepLines/>
              <w:spacing w:after="0"/>
              <w:jc w:val="center"/>
              <w:rPr>
                <w:sz w:val="20"/>
                <w:szCs w:val="20"/>
              </w:rPr>
            </w:pPr>
            <w:r w:rsidRPr="00F6205B">
              <w:rPr>
                <w:sz w:val="20"/>
                <w:szCs w:val="20"/>
              </w:rPr>
              <w:t>0.00</w:t>
            </w:r>
          </w:p>
        </w:tc>
      </w:tr>
      <w:tr w:rsidR="00C153D7" w:rsidRPr="00F6205B" w14:paraId="7E483BBA" w14:textId="77777777" w:rsidTr="00446A58">
        <w:trPr>
          <w:trHeight w:val="288"/>
          <w:jc w:val="center"/>
        </w:trPr>
        <w:tc>
          <w:tcPr>
            <w:tcW w:w="253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395FE43" w14:textId="77777777" w:rsidR="00C153D7" w:rsidRPr="00F6205B" w:rsidRDefault="00C153D7" w:rsidP="007C5FDD">
            <w:pPr>
              <w:keepNext/>
              <w:keepLines/>
              <w:spacing w:after="0"/>
              <w:rPr>
                <w:sz w:val="20"/>
                <w:szCs w:val="20"/>
              </w:rPr>
            </w:pPr>
            <w:r w:rsidRPr="00F6205B">
              <w:rPr>
                <w:sz w:val="20"/>
                <w:szCs w:val="20"/>
              </w:rPr>
              <w:t>Water heating</w:t>
            </w:r>
          </w:p>
        </w:tc>
        <w:tc>
          <w:tcPr>
            <w:tcW w:w="1449" w:type="dxa"/>
            <w:tcBorders>
              <w:top w:val="single" w:sz="4" w:space="0" w:color="000000" w:themeColor="text1"/>
              <w:bottom w:val="single" w:sz="4" w:space="0" w:color="000000" w:themeColor="text1"/>
              <w:right w:val="single" w:sz="4" w:space="0" w:color="000000" w:themeColor="text1"/>
            </w:tcBorders>
            <w:vAlign w:val="center"/>
          </w:tcPr>
          <w:p w14:paraId="0C4831E6" w14:textId="77777777" w:rsidR="00C153D7" w:rsidRPr="00F6205B" w:rsidRDefault="00C153D7" w:rsidP="007C5FDD">
            <w:pPr>
              <w:keepNext/>
              <w:keepLines/>
              <w:spacing w:after="0"/>
              <w:jc w:val="center"/>
              <w:rPr>
                <w:sz w:val="20"/>
                <w:szCs w:val="20"/>
              </w:rPr>
            </w:pPr>
            <w:r w:rsidRPr="00F6205B">
              <w:rPr>
                <w:sz w:val="20"/>
                <w:szCs w:val="20"/>
              </w:rPr>
              <w:t>0.10</w:t>
            </w:r>
          </w:p>
        </w:tc>
        <w:tc>
          <w:tcPr>
            <w:tcW w:w="1450" w:type="dxa"/>
            <w:tcBorders>
              <w:top w:val="single" w:sz="4" w:space="0" w:color="000000" w:themeColor="text1"/>
              <w:bottom w:val="single" w:sz="4" w:space="0" w:color="000000" w:themeColor="text1"/>
              <w:right w:val="single" w:sz="4" w:space="0" w:color="auto"/>
            </w:tcBorders>
            <w:vAlign w:val="center"/>
          </w:tcPr>
          <w:p w14:paraId="48AF0B10" w14:textId="77777777" w:rsidR="00C153D7" w:rsidRPr="00F6205B" w:rsidRDefault="00C153D7" w:rsidP="007C5FDD">
            <w:pPr>
              <w:keepNext/>
              <w:keepLines/>
              <w:spacing w:after="0"/>
              <w:jc w:val="center"/>
              <w:rPr>
                <w:sz w:val="20"/>
                <w:szCs w:val="20"/>
              </w:rPr>
            </w:pPr>
            <w:r w:rsidRPr="00F6205B">
              <w:rPr>
                <w:sz w:val="20"/>
                <w:szCs w:val="20"/>
              </w:rPr>
              <w:t>0.15</w:t>
            </w:r>
          </w:p>
        </w:tc>
      </w:tr>
      <w:tr w:rsidR="00C153D7" w:rsidRPr="00F6205B" w14:paraId="06AA408B" w14:textId="77777777" w:rsidTr="00446A58">
        <w:trPr>
          <w:trHeight w:val="288"/>
          <w:jc w:val="center"/>
        </w:trPr>
        <w:tc>
          <w:tcPr>
            <w:tcW w:w="253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4284362" w14:textId="77777777" w:rsidR="00C153D7" w:rsidRPr="00F6205B" w:rsidRDefault="00C153D7" w:rsidP="007C5FDD">
            <w:pPr>
              <w:keepNext/>
              <w:keepLines/>
              <w:spacing w:after="0"/>
              <w:rPr>
                <w:sz w:val="20"/>
                <w:szCs w:val="20"/>
              </w:rPr>
            </w:pPr>
            <w:r w:rsidRPr="00F6205B">
              <w:rPr>
                <w:sz w:val="20"/>
                <w:szCs w:val="20"/>
              </w:rPr>
              <w:t>Lights</w:t>
            </w:r>
          </w:p>
        </w:tc>
        <w:tc>
          <w:tcPr>
            <w:tcW w:w="1449" w:type="dxa"/>
            <w:tcBorders>
              <w:top w:val="single" w:sz="4" w:space="0" w:color="000000" w:themeColor="text1"/>
              <w:bottom w:val="single" w:sz="4" w:space="0" w:color="000000" w:themeColor="text1"/>
              <w:right w:val="single" w:sz="4" w:space="0" w:color="000000" w:themeColor="text1"/>
            </w:tcBorders>
            <w:vAlign w:val="center"/>
          </w:tcPr>
          <w:p w14:paraId="07ADE756" w14:textId="77777777" w:rsidR="00C153D7" w:rsidRPr="00F6205B" w:rsidRDefault="00C153D7" w:rsidP="007C5FDD">
            <w:pPr>
              <w:keepNext/>
              <w:keepLines/>
              <w:spacing w:after="0"/>
              <w:jc w:val="center"/>
              <w:rPr>
                <w:sz w:val="20"/>
                <w:szCs w:val="20"/>
              </w:rPr>
            </w:pPr>
            <w:r w:rsidRPr="00F6205B">
              <w:rPr>
                <w:sz w:val="20"/>
                <w:szCs w:val="20"/>
              </w:rPr>
              <w:t>0.13</w:t>
            </w:r>
          </w:p>
        </w:tc>
        <w:tc>
          <w:tcPr>
            <w:tcW w:w="1450" w:type="dxa"/>
            <w:tcBorders>
              <w:top w:val="single" w:sz="4" w:space="0" w:color="000000" w:themeColor="text1"/>
              <w:bottom w:val="single" w:sz="4" w:space="0" w:color="000000" w:themeColor="text1"/>
              <w:right w:val="single" w:sz="4" w:space="0" w:color="auto"/>
            </w:tcBorders>
            <w:vAlign w:val="center"/>
          </w:tcPr>
          <w:p w14:paraId="359094D3" w14:textId="77777777" w:rsidR="00C153D7" w:rsidRPr="00F6205B" w:rsidRDefault="00C153D7" w:rsidP="007C5FDD">
            <w:pPr>
              <w:keepNext/>
              <w:keepLines/>
              <w:spacing w:after="0"/>
              <w:jc w:val="center"/>
              <w:rPr>
                <w:sz w:val="20"/>
                <w:szCs w:val="20"/>
              </w:rPr>
            </w:pPr>
            <w:r w:rsidRPr="00F6205B">
              <w:rPr>
                <w:sz w:val="20"/>
                <w:szCs w:val="20"/>
              </w:rPr>
              <w:t>0.20</w:t>
            </w:r>
          </w:p>
        </w:tc>
      </w:tr>
      <w:tr w:rsidR="00C153D7" w:rsidRPr="00F6205B" w14:paraId="1453D17E" w14:textId="77777777" w:rsidTr="00446A58">
        <w:trPr>
          <w:trHeight w:val="288"/>
          <w:jc w:val="center"/>
        </w:trPr>
        <w:tc>
          <w:tcPr>
            <w:tcW w:w="253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C7AB876" w14:textId="222A1888" w:rsidR="00C153D7" w:rsidRPr="00F6205B" w:rsidRDefault="00446A58" w:rsidP="007C5FDD">
            <w:pPr>
              <w:keepNext/>
              <w:keepLines/>
              <w:spacing w:after="0"/>
              <w:rPr>
                <w:sz w:val="20"/>
                <w:szCs w:val="20"/>
              </w:rPr>
            </w:pPr>
            <w:r w:rsidRPr="00F6205B">
              <w:rPr>
                <w:sz w:val="20"/>
                <w:szCs w:val="20"/>
              </w:rPr>
              <w:t>Appliances &amp; plug l</w:t>
            </w:r>
            <w:r w:rsidR="00C153D7" w:rsidRPr="00F6205B">
              <w:rPr>
                <w:sz w:val="20"/>
                <w:szCs w:val="20"/>
              </w:rPr>
              <w:t>oads</w:t>
            </w:r>
          </w:p>
        </w:tc>
        <w:tc>
          <w:tcPr>
            <w:tcW w:w="1449" w:type="dxa"/>
            <w:tcBorders>
              <w:top w:val="single" w:sz="4" w:space="0" w:color="000000" w:themeColor="text1"/>
              <w:bottom w:val="single" w:sz="4" w:space="0" w:color="000000" w:themeColor="text1"/>
              <w:right w:val="single" w:sz="4" w:space="0" w:color="000000" w:themeColor="text1"/>
            </w:tcBorders>
            <w:vAlign w:val="center"/>
          </w:tcPr>
          <w:p w14:paraId="1B0367E7" w14:textId="77777777" w:rsidR="00C153D7" w:rsidRPr="00F6205B" w:rsidRDefault="00C153D7" w:rsidP="007C5FDD">
            <w:pPr>
              <w:keepNext/>
              <w:keepLines/>
              <w:spacing w:after="0"/>
              <w:jc w:val="center"/>
              <w:rPr>
                <w:sz w:val="20"/>
                <w:szCs w:val="20"/>
              </w:rPr>
            </w:pPr>
            <w:r w:rsidRPr="00F6205B">
              <w:rPr>
                <w:sz w:val="20"/>
                <w:szCs w:val="20"/>
              </w:rPr>
              <w:t>0.05</w:t>
            </w:r>
          </w:p>
        </w:tc>
        <w:tc>
          <w:tcPr>
            <w:tcW w:w="1450" w:type="dxa"/>
            <w:tcBorders>
              <w:top w:val="single" w:sz="4" w:space="0" w:color="000000" w:themeColor="text1"/>
              <w:bottom w:val="single" w:sz="4" w:space="0" w:color="000000" w:themeColor="text1"/>
              <w:right w:val="single" w:sz="4" w:space="0" w:color="auto"/>
            </w:tcBorders>
            <w:vAlign w:val="center"/>
          </w:tcPr>
          <w:p w14:paraId="6CB5C502" w14:textId="77777777" w:rsidR="00C153D7" w:rsidRPr="00F6205B" w:rsidRDefault="00C153D7" w:rsidP="007C5FDD">
            <w:pPr>
              <w:keepNext/>
              <w:keepLines/>
              <w:spacing w:after="0"/>
              <w:jc w:val="center"/>
              <w:rPr>
                <w:sz w:val="20"/>
                <w:szCs w:val="20"/>
              </w:rPr>
            </w:pPr>
            <w:r w:rsidRPr="00F6205B">
              <w:rPr>
                <w:sz w:val="20"/>
                <w:szCs w:val="20"/>
              </w:rPr>
              <w:t>0.06</w:t>
            </w:r>
          </w:p>
        </w:tc>
      </w:tr>
      <w:tr w:rsidR="00C153D7" w:rsidRPr="00F6205B" w14:paraId="32D7E907" w14:textId="77777777" w:rsidTr="00446A58">
        <w:trPr>
          <w:trHeight w:val="288"/>
          <w:jc w:val="center"/>
        </w:trPr>
        <w:tc>
          <w:tcPr>
            <w:tcW w:w="2533" w:type="dxa"/>
            <w:tcBorders>
              <w:top w:val="single" w:sz="4" w:space="0" w:color="000000" w:themeColor="text1"/>
              <w:left w:val="single" w:sz="4" w:space="0" w:color="auto"/>
              <w:bottom w:val="single" w:sz="4" w:space="0" w:color="auto"/>
              <w:right w:val="single" w:sz="4" w:space="0" w:color="000000" w:themeColor="text1"/>
            </w:tcBorders>
            <w:vAlign w:val="center"/>
          </w:tcPr>
          <w:p w14:paraId="6E989AAC" w14:textId="15DE8C30" w:rsidR="00C153D7" w:rsidRPr="00F6205B" w:rsidRDefault="00446A58" w:rsidP="0044249F">
            <w:pPr>
              <w:keepLines/>
              <w:spacing w:after="0"/>
              <w:rPr>
                <w:sz w:val="20"/>
                <w:szCs w:val="20"/>
              </w:rPr>
            </w:pPr>
            <w:r w:rsidRPr="00F6205B">
              <w:rPr>
                <w:sz w:val="20"/>
                <w:szCs w:val="20"/>
              </w:rPr>
              <w:t>Refrigerators &amp; f</w:t>
            </w:r>
            <w:r w:rsidR="00C153D7" w:rsidRPr="00F6205B">
              <w:rPr>
                <w:sz w:val="20"/>
                <w:szCs w:val="20"/>
              </w:rPr>
              <w:t>reezers</w:t>
            </w:r>
          </w:p>
        </w:tc>
        <w:tc>
          <w:tcPr>
            <w:tcW w:w="1449" w:type="dxa"/>
            <w:tcBorders>
              <w:top w:val="single" w:sz="4" w:space="0" w:color="000000" w:themeColor="text1"/>
              <w:bottom w:val="single" w:sz="4" w:space="0" w:color="auto"/>
              <w:right w:val="single" w:sz="4" w:space="0" w:color="000000" w:themeColor="text1"/>
            </w:tcBorders>
            <w:vAlign w:val="center"/>
          </w:tcPr>
          <w:p w14:paraId="6F72B8C2" w14:textId="77777777" w:rsidR="00C153D7" w:rsidRPr="00F6205B" w:rsidRDefault="00C153D7" w:rsidP="0044249F">
            <w:pPr>
              <w:keepLines/>
              <w:spacing w:after="0"/>
              <w:jc w:val="center"/>
              <w:rPr>
                <w:sz w:val="20"/>
                <w:szCs w:val="20"/>
              </w:rPr>
            </w:pPr>
            <w:r w:rsidRPr="00F6205B">
              <w:rPr>
                <w:sz w:val="20"/>
                <w:szCs w:val="20"/>
              </w:rPr>
              <w:t>0.30</w:t>
            </w:r>
          </w:p>
        </w:tc>
        <w:tc>
          <w:tcPr>
            <w:tcW w:w="1450" w:type="dxa"/>
            <w:tcBorders>
              <w:top w:val="single" w:sz="4" w:space="0" w:color="000000" w:themeColor="text1"/>
              <w:bottom w:val="single" w:sz="4" w:space="0" w:color="auto"/>
              <w:right w:val="single" w:sz="4" w:space="0" w:color="auto"/>
            </w:tcBorders>
            <w:vAlign w:val="center"/>
          </w:tcPr>
          <w:p w14:paraId="1F26E97B" w14:textId="77777777" w:rsidR="00C153D7" w:rsidRPr="00F6205B" w:rsidRDefault="00C153D7" w:rsidP="0044249F">
            <w:pPr>
              <w:keepLines/>
              <w:spacing w:after="0"/>
              <w:jc w:val="center"/>
              <w:rPr>
                <w:sz w:val="20"/>
                <w:szCs w:val="20"/>
              </w:rPr>
            </w:pPr>
            <w:r w:rsidRPr="00F6205B">
              <w:rPr>
                <w:sz w:val="20"/>
                <w:szCs w:val="20"/>
              </w:rPr>
              <w:t>0.21</w:t>
            </w:r>
          </w:p>
        </w:tc>
      </w:tr>
    </w:tbl>
    <w:p w14:paraId="2013871D" w14:textId="77777777" w:rsidR="00C153D7" w:rsidRPr="00F6205B" w:rsidRDefault="00C153D7" w:rsidP="00C153D7"/>
    <w:p w14:paraId="283327A6" w14:textId="7A99A25F" w:rsidR="00C153D7" w:rsidRPr="00F6205B" w:rsidRDefault="00C153D7" w:rsidP="00C153D7">
      <w:r w:rsidRPr="00F6205B">
        <w:rPr>
          <w:lang w:bidi="ar-SA"/>
        </w:rPr>
        <w:t xml:space="preserve">REM/Rate does not include </w:t>
      </w:r>
      <w:r w:rsidR="00446A58" w:rsidRPr="00F6205B">
        <w:rPr>
          <w:lang w:bidi="ar-SA"/>
        </w:rPr>
        <w:t>photovoltaics</w:t>
      </w:r>
      <w:r w:rsidRPr="00F6205B">
        <w:rPr>
          <w:lang w:bidi="ar-SA"/>
        </w:rPr>
        <w:t>, one of the upgrades in the potential study, in estimates of demand savings. However, i</w:t>
      </w:r>
      <w:r w:rsidRPr="00F6205B">
        <w:t>t is unlikely that photovoltaics would influence winter peak demand savings as the winter peak in New England is from 5-7 PM during the months of December and January.</w:t>
      </w:r>
      <w:r w:rsidRPr="00F6205B">
        <w:rPr>
          <w:rStyle w:val="FootnoteReference"/>
        </w:rPr>
        <w:footnoteReference w:id="45"/>
      </w:r>
      <w:r w:rsidRPr="00F6205B">
        <w:rPr>
          <w:lang w:bidi="ar-SA"/>
        </w:rPr>
        <w:t xml:space="preserve"> It should also be noted that </w:t>
      </w:r>
      <w:r w:rsidR="00446A58" w:rsidRPr="00F6205B">
        <w:rPr>
          <w:lang w:bidi="ar-SA"/>
        </w:rPr>
        <w:t>photovoltaics</w:t>
      </w:r>
      <w:r w:rsidR="00223963" w:rsidRPr="00F6205B">
        <w:rPr>
          <w:lang w:bidi="ar-SA"/>
        </w:rPr>
        <w:t xml:space="preserve"> </w:t>
      </w:r>
      <w:r w:rsidR="00125AEC" w:rsidRPr="00F6205B">
        <w:rPr>
          <w:lang w:bidi="ar-SA"/>
        </w:rPr>
        <w:t>w</w:t>
      </w:r>
      <w:r w:rsidR="00125AEC">
        <w:rPr>
          <w:lang w:bidi="ar-SA"/>
        </w:rPr>
        <w:t>ere</w:t>
      </w:r>
      <w:r w:rsidR="00125AEC" w:rsidRPr="00F6205B">
        <w:rPr>
          <w:lang w:bidi="ar-SA"/>
        </w:rPr>
        <w:t xml:space="preserve"> </w:t>
      </w:r>
      <w:r w:rsidRPr="00F6205B">
        <w:rPr>
          <w:lang w:bidi="ar-SA"/>
        </w:rPr>
        <w:t>not cost-effective at any of the 180 sites and as a result the exclusion of photovoltaics from demand estimates does not impact cost-effective or achievable demand savings estimates.</w:t>
      </w:r>
    </w:p>
    <w:p w14:paraId="4D84C30D" w14:textId="77777777" w:rsidR="00C153D7" w:rsidRPr="00F6205B" w:rsidRDefault="00C153D7" w:rsidP="00864AEB">
      <w:pPr>
        <w:pStyle w:val="Heading2"/>
        <w:numPr>
          <w:ilvl w:val="0"/>
          <w:numId w:val="0"/>
        </w:numPr>
        <w:jc w:val="both"/>
      </w:pPr>
      <w:bookmarkStart w:id="114" w:name="_Fuel_Switching_Methodology"/>
      <w:bookmarkStart w:id="115" w:name="_Ref390760196"/>
      <w:bookmarkStart w:id="116" w:name="_Ref390760524"/>
      <w:bookmarkStart w:id="117" w:name="_Toc391887310"/>
      <w:bookmarkStart w:id="118" w:name="_Toc439939398"/>
      <w:bookmarkEnd w:id="114"/>
      <w:r w:rsidRPr="00F6205B">
        <w:lastRenderedPageBreak/>
        <w:t>Fuel Switching Methodology</w:t>
      </w:r>
      <w:bookmarkEnd w:id="115"/>
      <w:bookmarkEnd w:id="116"/>
      <w:bookmarkEnd w:id="117"/>
      <w:bookmarkEnd w:id="118"/>
    </w:p>
    <w:p w14:paraId="00CD93AD" w14:textId="53F97B55" w:rsidR="00C153D7" w:rsidRPr="00F6205B" w:rsidRDefault="00C153D7" w:rsidP="00C153D7">
      <w:r w:rsidRPr="00F6205B">
        <w:t>This section details the methodology used to assess potenti</w:t>
      </w:r>
      <w:r w:rsidR="00E75504" w:rsidRPr="00F6205B">
        <w:t>al savings from fuel switching. C</w:t>
      </w:r>
      <w:r w:rsidRPr="00F6205B">
        <w:t xml:space="preserve">onversions of heating and water heating equipment from oil or propane to natural gas or heat pumps </w:t>
      </w:r>
      <w:r w:rsidR="00E75504" w:rsidRPr="00F6205B">
        <w:t xml:space="preserve">were modeled </w:t>
      </w:r>
      <w:r w:rsidRPr="00F6205B">
        <w:t>in two ways:</w:t>
      </w:r>
    </w:p>
    <w:p w14:paraId="69A71136" w14:textId="01590A5B" w:rsidR="00C153D7" w:rsidRPr="00F6205B" w:rsidRDefault="00C153D7" w:rsidP="003A6CD9">
      <w:pPr>
        <w:pStyle w:val="ListParagraph"/>
        <w:numPr>
          <w:ilvl w:val="0"/>
          <w:numId w:val="16"/>
        </w:numPr>
      </w:pPr>
      <w:r w:rsidRPr="00F6205B">
        <w:t xml:space="preserve">In the </w:t>
      </w:r>
      <w:r w:rsidRPr="00F6205B">
        <w:rPr>
          <w:b/>
        </w:rPr>
        <w:t>base case</w:t>
      </w:r>
      <w:r w:rsidRPr="00F6205B">
        <w:t xml:space="preserve">, all new gas and electric equipment was </w:t>
      </w:r>
      <w:r w:rsidR="00AE0B0E" w:rsidRPr="00F6205B">
        <w:t>modeled at the efficiency levels</w:t>
      </w:r>
      <w:r w:rsidRPr="00F6205B">
        <w:t xml:space="preserve"> specified in the User Defined Reference Home (UDRH) currently utilized by the Connecticut Residential New Construction (RNC) Program.</w:t>
      </w:r>
      <w:r w:rsidRPr="00F6205B">
        <w:rPr>
          <w:rStyle w:val="FootnoteReference"/>
        </w:rPr>
        <w:footnoteReference w:id="46"/>
      </w:r>
      <w:r w:rsidRPr="00F6205B">
        <w:t xml:space="preserve"> The UDRH values</w:t>
      </w:r>
      <w:r w:rsidR="00AE0B0E" w:rsidRPr="00F6205B">
        <w:t xml:space="preserve"> were used</w:t>
      </w:r>
      <w:r w:rsidRPr="00F6205B">
        <w:t xml:space="preserve"> rather than federal minimum efficiencies because they are more representative of typical replacement equipment efficiencies. This case provides a baseline scenario, with no involvement of an energy efficiency program.</w:t>
      </w:r>
    </w:p>
    <w:p w14:paraId="494C3BC1" w14:textId="77777777" w:rsidR="00C153D7" w:rsidRPr="00F6205B" w:rsidRDefault="00C153D7" w:rsidP="003A6CD9">
      <w:pPr>
        <w:pStyle w:val="ListParagraph"/>
        <w:numPr>
          <w:ilvl w:val="0"/>
          <w:numId w:val="16"/>
        </w:numPr>
      </w:pPr>
      <w:r w:rsidRPr="00F6205B">
        <w:t xml:space="preserve">In the </w:t>
      </w:r>
      <w:r w:rsidRPr="00F6205B">
        <w:rPr>
          <w:b/>
        </w:rPr>
        <w:t>upgrade case</w:t>
      </w:r>
      <w:r w:rsidRPr="00F6205B">
        <w:t>, all new gas and electric equipment was modeled at the higher efficiency levels utilized in the technical potential study</w:t>
      </w:r>
      <w:r w:rsidRPr="00F6205B">
        <w:rPr>
          <w:rStyle w:val="FootnoteReference"/>
        </w:rPr>
        <w:footnoteReference w:id="47"/>
      </w:r>
      <w:r w:rsidRPr="00F6205B">
        <w:t>. This case describes a scenario wherein the programs incentivize efficient equipment during the fuel switching process.</w:t>
      </w:r>
    </w:p>
    <w:p w14:paraId="0C9D3914" w14:textId="77777777" w:rsidR="00C153D7" w:rsidRPr="00F6205B" w:rsidRDefault="00C153D7" w:rsidP="00C153D7"/>
    <w:p w14:paraId="06A35F34" w14:textId="448DCF13" w:rsidR="00C153D7" w:rsidRPr="00F6205B" w:rsidRDefault="00EB60FF" w:rsidP="00C153D7">
      <w:r w:rsidRPr="00F6205B">
        <w:fldChar w:fldCharType="begin"/>
      </w:r>
      <w:r w:rsidRPr="00F6205B">
        <w:instrText xml:space="preserve"> REF _Ref439167078 \h </w:instrText>
      </w:r>
      <w:r w:rsidR="00F6205B">
        <w:instrText xml:space="preserve"> \* MERGEFORMAT </w:instrText>
      </w:r>
      <w:r w:rsidRPr="00F6205B">
        <w:fldChar w:fldCharType="separate"/>
      </w:r>
      <w:r w:rsidR="00FA26A9" w:rsidRPr="00F6205B">
        <w:t xml:space="preserve">Table </w:t>
      </w:r>
      <w:r w:rsidR="00FA26A9">
        <w:rPr>
          <w:noProof/>
        </w:rPr>
        <w:t>6</w:t>
      </w:r>
      <w:r w:rsidRPr="00F6205B">
        <w:fldChar w:fldCharType="end"/>
      </w:r>
      <w:r w:rsidRPr="00F6205B">
        <w:t xml:space="preserve"> </w:t>
      </w:r>
      <w:r w:rsidR="00C153D7" w:rsidRPr="00F6205B">
        <w:t>details the upgrade efficiencies approved by the EEB for use in this study.</w:t>
      </w:r>
    </w:p>
    <w:p w14:paraId="44880470" w14:textId="218FCCEC" w:rsidR="00C153D7" w:rsidRPr="00F6205B" w:rsidRDefault="00C153D7" w:rsidP="00CA2137">
      <w:pPr>
        <w:pStyle w:val="Caption"/>
      </w:pPr>
      <w:bookmarkStart w:id="119" w:name="_Ref369096360"/>
      <w:bookmarkStart w:id="120" w:name="_Ref439167078"/>
      <w:bookmarkStart w:id="121" w:name="_Ref369095114"/>
      <w:bookmarkStart w:id="122" w:name="_Toc373324114"/>
      <w:bookmarkStart w:id="123" w:name="_Toc391887342"/>
      <w:bookmarkStart w:id="124" w:name="_Toc439931837"/>
      <w:r w:rsidRPr="00F6205B">
        <w:t>Table</w:t>
      </w:r>
      <w:bookmarkEnd w:id="119"/>
      <w:r w:rsidR="004F23CF" w:rsidRPr="00F6205B">
        <w:t xml:space="preserve"> </w:t>
      </w:r>
      <w:fldSimple w:instr=" SEQ Table \* ARABIC ">
        <w:r w:rsidR="00FA26A9">
          <w:rPr>
            <w:noProof/>
          </w:rPr>
          <w:t>6</w:t>
        </w:r>
      </w:fldSimple>
      <w:bookmarkEnd w:id="120"/>
      <w:r w:rsidRPr="00F6205B">
        <w:t>: Upgrade Efficiencies</w:t>
      </w:r>
      <w:bookmarkEnd w:id="121"/>
      <w:bookmarkEnd w:id="122"/>
      <w:bookmarkEnd w:id="123"/>
      <w:bookmarkEnd w:id="124"/>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2652"/>
        <w:gridCol w:w="1535"/>
        <w:gridCol w:w="1530"/>
      </w:tblGrid>
      <w:tr w:rsidR="00C153D7" w:rsidRPr="00F6205B" w14:paraId="066CBC93" w14:textId="77777777" w:rsidTr="00341358">
        <w:trPr>
          <w:trHeight w:val="1111"/>
          <w:jc w:val="center"/>
        </w:trPr>
        <w:tc>
          <w:tcPr>
            <w:tcW w:w="2652" w:type="dxa"/>
            <w:tcBorders>
              <w:top w:val="single" w:sz="4" w:space="0" w:color="auto"/>
              <w:left w:val="single" w:sz="4" w:space="0" w:color="auto"/>
              <w:bottom w:val="single" w:sz="4" w:space="0" w:color="auto"/>
            </w:tcBorders>
            <w:shd w:val="clear" w:color="auto" w:fill="0B4D2C" w:themeFill="background2" w:themeFillShade="BF"/>
            <w:vAlign w:val="center"/>
          </w:tcPr>
          <w:p w14:paraId="311F1F85" w14:textId="77777777" w:rsidR="00C153D7" w:rsidRPr="00F6205B" w:rsidRDefault="00C153D7" w:rsidP="00341358">
            <w:pPr>
              <w:keepNext/>
              <w:keepLines/>
              <w:spacing w:after="0"/>
              <w:rPr>
                <w:b/>
                <w:color w:val="FFFFFF" w:themeColor="background1"/>
                <w:sz w:val="20"/>
                <w:szCs w:val="20"/>
              </w:rPr>
            </w:pPr>
            <w:r w:rsidRPr="00F6205B">
              <w:rPr>
                <w:b/>
                <w:color w:val="FFFFFF" w:themeColor="background1"/>
                <w:sz w:val="20"/>
                <w:szCs w:val="20"/>
              </w:rPr>
              <w:t>Equipment</w:t>
            </w:r>
          </w:p>
        </w:tc>
        <w:tc>
          <w:tcPr>
            <w:tcW w:w="1535" w:type="dxa"/>
            <w:tcBorders>
              <w:top w:val="single" w:sz="4" w:space="0" w:color="auto"/>
              <w:bottom w:val="single" w:sz="4" w:space="0" w:color="auto"/>
            </w:tcBorders>
            <w:shd w:val="clear" w:color="auto" w:fill="0B4D2C" w:themeFill="background2" w:themeFillShade="BF"/>
            <w:vAlign w:val="center"/>
          </w:tcPr>
          <w:p w14:paraId="1208FB33" w14:textId="77777777" w:rsidR="00C153D7" w:rsidRPr="00F6205B" w:rsidRDefault="00C153D7" w:rsidP="00CA2137">
            <w:pPr>
              <w:keepNext/>
              <w:keepLines/>
              <w:spacing w:after="0"/>
              <w:jc w:val="center"/>
              <w:rPr>
                <w:b/>
                <w:color w:val="FFFFFF" w:themeColor="background1"/>
                <w:sz w:val="20"/>
                <w:szCs w:val="20"/>
              </w:rPr>
            </w:pPr>
            <w:r w:rsidRPr="00F6205B">
              <w:rPr>
                <w:b/>
                <w:color w:val="FFFFFF" w:themeColor="background1"/>
                <w:sz w:val="20"/>
                <w:szCs w:val="20"/>
              </w:rPr>
              <w:t>Base Case</w:t>
            </w:r>
            <w:r w:rsidRPr="00F6205B">
              <w:rPr>
                <w:b/>
                <w:color w:val="FFFFFF" w:themeColor="background1"/>
                <w:sz w:val="20"/>
                <w:szCs w:val="20"/>
                <w:vertAlign w:val="superscript"/>
              </w:rPr>
              <w:t>i</w:t>
            </w:r>
          </w:p>
        </w:tc>
        <w:tc>
          <w:tcPr>
            <w:tcW w:w="1530" w:type="dxa"/>
            <w:tcBorders>
              <w:top w:val="single" w:sz="4" w:space="0" w:color="auto"/>
              <w:bottom w:val="single" w:sz="4" w:space="0" w:color="auto"/>
              <w:right w:val="single" w:sz="4" w:space="0" w:color="auto"/>
            </w:tcBorders>
            <w:shd w:val="clear" w:color="auto" w:fill="0B4D2C" w:themeFill="background2" w:themeFillShade="BF"/>
            <w:vAlign w:val="center"/>
          </w:tcPr>
          <w:p w14:paraId="7D998ABF" w14:textId="77777777" w:rsidR="00C153D7" w:rsidRPr="00F6205B" w:rsidRDefault="00C153D7" w:rsidP="00CA2137">
            <w:pPr>
              <w:keepNext/>
              <w:keepLines/>
              <w:spacing w:after="0"/>
              <w:jc w:val="center"/>
              <w:rPr>
                <w:b/>
                <w:color w:val="FFFFFF" w:themeColor="background1"/>
                <w:sz w:val="20"/>
                <w:szCs w:val="20"/>
              </w:rPr>
            </w:pPr>
            <w:r w:rsidRPr="00F6205B">
              <w:rPr>
                <w:b/>
                <w:color w:val="FFFFFF" w:themeColor="background1"/>
                <w:sz w:val="20"/>
                <w:szCs w:val="20"/>
              </w:rPr>
              <w:t>Upgrade Case</w:t>
            </w:r>
            <w:r w:rsidRPr="00F6205B">
              <w:rPr>
                <w:b/>
                <w:color w:val="FFFFFF" w:themeColor="background1"/>
                <w:sz w:val="20"/>
                <w:szCs w:val="20"/>
                <w:vertAlign w:val="superscript"/>
              </w:rPr>
              <w:t>ii</w:t>
            </w:r>
          </w:p>
        </w:tc>
      </w:tr>
      <w:tr w:rsidR="00C153D7" w:rsidRPr="00F6205B" w14:paraId="0B49BE42" w14:textId="77777777" w:rsidTr="00341358">
        <w:trPr>
          <w:trHeight w:val="288"/>
          <w:jc w:val="center"/>
        </w:trPr>
        <w:tc>
          <w:tcPr>
            <w:tcW w:w="2652" w:type="dxa"/>
            <w:tcBorders>
              <w:top w:val="single" w:sz="4" w:space="0" w:color="auto"/>
              <w:left w:val="single" w:sz="4" w:space="0" w:color="auto"/>
              <w:bottom w:val="single" w:sz="4" w:space="0" w:color="000000" w:themeColor="text1"/>
            </w:tcBorders>
            <w:vAlign w:val="center"/>
          </w:tcPr>
          <w:p w14:paraId="148AF832" w14:textId="597B9834" w:rsidR="00C153D7" w:rsidRPr="00F6205B" w:rsidRDefault="00341358" w:rsidP="00341358">
            <w:pPr>
              <w:keepNext/>
              <w:keepLines/>
              <w:spacing w:after="0"/>
              <w:rPr>
                <w:sz w:val="20"/>
                <w:szCs w:val="20"/>
              </w:rPr>
            </w:pPr>
            <w:r w:rsidRPr="00F6205B">
              <w:rPr>
                <w:sz w:val="20"/>
                <w:szCs w:val="20"/>
              </w:rPr>
              <w:t>Gas b</w:t>
            </w:r>
            <w:r w:rsidR="00C153D7" w:rsidRPr="00F6205B">
              <w:rPr>
                <w:sz w:val="20"/>
                <w:szCs w:val="20"/>
              </w:rPr>
              <w:t>oiler</w:t>
            </w:r>
          </w:p>
        </w:tc>
        <w:tc>
          <w:tcPr>
            <w:tcW w:w="1535" w:type="dxa"/>
            <w:tcBorders>
              <w:top w:val="single" w:sz="4" w:space="0" w:color="auto"/>
              <w:bottom w:val="single" w:sz="4" w:space="0" w:color="000000" w:themeColor="text1"/>
            </w:tcBorders>
            <w:vAlign w:val="center"/>
          </w:tcPr>
          <w:p w14:paraId="326050C2" w14:textId="77777777" w:rsidR="00C153D7" w:rsidRPr="00F6205B" w:rsidRDefault="00C153D7" w:rsidP="00CA2137">
            <w:pPr>
              <w:keepNext/>
              <w:keepLines/>
              <w:spacing w:after="0"/>
              <w:jc w:val="center"/>
              <w:rPr>
                <w:sz w:val="20"/>
                <w:szCs w:val="20"/>
              </w:rPr>
            </w:pPr>
            <w:r w:rsidRPr="00F6205B">
              <w:rPr>
                <w:sz w:val="20"/>
                <w:szCs w:val="20"/>
              </w:rPr>
              <w:t>92.4% AFUE</w:t>
            </w:r>
          </w:p>
        </w:tc>
        <w:tc>
          <w:tcPr>
            <w:tcW w:w="1530" w:type="dxa"/>
            <w:tcBorders>
              <w:top w:val="single" w:sz="4" w:space="0" w:color="auto"/>
              <w:bottom w:val="single" w:sz="4" w:space="0" w:color="000000" w:themeColor="text1"/>
              <w:right w:val="single" w:sz="4" w:space="0" w:color="auto"/>
            </w:tcBorders>
            <w:vAlign w:val="center"/>
          </w:tcPr>
          <w:p w14:paraId="3406FDF7" w14:textId="77777777" w:rsidR="00C153D7" w:rsidRPr="00F6205B" w:rsidRDefault="00C153D7" w:rsidP="00CA2137">
            <w:pPr>
              <w:keepNext/>
              <w:keepLines/>
              <w:spacing w:after="0"/>
              <w:jc w:val="center"/>
              <w:rPr>
                <w:sz w:val="20"/>
                <w:szCs w:val="20"/>
              </w:rPr>
            </w:pPr>
            <w:r w:rsidRPr="00F6205B">
              <w:rPr>
                <w:sz w:val="20"/>
                <w:szCs w:val="20"/>
              </w:rPr>
              <w:t>95% AFUE</w:t>
            </w:r>
          </w:p>
        </w:tc>
      </w:tr>
      <w:tr w:rsidR="00C153D7" w:rsidRPr="00F6205B" w14:paraId="71F6C7EF" w14:textId="77777777" w:rsidTr="00341358">
        <w:trPr>
          <w:trHeight w:val="288"/>
          <w:jc w:val="center"/>
        </w:trPr>
        <w:tc>
          <w:tcPr>
            <w:tcW w:w="2652" w:type="dxa"/>
            <w:tcBorders>
              <w:top w:val="single" w:sz="4" w:space="0" w:color="000000" w:themeColor="text1"/>
              <w:left w:val="single" w:sz="4" w:space="0" w:color="auto"/>
            </w:tcBorders>
            <w:vAlign w:val="center"/>
          </w:tcPr>
          <w:p w14:paraId="27148F11" w14:textId="626D6C23" w:rsidR="00C153D7" w:rsidRPr="00F6205B" w:rsidRDefault="00341358" w:rsidP="00341358">
            <w:pPr>
              <w:keepNext/>
              <w:keepLines/>
              <w:spacing w:after="0"/>
              <w:rPr>
                <w:sz w:val="20"/>
                <w:szCs w:val="20"/>
              </w:rPr>
            </w:pPr>
            <w:r w:rsidRPr="00F6205B">
              <w:rPr>
                <w:sz w:val="20"/>
                <w:szCs w:val="20"/>
              </w:rPr>
              <w:t>Gas f</w:t>
            </w:r>
            <w:r w:rsidR="00C153D7" w:rsidRPr="00F6205B">
              <w:rPr>
                <w:sz w:val="20"/>
                <w:szCs w:val="20"/>
              </w:rPr>
              <w:t>urnace</w:t>
            </w:r>
          </w:p>
        </w:tc>
        <w:tc>
          <w:tcPr>
            <w:tcW w:w="1535" w:type="dxa"/>
            <w:tcBorders>
              <w:top w:val="single" w:sz="4" w:space="0" w:color="000000" w:themeColor="text1"/>
            </w:tcBorders>
            <w:vAlign w:val="center"/>
          </w:tcPr>
          <w:p w14:paraId="5AC155A4" w14:textId="77777777" w:rsidR="00C153D7" w:rsidRPr="00F6205B" w:rsidRDefault="00C153D7" w:rsidP="00CA2137">
            <w:pPr>
              <w:keepNext/>
              <w:keepLines/>
              <w:spacing w:after="0"/>
              <w:jc w:val="center"/>
              <w:rPr>
                <w:sz w:val="20"/>
                <w:szCs w:val="20"/>
              </w:rPr>
            </w:pPr>
            <w:r w:rsidRPr="00F6205B">
              <w:rPr>
                <w:sz w:val="20"/>
                <w:szCs w:val="20"/>
              </w:rPr>
              <w:t>92.4% AFUE</w:t>
            </w:r>
          </w:p>
        </w:tc>
        <w:tc>
          <w:tcPr>
            <w:tcW w:w="1530" w:type="dxa"/>
            <w:tcBorders>
              <w:top w:val="single" w:sz="4" w:space="0" w:color="000000" w:themeColor="text1"/>
              <w:right w:val="single" w:sz="4" w:space="0" w:color="auto"/>
            </w:tcBorders>
            <w:vAlign w:val="center"/>
          </w:tcPr>
          <w:p w14:paraId="45FF65F2" w14:textId="77777777" w:rsidR="00C153D7" w:rsidRPr="00F6205B" w:rsidRDefault="00C153D7" w:rsidP="00CA2137">
            <w:pPr>
              <w:keepNext/>
              <w:keepLines/>
              <w:spacing w:after="0"/>
              <w:jc w:val="center"/>
              <w:rPr>
                <w:sz w:val="20"/>
                <w:szCs w:val="20"/>
              </w:rPr>
            </w:pPr>
            <w:r w:rsidRPr="00F6205B">
              <w:rPr>
                <w:sz w:val="20"/>
                <w:szCs w:val="20"/>
              </w:rPr>
              <w:t>97% AFUE</w:t>
            </w:r>
          </w:p>
        </w:tc>
      </w:tr>
      <w:tr w:rsidR="00C153D7" w:rsidRPr="00F6205B" w14:paraId="5BBC9C93" w14:textId="77777777" w:rsidTr="00341358">
        <w:trPr>
          <w:trHeight w:val="288"/>
          <w:jc w:val="center"/>
        </w:trPr>
        <w:tc>
          <w:tcPr>
            <w:tcW w:w="2652" w:type="dxa"/>
            <w:tcBorders>
              <w:left w:val="single" w:sz="4" w:space="0" w:color="auto"/>
            </w:tcBorders>
            <w:vAlign w:val="center"/>
          </w:tcPr>
          <w:p w14:paraId="2360FF8E" w14:textId="2CA31893" w:rsidR="00C153D7" w:rsidRPr="00F6205B" w:rsidRDefault="00341358" w:rsidP="00341358">
            <w:pPr>
              <w:keepNext/>
              <w:keepLines/>
              <w:spacing w:after="0"/>
              <w:rPr>
                <w:sz w:val="20"/>
                <w:szCs w:val="20"/>
              </w:rPr>
            </w:pPr>
            <w:r w:rsidRPr="00F6205B">
              <w:rPr>
                <w:sz w:val="20"/>
                <w:szCs w:val="20"/>
              </w:rPr>
              <w:t>Conventional gas storage w</w:t>
            </w:r>
            <w:r w:rsidR="00C153D7" w:rsidRPr="00F6205B">
              <w:rPr>
                <w:sz w:val="20"/>
                <w:szCs w:val="20"/>
              </w:rPr>
              <w:t xml:space="preserve">ater </w:t>
            </w:r>
            <w:r w:rsidRPr="00F6205B">
              <w:rPr>
                <w:sz w:val="20"/>
                <w:szCs w:val="20"/>
              </w:rPr>
              <w:t>h</w:t>
            </w:r>
            <w:r w:rsidR="00C153D7" w:rsidRPr="00F6205B">
              <w:rPr>
                <w:sz w:val="20"/>
                <w:szCs w:val="20"/>
              </w:rPr>
              <w:t>eater</w:t>
            </w:r>
          </w:p>
        </w:tc>
        <w:tc>
          <w:tcPr>
            <w:tcW w:w="1535" w:type="dxa"/>
            <w:vAlign w:val="center"/>
          </w:tcPr>
          <w:p w14:paraId="5B38BB6F" w14:textId="773B9592" w:rsidR="00C153D7" w:rsidRPr="00F6205B" w:rsidRDefault="00C153D7" w:rsidP="00CA2137">
            <w:pPr>
              <w:keepNext/>
              <w:keepLines/>
              <w:spacing w:after="0"/>
              <w:jc w:val="center"/>
              <w:rPr>
                <w:sz w:val="20"/>
                <w:szCs w:val="20"/>
              </w:rPr>
            </w:pPr>
            <w:r w:rsidRPr="00F6205B">
              <w:rPr>
                <w:sz w:val="20"/>
                <w:szCs w:val="20"/>
              </w:rPr>
              <w:t>0</w:t>
            </w:r>
            <w:r w:rsidR="00341358" w:rsidRPr="00F6205B">
              <w:rPr>
                <w:sz w:val="20"/>
                <w:szCs w:val="20"/>
              </w:rPr>
              <w:t>.62 EF</w:t>
            </w:r>
            <w:r w:rsidRPr="00F6205B">
              <w:rPr>
                <w:sz w:val="20"/>
                <w:szCs w:val="20"/>
              </w:rPr>
              <w:t xml:space="preserve"> </w:t>
            </w:r>
            <w:r w:rsidR="00341358" w:rsidRPr="00F6205B">
              <w:rPr>
                <w:sz w:val="20"/>
                <w:szCs w:val="20"/>
              </w:rPr>
              <w:t xml:space="preserve">    </w:t>
            </w:r>
            <w:r w:rsidRPr="00F6205B">
              <w:rPr>
                <w:sz w:val="20"/>
                <w:szCs w:val="20"/>
              </w:rPr>
              <w:t>0.79 RE</w:t>
            </w:r>
          </w:p>
        </w:tc>
        <w:tc>
          <w:tcPr>
            <w:tcW w:w="1530" w:type="dxa"/>
            <w:tcBorders>
              <w:right w:val="single" w:sz="4" w:space="0" w:color="auto"/>
            </w:tcBorders>
            <w:vAlign w:val="center"/>
          </w:tcPr>
          <w:p w14:paraId="2A7B6ACA" w14:textId="77777777" w:rsidR="00C153D7" w:rsidRPr="00F6205B" w:rsidRDefault="00C153D7" w:rsidP="00CA2137">
            <w:pPr>
              <w:keepNext/>
              <w:keepLines/>
              <w:spacing w:after="0"/>
              <w:jc w:val="center"/>
              <w:rPr>
                <w:sz w:val="20"/>
                <w:szCs w:val="20"/>
              </w:rPr>
            </w:pPr>
            <w:r w:rsidRPr="00F6205B">
              <w:rPr>
                <w:sz w:val="20"/>
                <w:szCs w:val="20"/>
              </w:rPr>
              <w:t>N/A</w:t>
            </w:r>
            <w:r w:rsidRPr="00F6205B">
              <w:rPr>
                <w:sz w:val="20"/>
                <w:szCs w:val="20"/>
                <w:vertAlign w:val="superscript"/>
              </w:rPr>
              <w:t>iv</w:t>
            </w:r>
          </w:p>
        </w:tc>
      </w:tr>
      <w:tr w:rsidR="00C153D7" w:rsidRPr="00F6205B" w14:paraId="6AE09439" w14:textId="77777777" w:rsidTr="00341358">
        <w:trPr>
          <w:trHeight w:val="288"/>
          <w:jc w:val="center"/>
        </w:trPr>
        <w:tc>
          <w:tcPr>
            <w:tcW w:w="2652" w:type="dxa"/>
            <w:tcBorders>
              <w:left w:val="single" w:sz="4" w:space="0" w:color="auto"/>
            </w:tcBorders>
            <w:vAlign w:val="center"/>
          </w:tcPr>
          <w:p w14:paraId="6DCFA165" w14:textId="31D7DF2A" w:rsidR="00C153D7" w:rsidRPr="00F6205B" w:rsidRDefault="00341358" w:rsidP="00341358">
            <w:pPr>
              <w:keepNext/>
              <w:keepLines/>
              <w:spacing w:after="0"/>
              <w:rPr>
                <w:sz w:val="20"/>
                <w:szCs w:val="20"/>
              </w:rPr>
            </w:pPr>
            <w:r w:rsidRPr="00F6205B">
              <w:rPr>
                <w:sz w:val="20"/>
                <w:szCs w:val="20"/>
              </w:rPr>
              <w:t>On-demand tankless w</w:t>
            </w:r>
            <w:r w:rsidR="00C153D7" w:rsidRPr="00F6205B">
              <w:rPr>
                <w:sz w:val="20"/>
                <w:szCs w:val="20"/>
              </w:rPr>
              <w:t xml:space="preserve">ater </w:t>
            </w:r>
            <w:r w:rsidRPr="00F6205B">
              <w:rPr>
                <w:sz w:val="20"/>
                <w:szCs w:val="20"/>
              </w:rPr>
              <w:t>h</w:t>
            </w:r>
            <w:r w:rsidR="00C153D7" w:rsidRPr="00F6205B">
              <w:rPr>
                <w:sz w:val="20"/>
                <w:szCs w:val="20"/>
              </w:rPr>
              <w:t>eater</w:t>
            </w:r>
          </w:p>
        </w:tc>
        <w:tc>
          <w:tcPr>
            <w:tcW w:w="1535" w:type="dxa"/>
            <w:vAlign w:val="center"/>
          </w:tcPr>
          <w:p w14:paraId="516F9268" w14:textId="77777777" w:rsidR="00C153D7" w:rsidRPr="00F6205B" w:rsidRDefault="00C153D7" w:rsidP="00CA2137">
            <w:pPr>
              <w:keepNext/>
              <w:keepLines/>
              <w:spacing w:after="0"/>
              <w:jc w:val="center"/>
              <w:rPr>
                <w:sz w:val="20"/>
                <w:szCs w:val="20"/>
              </w:rPr>
            </w:pPr>
            <w:r w:rsidRPr="00F6205B">
              <w:rPr>
                <w:sz w:val="20"/>
                <w:szCs w:val="20"/>
              </w:rPr>
              <w:t>N/A</w:t>
            </w:r>
            <w:r w:rsidRPr="00F6205B">
              <w:rPr>
                <w:sz w:val="20"/>
                <w:szCs w:val="20"/>
                <w:vertAlign w:val="superscript"/>
              </w:rPr>
              <w:t>iii</w:t>
            </w:r>
          </w:p>
        </w:tc>
        <w:tc>
          <w:tcPr>
            <w:tcW w:w="1530" w:type="dxa"/>
            <w:tcBorders>
              <w:right w:val="single" w:sz="4" w:space="0" w:color="auto"/>
            </w:tcBorders>
            <w:vAlign w:val="center"/>
          </w:tcPr>
          <w:p w14:paraId="40507D38" w14:textId="77777777" w:rsidR="00C153D7" w:rsidRPr="00F6205B" w:rsidRDefault="00C153D7" w:rsidP="00CA2137">
            <w:pPr>
              <w:keepNext/>
              <w:keepLines/>
              <w:spacing w:after="0"/>
              <w:jc w:val="center"/>
              <w:rPr>
                <w:sz w:val="20"/>
                <w:szCs w:val="20"/>
              </w:rPr>
            </w:pPr>
            <w:r w:rsidRPr="00F6205B">
              <w:rPr>
                <w:sz w:val="20"/>
                <w:szCs w:val="20"/>
              </w:rPr>
              <w:t>0.93 EF</w:t>
            </w:r>
          </w:p>
        </w:tc>
      </w:tr>
      <w:tr w:rsidR="00C153D7" w:rsidRPr="00F6205B" w14:paraId="0BB2469B" w14:textId="77777777" w:rsidTr="00341358">
        <w:trPr>
          <w:trHeight w:val="288"/>
          <w:jc w:val="center"/>
        </w:trPr>
        <w:tc>
          <w:tcPr>
            <w:tcW w:w="2652" w:type="dxa"/>
            <w:tcBorders>
              <w:left w:val="single" w:sz="4" w:space="0" w:color="auto"/>
            </w:tcBorders>
            <w:vAlign w:val="center"/>
          </w:tcPr>
          <w:p w14:paraId="44A34877" w14:textId="36F3981C" w:rsidR="00C153D7" w:rsidRPr="00F6205B" w:rsidRDefault="00341358" w:rsidP="00341358">
            <w:pPr>
              <w:keepNext/>
              <w:keepLines/>
              <w:spacing w:after="0"/>
              <w:rPr>
                <w:sz w:val="20"/>
                <w:szCs w:val="20"/>
              </w:rPr>
            </w:pPr>
            <w:r w:rsidRPr="00F6205B">
              <w:rPr>
                <w:sz w:val="20"/>
                <w:szCs w:val="20"/>
              </w:rPr>
              <w:t>Heat pump water h</w:t>
            </w:r>
            <w:r w:rsidR="00C153D7" w:rsidRPr="00F6205B">
              <w:rPr>
                <w:sz w:val="20"/>
                <w:szCs w:val="20"/>
              </w:rPr>
              <w:t>eater</w:t>
            </w:r>
          </w:p>
        </w:tc>
        <w:tc>
          <w:tcPr>
            <w:tcW w:w="1535" w:type="dxa"/>
            <w:vAlign w:val="center"/>
          </w:tcPr>
          <w:p w14:paraId="471FDD83" w14:textId="77777777" w:rsidR="00C153D7" w:rsidRPr="00F6205B" w:rsidRDefault="00C153D7" w:rsidP="00CA2137">
            <w:pPr>
              <w:keepNext/>
              <w:keepLines/>
              <w:spacing w:after="0"/>
              <w:jc w:val="center"/>
              <w:rPr>
                <w:sz w:val="20"/>
                <w:szCs w:val="20"/>
              </w:rPr>
            </w:pPr>
            <w:r w:rsidRPr="00F6205B">
              <w:rPr>
                <w:sz w:val="20"/>
                <w:szCs w:val="20"/>
              </w:rPr>
              <w:t>N/A</w:t>
            </w:r>
            <w:r w:rsidRPr="00F6205B">
              <w:rPr>
                <w:sz w:val="20"/>
                <w:szCs w:val="20"/>
                <w:vertAlign w:val="superscript"/>
              </w:rPr>
              <w:t>iii</w:t>
            </w:r>
          </w:p>
        </w:tc>
        <w:tc>
          <w:tcPr>
            <w:tcW w:w="1530" w:type="dxa"/>
            <w:tcBorders>
              <w:right w:val="single" w:sz="4" w:space="0" w:color="auto"/>
            </w:tcBorders>
            <w:vAlign w:val="center"/>
          </w:tcPr>
          <w:p w14:paraId="2C81D417" w14:textId="77777777" w:rsidR="00C153D7" w:rsidRPr="00F6205B" w:rsidRDefault="00C153D7" w:rsidP="00CA2137">
            <w:pPr>
              <w:keepNext/>
              <w:keepLines/>
              <w:spacing w:after="0"/>
              <w:jc w:val="center"/>
              <w:rPr>
                <w:sz w:val="20"/>
                <w:szCs w:val="20"/>
              </w:rPr>
            </w:pPr>
            <w:r w:rsidRPr="00F6205B">
              <w:rPr>
                <w:sz w:val="20"/>
                <w:szCs w:val="20"/>
              </w:rPr>
              <w:t>2.3 EF</w:t>
            </w:r>
          </w:p>
        </w:tc>
      </w:tr>
      <w:tr w:rsidR="00C153D7" w:rsidRPr="00F6205B" w14:paraId="6A003649" w14:textId="77777777" w:rsidTr="00341358">
        <w:trPr>
          <w:trHeight w:val="288"/>
          <w:jc w:val="center"/>
        </w:trPr>
        <w:tc>
          <w:tcPr>
            <w:tcW w:w="2652" w:type="dxa"/>
            <w:tcBorders>
              <w:left w:val="single" w:sz="4" w:space="0" w:color="auto"/>
              <w:bottom w:val="single" w:sz="4" w:space="0" w:color="auto"/>
            </w:tcBorders>
            <w:vAlign w:val="center"/>
          </w:tcPr>
          <w:p w14:paraId="514B7064" w14:textId="13201222" w:rsidR="00C153D7" w:rsidRPr="00F6205B" w:rsidRDefault="00341358" w:rsidP="00341358">
            <w:pPr>
              <w:keepNext/>
              <w:keepLines/>
              <w:spacing w:after="0"/>
              <w:rPr>
                <w:sz w:val="20"/>
                <w:szCs w:val="20"/>
              </w:rPr>
            </w:pPr>
            <w:r w:rsidRPr="00F6205B">
              <w:rPr>
                <w:sz w:val="20"/>
                <w:szCs w:val="20"/>
              </w:rPr>
              <w:t>Ductless m</w:t>
            </w:r>
            <w:r w:rsidR="00C153D7" w:rsidRPr="00F6205B">
              <w:rPr>
                <w:sz w:val="20"/>
                <w:szCs w:val="20"/>
              </w:rPr>
              <w:t>ini-</w:t>
            </w:r>
            <w:r w:rsidRPr="00F6205B">
              <w:rPr>
                <w:sz w:val="20"/>
                <w:szCs w:val="20"/>
              </w:rPr>
              <w:t>s</w:t>
            </w:r>
            <w:r w:rsidR="00C153D7" w:rsidRPr="00F6205B">
              <w:rPr>
                <w:sz w:val="20"/>
                <w:szCs w:val="20"/>
              </w:rPr>
              <w:t>plit</w:t>
            </w:r>
            <w:r w:rsidR="00C153D7" w:rsidRPr="00F6205B">
              <w:rPr>
                <w:sz w:val="20"/>
                <w:szCs w:val="20"/>
                <w:vertAlign w:val="superscript"/>
              </w:rPr>
              <w:t>v</w:t>
            </w:r>
          </w:p>
        </w:tc>
        <w:tc>
          <w:tcPr>
            <w:tcW w:w="1535" w:type="dxa"/>
            <w:tcBorders>
              <w:bottom w:val="single" w:sz="4" w:space="0" w:color="auto"/>
            </w:tcBorders>
            <w:vAlign w:val="center"/>
          </w:tcPr>
          <w:p w14:paraId="56237C20" w14:textId="6EE500F6" w:rsidR="00C153D7" w:rsidRPr="00F6205B" w:rsidRDefault="00C153D7" w:rsidP="00CA2137">
            <w:pPr>
              <w:keepNext/>
              <w:keepLines/>
              <w:spacing w:after="0"/>
              <w:jc w:val="center"/>
              <w:rPr>
                <w:sz w:val="20"/>
                <w:szCs w:val="20"/>
              </w:rPr>
            </w:pPr>
            <w:r w:rsidRPr="00F6205B">
              <w:rPr>
                <w:sz w:val="20"/>
                <w:szCs w:val="20"/>
              </w:rPr>
              <w:t>1</w:t>
            </w:r>
            <w:r w:rsidR="00341358" w:rsidRPr="00F6205B">
              <w:rPr>
                <w:sz w:val="20"/>
                <w:szCs w:val="20"/>
              </w:rPr>
              <w:t>3.4 SEER</w:t>
            </w:r>
            <w:r w:rsidRPr="00F6205B">
              <w:rPr>
                <w:sz w:val="20"/>
                <w:szCs w:val="20"/>
              </w:rPr>
              <w:t xml:space="preserve"> 8.9 HSPF</w:t>
            </w:r>
          </w:p>
        </w:tc>
        <w:tc>
          <w:tcPr>
            <w:tcW w:w="1530" w:type="dxa"/>
            <w:tcBorders>
              <w:bottom w:val="single" w:sz="4" w:space="0" w:color="auto"/>
              <w:right w:val="single" w:sz="4" w:space="0" w:color="auto"/>
            </w:tcBorders>
            <w:vAlign w:val="center"/>
          </w:tcPr>
          <w:p w14:paraId="2A5DC2A0" w14:textId="69032E55" w:rsidR="00C153D7" w:rsidRPr="00F6205B" w:rsidRDefault="00C153D7" w:rsidP="00341358">
            <w:pPr>
              <w:keepNext/>
              <w:keepLines/>
              <w:spacing w:after="0"/>
              <w:jc w:val="center"/>
              <w:rPr>
                <w:sz w:val="20"/>
                <w:szCs w:val="20"/>
              </w:rPr>
            </w:pPr>
            <w:r w:rsidRPr="00F6205B">
              <w:rPr>
                <w:sz w:val="20"/>
                <w:szCs w:val="20"/>
              </w:rPr>
              <w:t>19.2 SEER 10.3 HSPF</w:t>
            </w:r>
          </w:p>
        </w:tc>
      </w:tr>
    </w:tbl>
    <w:p w14:paraId="252F7745" w14:textId="3870AE84" w:rsidR="00C153D7" w:rsidRPr="00F6205B" w:rsidRDefault="00C153D7" w:rsidP="00B73EC9">
      <w:pPr>
        <w:keepNext/>
        <w:spacing w:after="0"/>
        <w:ind w:left="1620" w:right="1638"/>
        <w:rPr>
          <w:sz w:val="18"/>
          <w:szCs w:val="20"/>
          <w:lang w:bidi="ar-SA"/>
        </w:rPr>
      </w:pPr>
      <w:r w:rsidRPr="00F6205B">
        <w:rPr>
          <w:sz w:val="18"/>
          <w:szCs w:val="20"/>
          <w:vertAlign w:val="superscript"/>
          <w:lang w:bidi="ar-SA"/>
        </w:rPr>
        <w:t>i</w:t>
      </w:r>
      <w:r w:rsidRPr="00F6205B">
        <w:rPr>
          <w:sz w:val="18"/>
          <w:szCs w:val="20"/>
          <w:lang w:bidi="ar-SA"/>
        </w:rPr>
        <w:t xml:space="preserve"> Connecticut R</w:t>
      </w:r>
      <w:r w:rsidR="0032538E" w:rsidRPr="00F6205B">
        <w:rPr>
          <w:sz w:val="18"/>
          <w:szCs w:val="20"/>
          <w:lang w:bidi="ar-SA"/>
        </w:rPr>
        <w:t>NC</w:t>
      </w:r>
      <w:r w:rsidR="00A47648" w:rsidRPr="00F6205B">
        <w:rPr>
          <w:sz w:val="18"/>
          <w:szCs w:val="20"/>
          <w:lang w:bidi="ar-SA"/>
        </w:rPr>
        <w:t xml:space="preserve"> p</w:t>
      </w:r>
      <w:r w:rsidRPr="00F6205B">
        <w:rPr>
          <w:sz w:val="18"/>
          <w:szCs w:val="20"/>
          <w:lang w:bidi="ar-SA"/>
        </w:rPr>
        <w:t xml:space="preserve">rogram </w:t>
      </w:r>
      <w:r w:rsidR="000A33C0" w:rsidRPr="00F6205B">
        <w:rPr>
          <w:sz w:val="18"/>
          <w:szCs w:val="20"/>
          <w:lang w:bidi="ar-SA"/>
        </w:rPr>
        <w:t>UDRH</w:t>
      </w:r>
      <w:r w:rsidRPr="00F6205B">
        <w:rPr>
          <w:sz w:val="18"/>
          <w:szCs w:val="20"/>
          <w:lang w:bidi="ar-SA"/>
        </w:rPr>
        <w:t xml:space="preserve"> values</w:t>
      </w:r>
      <w:r w:rsidRPr="00F6205B">
        <w:rPr>
          <w:sz w:val="18"/>
          <w:szCs w:val="20"/>
          <w:lang w:bidi="ar-SA"/>
        </w:rPr>
        <w:tab/>
      </w:r>
      <w:r w:rsidRPr="00F6205B">
        <w:rPr>
          <w:sz w:val="18"/>
          <w:szCs w:val="20"/>
          <w:lang w:bidi="ar-SA"/>
        </w:rPr>
        <w:br/>
      </w:r>
      <w:r w:rsidRPr="00F6205B">
        <w:rPr>
          <w:sz w:val="18"/>
          <w:szCs w:val="20"/>
          <w:vertAlign w:val="superscript"/>
          <w:lang w:bidi="ar-SA"/>
        </w:rPr>
        <w:t>ii</w:t>
      </w:r>
      <w:r w:rsidRPr="00F6205B">
        <w:rPr>
          <w:sz w:val="18"/>
          <w:szCs w:val="20"/>
          <w:lang w:bidi="ar-SA"/>
        </w:rPr>
        <w:t xml:space="preserve"> Technical potential efficiency levels</w:t>
      </w:r>
    </w:p>
    <w:p w14:paraId="28FF695C" w14:textId="6AC89339" w:rsidR="00C153D7" w:rsidRPr="00F6205B" w:rsidRDefault="00C153D7" w:rsidP="00B73EC9">
      <w:pPr>
        <w:keepNext/>
        <w:ind w:left="1620" w:right="1638"/>
        <w:rPr>
          <w:sz w:val="18"/>
          <w:szCs w:val="20"/>
          <w:lang w:bidi="ar-SA"/>
        </w:rPr>
      </w:pPr>
      <w:r w:rsidRPr="00F6205B">
        <w:rPr>
          <w:sz w:val="18"/>
          <w:szCs w:val="20"/>
          <w:vertAlign w:val="subscript"/>
          <w:lang w:bidi="ar-SA"/>
        </w:rPr>
        <w:t>iii</w:t>
      </w:r>
      <w:r w:rsidR="00B94D0F" w:rsidRPr="00F6205B">
        <w:rPr>
          <w:sz w:val="18"/>
          <w:szCs w:val="20"/>
          <w:lang w:bidi="ar-SA"/>
        </w:rPr>
        <w:t xml:space="preserve"> NA because m</w:t>
      </w:r>
      <w:r w:rsidRPr="00F6205B">
        <w:rPr>
          <w:sz w:val="18"/>
          <w:szCs w:val="20"/>
          <w:lang w:bidi="ar-SA"/>
        </w:rPr>
        <w:t>easure</w:t>
      </w:r>
      <w:r w:rsidR="00B94D0F" w:rsidRPr="00F6205B">
        <w:rPr>
          <w:sz w:val="18"/>
          <w:szCs w:val="20"/>
          <w:lang w:bidi="ar-SA"/>
        </w:rPr>
        <w:t xml:space="preserve"> is</w:t>
      </w:r>
      <w:r w:rsidRPr="00F6205B">
        <w:rPr>
          <w:sz w:val="18"/>
          <w:szCs w:val="20"/>
          <w:lang w:bidi="ar-SA"/>
        </w:rPr>
        <w:t xml:space="preserve"> only modeled in the upgrade case.</w:t>
      </w:r>
      <w:r w:rsidRPr="00F6205B">
        <w:rPr>
          <w:sz w:val="18"/>
          <w:szCs w:val="20"/>
          <w:lang w:bidi="ar-SA"/>
        </w:rPr>
        <w:tab/>
      </w:r>
      <w:r w:rsidRPr="00F6205B">
        <w:rPr>
          <w:sz w:val="18"/>
          <w:szCs w:val="20"/>
          <w:lang w:bidi="ar-SA"/>
        </w:rPr>
        <w:br/>
      </w:r>
      <w:r w:rsidRPr="00F6205B">
        <w:rPr>
          <w:sz w:val="18"/>
          <w:szCs w:val="20"/>
          <w:vertAlign w:val="superscript"/>
          <w:lang w:bidi="ar-SA"/>
        </w:rPr>
        <w:t>iv</w:t>
      </w:r>
      <w:r w:rsidRPr="00F6205B">
        <w:rPr>
          <w:sz w:val="18"/>
          <w:szCs w:val="20"/>
          <w:lang w:bidi="ar-SA"/>
        </w:rPr>
        <w:t xml:space="preserve"> </w:t>
      </w:r>
      <w:r w:rsidR="00FA3CB1" w:rsidRPr="00F6205B">
        <w:rPr>
          <w:sz w:val="18"/>
          <w:szCs w:val="20"/>
          <w:lang w:bidi="ar-SA"/>
        </w:rPr>
        <w:t>NA</w:t>
      </w:r>
      <w:r w:rsidRPr="00F6205B">
        <w:rPr>
          <w:sz w:val="18"/>
          <w:szCs w:val="20"/>
          <w:lang w:bidi="ar-SA"/>
        </w:rPr>
        <w:t xml:space="preserve"> because measure is only modeled in the base case. </w:t>
      </w:r>
      <w:r w:rsidRPr="00F6205B">
        <w:rPr>
          <w:sz w:val="18"/>
          <w:szCs w:val="20"/>
          <w:lang w:bidi="ar-SA"/>
        </w:rPr>
        <w:tab/>
      </w:r>
      <w:r w:rsidRPr="00F6205B">
        <w:rPr>
          <w:sz w:val="18"/>
          <w:szCs w:val="20"/>
          <w:lang w:bidi="ar-SA"/>
        </w:rPr>
        <w:br/>
      </w:r>
      <w:r w:rsidRPr="00F6205B">
        <w:rPr>
          <w:sz w:val="18"/>
          <w:szCs w:val="20"/>
          <w:vertAlign w:val="superscript"/>
          <w:lang w:bidi="ar-SA"/>
        </w:rPr>
        <w:t xml:space="preserve">v </w:t>
      </w:r>
      <w:r w:rsidRPr="00F6205B">
        <w:rPr>
          <w:sz w:val="18"/>
          <w:szCs w:val="20"/>
          <w:lang w:bidi="ar-SA"/>
        </w:rPr>
        <w:t>Modeled in the same manner for both the technical potential and fuel switching analyses.</w:t>
      </w:r>
      <w:r w:rsidRPr="00F6205B">
        <w:rPr>
          <w:sz w:val="18"/>
          <w:szCs w:val="18"/>
          <w:lang w:bidi="ar-SA"/>
        </w:rPr>
        <w:t xml:space="preserve"> See </w:t>
      </w:r>
      <w:r w:rsidR="00FA3CB1" w:rsidRPr="00F6205B">
        <w:rPr>
          <w:sz w:val="18"/>
          <w:szCs w:val="18"/>
          <w:lang w:bidi="ar-SA"/>
        </w:rPr>
        <w:fldChar w:fldCharType="begin"/>
      </w:r>
      <w:r w:rsidR="00FA3CB1" w:rsidRPr="00F6205B">
        <w:rPr>
          <w:sz w:val="18"/>
          <w:szCs w:val="18"/>
          <w:lang w:bidi="ar-SA"/>
        </w:rPr>
        <w:instrText xml:space="preserve"> REF _Ref390760196 \h  \* MERGEFORMAT </w:instrText>
      </w:r>
      <w:r w:rsidR="00FA3CB1" w:rsidRPr="00F6205B">
        <w:rPr>
          <w:sz w:val="18"/>
          <w:szCs w:val="18"/>
          <w:lang w:bidi="ar-SA"/>
        </w:rPr>
      </w:r>
      <w:r w:rsidR="00FA3CB1" w:rsidRPr="00F6205B">
        <w:rPr>
          <w:sz w:val="18"/>
          <w:szCs w:val="18"/>
          <w:lang w:bidi="ar-SA"/>
        </w:rPr>
        <w:fldChar w:fldCharType="separate"/>
      </w:r>
      <w:r w:rsidR="00FA26A9" w:rsidRPr="00FA26A9">
        <w:rPr>
          <w:sz w:val="18"/>
          <w:szCs w:val="18"/>
        </w:rPr>
        <w:t>Fuel Switching Methodology</w:t>
      </w:r>
      <w:r w:rsidR="00FA3CB1" w:rsidRPr="00F6205B">
        <w:rPr>
          <w:sz w:val="18"/>
          <w:szCs w:val="18"/>
          <w:lang w:bidi="ar-SA"/>
        </w:rPr>
        <w:fldChar w:fldCharType="end"/>
      </w:r>
      <w:r w:rsidR="00FA3CB1" w:rsidRPr="00F6205B">
        <w:rPr>
          <w:sz w:val="18"/>
          <w:szCs w:val="18"/>
          <w:lang w:bidi="ar-SA"/>
        </w:rPr>
        <w:t xml:space="preserve"> </w:t>
      </w:r>
      <w:r w:rsidR="00CA1540" w:rsidRPr="00F6205B">
        <w:rPr>
          <w:sz w:val="18"/>
          <w:szCs w:val="18"/>
          <w:lang w:bidi="ar-SA"/>
        </w:rPr>
        <w:t>for details</w:t>
      </w:r>
      <w:r w:rsidR="00CA1540" w:rsidRPr="00F6205B">
        <w:rPr>
          <w:sz w:val="18"/>
          <w:szCs w:val="20"/>
          <w:lang w:bidi="ar-SA"/>
        </w:rPr>
        <w:t>.</w:t>
      </w:r>
    </w:p>
    <w:p w14:paraId="6979B959" w14:textId="77777777" w:rsidR="00C153D7" w:rsidRPr="00F6205B" w:rsidRDefault="00C153D7" w:rsidP="00C153D7"/>
    <w:p w14:paraId="7DC87DBE" w14:textId="77777777" w:rsidR="00C153D7" w:rsidRPr="00F6205B" w:rsidRDefault="00C153D7" w:rsidP="00C153D7">
      <w:r w:rsidRPr="00F6205B">
        <w:t xml:space="preserve">The differences in natural gas, electricity, fuel oil, and propane consumption between the two scenarios provide an estimate of potential savings attributable to the programs </w:t>
      </w:r>
      <w:r w:rsidRPr="00F6205B">
        <w:lastRenderedPageBreak/>
        <w:t>incentivizing of high-efficiency equipment. In addition to potential savings from utility incentives, the following impacts are assessed in this study:</w:t>
      </w:r>
    </w:p>
    <w:p w14:paraId="0F8CF03E" w14:textId="77777777" w:rsidR="00C153D7" w:rsidRPr="00F6205B" w:rsidRDefault="00C153D7" w:rsidP="00F52E2F">
      <w:pPr>
        <w:pStyle w:val="ListParagraph"/>
        <w:numPr>
          <w:ilvl w:val="0"/>
          <w:numId w:val="17"/>
        </w:numPr>
        <w:jc w:val="both"/>
      </w:pPr>
      <w:r w:rsidRPr="00F6205B">
        <w:t>Reduced oil and propane consumption from fuel switching, in both cases;</w:t>
      </w:r>
    </w:p>
    <w:p w14:paraId="2CE924B6" w14:textId="77777777" w:rsidR="00C153D7" w:rsidRPr="00F6205B" w:rsidRDefault="00C153D7" w:rsidP="00F52E2F">
      <w:pPr>
        <w:pStyle w:val="ListParagraph"/>
        <w:numPr>
          <w:ilvl w:val="0"/>
          <w:numId w:val="17"/>
        </w:numPr>
        <w:jc w:val="both"/>
      </w:pPr>
      <w:r w:rsidRPr="00F6205B">
        <w:t>Increased natural gas consumption from fuel switching, in both cases;</w:t>
      </w:r>
    </w:p>
    <w:p w14:paraId="073217B6" w14:textId="77777777" w:rsidR="00C153D7" w:rsidRPr="00F6205B" w:rsidRDefault="00C153D7" w:rsidP="00F52E2F">
      <w:pPr>
        <w:pStyle w:val="ListParagraph"/>
        <w:numPr>
          <w:ilvl w:val="0"/>
          <w:numId w:val="17"/>
        </w:numPr>
        <w:jc w:val="both"/>
      </w:pPr>
      <w:r w:rsidRPr="00F6205B">
        <w:t>Increased electric consumption from fuel switching, in both cases.</w:t>
      </w:r>
    </w:p>
    <w:p w14:paraId="27C4606F" w14:textId="77777777" w:rsidR="00C153D7" w:rsidRPr="00F6205B" w:rsidRDefault="00C153D7" w:rsidP="00C153D7">
      <w:r w:rsidRPr="00F6205B">
        <w:t xml:space="preserve">The monetary savings associated with switching from fuel oil or propane to natural gas or electricity as the primary heating fuel are not assessed in this report. It should be noted that such a fuel switch often results in significant upfront costs to homeowners, but is likely to result in substantial monetary savings from reduced fuel costs for homeowners. </w:t>
      </w:r>
    </w:p>
    <w:p w14:paraId="33B44875" w14:textId="77777777" w:rsidR="00C153D7" w:rsidRPr="00F6205B" w:rsidRDefault="00C153D7" w:rsidP="00C153D7">
      <w:r w:rsidRPr="00F6205B">
        <w:t>The fuel switch modeling was applied—using REM/Rate</w:t>
      </w:r>
      <w:r w:rsidRPr="00F6205B">
        <w:rPr>
          <w:rFonts w:cs="Times New Roman"/>
        </w:rPr>
        <w:t>™</w:t>
      </w:r>
      <w:r w:rsidRPr="00F6205B">
        <w:t xml:space="preserve"> energy modeling software—to all homes not currently heating with natural gas. This constitutes 134 (74%) of the 180 homes that were audited during the Weatherization Baseline Study. Connecticut’s Comprehensive Energy Strategy (CES) posits that 34% of residential buildings in the state currently heat with gas, and an additional 19% might be expected to convert under various conditions</w:t>
      </w:r>
      <w:r w:rsidRPr="00F6205B">
        <w:rPr>
          <w:rStyle w:val="FootnoteReference"/>
        </w:rPr>
        <w:footnoteReference w:id="48"/>
      </w:r>
      <w:r w:rsidRPr="00F6205B">
        <w:t>. In all, the CES indicates that the proportion of Connecticut residences for which natural gas is either currently in use for heating or could feasibly be in the near-term is 53%. Therefore, the 134 homes not currently heating with natural gas were grouped in the following manner for modeling:</w:t>
      </w:r>
    </w:p>
    <w:p w14:paraId="264C8AF2" w14:textId="77777777" w:rsidR="00C153D7" w:rsidRPr="00F6205B" w:rsidRDefault="00C153D7" w:rsidP="003A6CD9">
      <w:pPr>
        <w:pStyle w:val="ListParagraph"/>
        <w:numPr>
          <w:ilvl w:val="0"/>
          <w:numId w:val="18"/>
        </w:numPr>
      </w:pPr>
      <w:r w:rsidRPr="00F6205B">
        <w:rPr>
          <w:b/>
        </w:rPr>
        <w:t>Group A</w:t>
      </w:r>
      <w:r w:rsidRPr="00F6205B">
        <w:t xml:space="preserve"> (non-gas homes in gas-served towns,</w:t>
      </w:r>
      <w:r w:rsidRPr="00F6205B">
        <w:rPr>
          <w:rStyle w:val="FootnoteReference"/>
        </w:rPr>
        <w:footnoteReference w:id="49"/>
      </w:r>
      <w:r w:rsidRPr="00F6205B">
        <w:t xml:space="preserve"> switched to gas) consisted of a randomly-selected 49 of the 97 homes in the Weatherization Baseline sample which are located in a town served by a natural gas pipeline but are currently heating with either oil or propane. These homes were modeled with gas space heating and water heating equipment. These 49 homes represent 27.2% of the 180 sites in the Weatherization Baseline sample. When added to the 46 sites (25.6% of the 180 sites) in the sample that already heat with gas, these sites represent 53% of the Weatherization sample, which is consistent with the forecast information in the CES.</w:t>
      </w:r>
    </w:p>
    <w:p w14:paraId="617B229B" w14:textId="77777777" w:rsidR="00C153D7" w:rsidRPr="00F6205B" w:rsidRDefault="00C153D7" w:rsidP="003A6CD9">
      <w:pPr>
        <w:pStyle w:val="ListParagraph"/>
        <w:numPr>
          <w:ilvl w:val="0"/>
          <w:numId w:val="18"/>
        </w:numPr>
      </w:pPr>
      <w:r w:rsidRPr="00F6205B">
        <w:rPr>
          <w:b/>
        </w:rPr>
        <w:t>Group B</w:t>
      </w:r>
      <w:r w:rsidRPr="00F6205B">
        <w:t xml:space="preserve"> (non-gas homes in gas-served towns, switched to heat pump) consisted of the remaining 48 of the 97 homes described above, as well as 17 homes in towns with natural gas service that heat with electricity, wood pellets, or cord wood—65 in all. These homes were modeled with ductless mini-splits, which is the heat pump technology that resulted in the greatest energy savings in the technical potential savings analysis.</w:t>
      </w:r>
      <w:r w:rsidRPr="00F6205B">
        <w:rPr>
          <w:rStyle w:val="FootnoteReference"/>
        </w:rPr>
        <w:footnoteReference w:id="50"/>
      </w:r>
      <w:r w:rsidRPr="00F6205B">
        <w:t xml:space="preserve"> In these models, existing space heating equipment remained in a backup capacity. Existing water heating equipment remained the same in the base case and was upgraded to a heat pump water heater in the upgrade case.</w:t>
      </w:r>
      <w:r w:rsidRPr="00F6205B">
        <w:rPr>
          <w:rStyle w:val="FootnoteReference"/>
        </w:rPr>
        <w:footnoteReference w:id="51"/>
      </w:r>
    </w:p>
    <w:p w14:paraId="4BEB7318" w14:textId="77777777" w:rsidR="00C153D7" w:rsidRPr="00F6205B" w:rsidRDefault="00C153D7" w:rsidP="003A6CD9">
      <w:pPr>
        <w:pStyle w:val="ListParagraph"/>
        <w:numPr>
          <w:ilvl w:val="0"/>
          <w:numId w:val="18"/>
        </w:numPr>
      </w:pPr>
      <w:r w:rsidRPr="00F6205B">
        <w:rPr>
          <w:b/>
        </w:rPr>
        <w:lastRenderedPageBreak/>
        <w:t>Group C</w:t>
      </w:r>
      <w:r w:rsidRPr="00F6205B">
        <w:t xml:space="preserve"> (non-gas homes in non-gas towns, switched to heat pump) consisted of the 20 homes in the Weatherization Baseline sample that are located in a town not currently served by any of Connecticut’s three natural gas companies. These homes were modeled with ductless mini-splits and heat pump water heaters in the same manner as those in Group B.</w:t>
      </w:r>
    </w:p>
    <w:p w14:paraId="01EB2959" w14:textId="72F702DB" w:rsidR="005C5258" w:rsidRPr="00F6205B" w:rsidRDefault="00572BA6" w:rsidP="00C153D7">
      <w:r>
        <w:fldChar w:fldCharType="begin"/>
      </w:r>
      <w:r>
        <w:instrText xml:space="preserve"> REF _Ref439771323 \h </w:instrText>
      </w:r>
      <w:r>
        <w:fldChar w:fldCharType="separate"/>
      </w:r>
      <w:r w:rsidR="00FA26A9" w:rsidRPr="00F6205B">
        <w:t xml:space="preserve">Table </w:t>
      </w:r>
      <w:r w:rsidR="00FA26A9">
        <w:rPr>
          <w:noProof/>
        </w:rPr>
        <w:t>7</w:t>
      </w:r>
      <w:r>
        <w:fldChar w:fldCharType="end"/>
      </w:r>
      <w:r w:rsidR="00C153D7" w:rsidRPr="00F6205B">
        <w:t>, on the next page, details the features of each fuel switching group.</w:t>
      </w:r>
    </w:p>
    <w:p w14:paraId="4B047713" w14:textId="77777777" w:rsidR="00422999" w:rsidRDefault="00422999">
      <w:pPr>
        <w:spacing w:after="0" w:line="240" w:lineRule="auto"/>
      </w:pPr>
    </w:p>
    <w:p w14:paraId="679C8D91" w14:textId="77777777" w:rsidR="003A6CD9" w:rsidRPr="00F6205B" w:rsidRDefault="003A6CD9">
      <w:pPr>
        <w:spacing w:after="0" w:line="240" w:lineRule="auto"/>
        <w:sectPr w:rsidR="003A6CD9" w:rsidRPr="00F6205B" w:rsidSect="009B5AD3">
          <w:headerReference w:type="default" r:id="rId36"/>
          <w:footerReference w:type="default" r:id="rId37"/>
          <w:pgSz w:w="12240" w:h="15840"/>
          <w:pgMar w:top="1440" w:right="1872" w:bottom="1440" w:left="1440" w:header="0" w:footer="0" w:gutter="0"/>
          <w:cols w:space="720"/>
          <w:docGrid w:linePitch="272"/>
        </w:sectPr>
      </w:pPr>
    </w:p>
    <w:p w14:paraId="3D9817E0" w14:textId="529BF8F8" w:rsidR="0037589E" w:rsidRPr="00F6205B" w:rsidRDefault="0037589E" w:rsidP="004F23CF">
      <w:pPr>
        <w:pStyle w:val="Caption"/>
      </w:pPr>
      <w:bookmarkStart w:id="125" w:name="_Ref372017724"/>
      <w:bookmarkStart w:id="126" w:name="_Ref439771323"/>
      <w:bookmarkStart w:id="127" w:name="_Toc373324115"/>
      <w:bookmarkStart w:id="128" w:name="_Toc391887343"/>
      <w:bookmarkStart w:id="129" w:name="_Toc439931838"/>
      <w:r w:rsidRPr="00F6205B">
        <w:lastRenderedPageBreak/>
        <w:t>Table</w:t>
      </w:r>
      <w:bookmarkEnd w:id="125"/>
      <w:r w:rsidR="004F23CF" w:rsidRPr="00F6205B">
        <w:t xml:space="preserve"> </w:t>
      </w:r>
      <w:fldSimple w:instr=" SEQ Table \* ARABIC ">
        <w:r w:rsidR="00FA26A9">
          <w:rPr>
            <w:noProof/>
          </w:rPr>
          <w:t>7</w:t>
        </w:r>
      </w:fldSimple>
      <w:bookmarkEnd w:id="126"/>
      <w:r w:rsidRPr="00F6205B">
        <w:t>: Features of Fuel Switching Groups</w:t>
      </w:r>
      <w:bookmarkEnd w:id="127"/>
      <w:bookmarkEnd w:id="128"/>
      <w:bookmarkEnd w:id="129"/>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997"/>
        <w:gridCol w:w="585"/>
        <w:gridCol w:w="675"/>
        <w:gridCol w:w="1080"/>
        <w:gridCol w:w="1170"/>
        <w:gridCol w:w="1170"/>
        <w:gridCol w:w="1890"/>
        <w:gridCol w:w="1890"/>
        <w:gridCol w:w="1440"/>
        <w:gridCol w:w="1530"/>
      </w:tblGrid>
      <w:tr w:rsidR="0037589E" w:rsidRPr="00F6205B" w14:paraId="067DAAC5" w14:textId="77777777" w:rsidTr="004B30CE">
        <w:trPr>
          <w:trHeight w:val="263"/>
          <w:jc w:val="center"/>
        </w:trPr>
        <w:tc>
          <w:tcPr>
            <w:tcW w:w="997" w:type="dxa"/>
            <w:vMerge w:val="restart"/>
            <w:tcBorders>
              <w:top w:val="single" w:sz="4" w:space="0" w:color="auto"/>
              <w:left w:val="single" w:sz="4" w:space="0" w:color="auto"/>
              <w:bottom w:val="single" w:sz="4" w:space="0" w:color="000000" w:themeColor="text1"/>
            </w:tcBorders>
            <w:shd w:val="clear" w:color="auto" w:fill="0B4D2C" w:themeFill="background2" w:themeFillShade="BF"/>
            <w:vAlign w:val="center"/>
          </w:tcPr>
          <w:p w14:paraId="0ED8CB3D" w14:textId="77777777" w:rsidR="0037589E" w:rsidRPr="00F6205B" w:rsidRDefault="0037589E" w:rsidP="0044249F">
            <w:pPr>
              <w:keepNext/>
              <w:keepLines/>
              <w:spacing w:after="0"/>
              <w:rPr>
                <w:b/>
                <w:color w:val="FFFFFF" w:themeColor="background1"/>
                <w:sz w:val="20"/>
                <w:szCs w:val="20"/>
              </w:rPr>
            </w:pPr>
            <w:r w:rsidRPr="00F6205B">
              <w:rPr>
                <w:b/>
                <w:color w:val="FFFFFF" w:themeColor="background1"/>
                <w:sz w:val="20"/>
                <w:szCs w:val="20"/>
              </w:rPr>
              <w:t>Group</w:t>
            </w:r>
          </w:p>
        </w:tc>
        <w:tc>
          <w:tcPr>
            <w:tcW w:w="585" w:type="dxa"/>
            <w:vMerge w:val="restart"/>
            <w:tcBorders>
              <w:top w:val="single" w:sz="4" w:space="0" w:color="auto"/>
              <w:bottom w:val="single" w:sz="4" w:space="0" w:color="000000" w:themeColor="text1"/>
            </w:tcBorders>
            <w:shd w:val="clear" w:color="auto" w:fill="0B4D2C" w:themeFill="background2" w:themeFillShade="BF"/>
            <w:vAlign w:val="center"/>
          </w:tcPr>
          <w:p w14:paraId="2DF994FD" w14:textId="77777777" w:rsidR="0037589E" w:rsidRPr="00F6205B" w:rsidRDefault="0037589E" w:rsidP="0044249F">
            <w:pPr>
              <w:keepNext/>
              <w:keepLines/>
              <w:spacing w:after="0"/>
              <w:jc w:val="center"/>
              <w:rPr>
                <w:b/>
                <w:color w:val="FFFFFF" w:themeColor="background1"/>
                <w:sz w:val="20"/>
                <w:szCs w:val="20"/>
              </w:rPr>
            </w:pPr>
            <w:r w:rsidRPr="00F6205B">
              <w:rPr>
                <w:b/>
                <w:color w:val="FFFFFF" w:themeColor="background1"/>
                <w:sz w:val="20"/>
                <w:szCs w:val="20"/>
              </w:rPr>
              <w:t>n</w:t>
            </w:r>
          </w:p>
        </w:tc>
        <w:tc>
          <w:tcPr>
            <w:tcW w:w="675" w:type="dxa"/>
            <w:vMerge w:val="restart"/>
            <w:tcBorders>
              <w:top w:val="single" w:sz="4" w:space="0" w:color="auto"/>
              <w:bottom w:val="single" w:sz="4" w:space="0" w:color="000000" w:themeColor="text1"/>
            </w:tcBorders>
            <w:shd w:val="clear" w:color="auto" w:fill="0B4D2C" w:themeFill="background2" w:themeFillShade="BF"/>
            <w:vAlign w:val="center"/>
          </w:tcPr>
          <w:p w14:paraId="5AD57FBB" w14:textId="77777777" w:rsidR="0037589E" w:rsidRPr="00F6205B" w:rsidRDefault="0037589E" w:rsidP="0044249F">
            <w:pPr>
              <w:keepNext/>
              <w:keepLines/>
              <w:spacing w:after="0"/>
              <w:jc w:val="center"/>
              <w:rPr>
                <w:b/>
                <w:color w:val="FFFFFF" w:themeColor="background1"/>
                <w:sz w:val="20"/>
                <w:szCs w:val="20"/>
              </w:rPr>
            </w:pPr>
            <w:r w:rsidRPr="00F6205B">
              <w:rPr>
                <w:b/>
                <w:color w:val="FFFFFF" w:themeColor="background1"/>
                <w:sz w:val="20"/>
                <w:szCs w:val="20"/>
              </w:rPr>
              <w:t>%</w:t>
            </w:r>
          </w:p>
        </w:tc>
        <w:tc>
          <w:tcPr>
            <w:tcW w:w="1080" w:type="dxa"/>
            <w:vMerge w:val="restart"/>
            <w:tcBorders>
              <w:top w:val="single" w:sz="4" w:space="0" w:color="auto"/>
              <w:bottom w:val="single" w:sz="4" w:space="0" w:color="000000" w:themeColor="text1"/>
            </w:tcBorders>
            <w:shd w:val="clear" w:color="auto" w:fill="0B4D2C" w:themeFill="background2" w:themeFillShade="BF"/>
            <w:vAlign w:val="center"/>
          </w:tcPr>
          <w:p w14:paraId="4B921042" w14:textId="77777777" w:rsidR="0037589E" w:rsidRPr="00F6205B" w:rsidRDefault="0037589E" w:rsidP="0044249F">
            <w:pPr>
              <w:keepNext/>
              <w:keepLines/>
              <w:spacing w:after="0"/>
              <w:jc w:val="center"/>
              <w:rPr>
                <w:b/>
                <w:color w:val="FFFFFF" w:themeColor="background1"/>
                <w:sz w:val="20"/>
                <w:szCs w:val="20"/>
              </w:rPr>
            </w:pPr>
            <w:r w:rsidRPr="00F6205B">
              <w:rPr>
                <w:b/>
                <w:color w:val="FFFFFF" w:themeColor="background1"/>
                <w:sz w:val="20"/>
                <w:szCs w:val="20"/>
              </w:rPr>
              <w:t>Location</w:t>
            </w:r>
          </w:p>
        </w:tc>
        <w:tc>
          <w:tcPr>
            <w:tcW w:w="2340" w:type="dxa"/>
            <w:gridSpan w:val="2"/>
            <w:tcBorders>
              <w:top w:val="single" w:sz="4" w:space="0" w:color="auto"/>
              <w:bottom w:val="single" w:sz="4" w:space="0" w:color="000000" w:themeColor="text1"/>
            </w:tcBorders>
            <w:shd w:val="clear" w:color="auto" w:fill="0B4D2C" w:themeFill="background2" w:themeFillShade="BF"/>
            <w:vAlign w:val="center"/>
          </w:tcPr>
          <w:p w14:paraId="3D86A053" w14:textId="77777777" w:rsidR="0037589E" w:rsidRPr="00F6205B" w:rsidRDefault="0037589E" w:rsidP="0044249F">
            <w:pPr>
              <w:keepNext/>
              <w:keepLines/>
              <w:spacing w:after="0"/>
              <w:jc w:val="center"/>
              <w:rPr>
                <w:b/>
                <w:color w:val="FFFFFF" w:themeColor="background1"/>
                <w:sz w:val="20"/>
                <w:szCs w:val="20"/>
              </w:rPr>
            </w:pPr>
            <w:r w:rsidRPr="00F6205B">
              <w:rPr>
                <w:b/>
                <w:color w:val="FFFFFF" w:themeColor="background1"/>
                <w:sz w:val="20"/>
                <w:szCs w:val="20"/>
              </w:rPr>
              <w:t>Heating Fuel</w:t>
            </w:r>
          </w:p>
        </w:tc>
        <w:tc>
          <w:tcPr>
            <w:tcW w:w="3780" w:type="dxa"/>
            <w:gridSpan w:val="2"/>
            <w:tcBorders>
              <w:top w:val="single" w:sz="4" w:space="0" w:color="auto"/>
              <w:bottom w:val="single" w:sz="4" w:space="0" w:color="000000" w:themeColor="text1"/>
            </w:tcBorders>
            <w:shd w:val="clear" w:color="auto" w:fill="0B4D2C" w:themeFill="background2" w:themeFillShade="BF"/>
            <w:vAlign w:val="center"/>
          </w:tcPr>
          <w:p w14:paraId="70C15CA7" w14:textId="77777777" w:rsidR="0037589E" w:rsidRPr="00F6205B" w:rsidRDefault="0037589E" w:rsidP="0044249F">
            <w:pPr>
              <w:keepNext/>
              <w:keepLines/>
              <w:spacing w:after="0"/>
              <w:jc w:val="center"/>
              <w:rPr>
                <w:b/>
                <w:color w:val="FFFFFF" w:themeColor="background1"/>
                <w:sz w:val="20"/>
                <w:szCs w:val="20"/>
              </w:rPr>
            </w:pPr>
            <w:r w:rsidRPr="00F6205B">
              <w:rPr>
                <w:b/>
                <w:color w:val="FFFFFF" w:themeColor="background1"/>
                <w:sz w:val="20"/>
                <w:szCs w:val="20"/>
              </w:rPr>
              <w:t>Heating Equipment</w:t>
            </w:r>
          </w:p>
        </w:tc>
        <w:tc>
          <w:tcPr>
            <w:tcW w:w="2970" w:type="dxa"/>
            <w:gridSpan w:val="2"/>
            <w:tcBorders>
              <w:top w:val="single" w:sz="4" w:space="0" w:color="auto"/>
              <w:bottom w:val="single" w:sz="4" w:space="0" w:color="000000" w:themeColor="text1"/>
              <w:right w:val="single" w:sz="4" w:space="0" w:color="auto"/>
            </w:tcBorders>
            <w:shd w:val="clear" w:color="auto" w:fill="0B4D2C" w:themeFill="background2" w:themeFillShade="BF"/>
            <w:vAlign w:val="center"/>
          </w:tcPr>
          <w:p w14:paraId="450C5DF7" w14:textId="77777777" w:rsidR="0037589E" w:rsidRPr="00F6205B" w:rsidRDefault="0037589E" w:rsidP="0044249F">
            <w:pPr>
              <w:keepNext/>
              <w:keepLines/>
              <w:spacing w:after="0"/>
              <w:jc w:val="center"/>
              <w:rPr>
                <w:b/>
                <w:color w:val="FFFFFF" w:themeColor="background1"/>
                <w:sz w:val="20"/>
                <w:szCs w:val="20"/>
              </w:rPr>
            </w:pPr>
            <w:r w:rsidRPr="00F6205B">
              <w:rPr>
                <w:b/>
                <w:color w:val="FFFFFF" w:themeColor="background1"/>
                <w:sz w:val="20"/>
                <w:szCs w:val="20"/>
              </w:rPr>
              <w:t>Water Heating</w:t>
            </w:r>
          </w:p>
        </w:tc>
      </w:tr>
      <w:tr w:rsidR="0037589E" w:rsidRPr="00F6205B" w14:paraId="31AB0652" w14:textId="77777777" w:rsidTr="004B30CE">
        <w:trPr>
          <w:trHeight w:val="262"/>
          <w:jc w:val="center"/>
        </w:trPr>
        <w:tc>
          <w:tcPr>
            <w:tcW w:w="997" w:type="dxa"/>
            <w:vMerge/>
            <w:tcBorders>
              <w:top w:val="single" w:sz="4" w:space="0" w:color="000000" w:themeColor="text1"/>
              <w:left w:val="single" w:sz="4" w:space="0" w:color="auto"/>
              <w:bottom w:val="single" w:sz="4" w:space="0" w:color="auto"/>
            </w:tcBorders>
            <w:shd w:val="clear" w:color="auto" w:fill="0B4D2C" w:themeFill="background2" w:themeFillShade="BF"/>
            <w:vAlign w:val="center"/>
          </w:tcPr>
          <w:p w14:paraId="1E0CF979" w14:textId="77777777" w:rsidR="0037589E" w:rsidRPr="00F6205B" w:rsidRDefault="0037589E" w:rsidP="0044249F">
            <w:pPr>
              <w:keepNext/>
              <w:keepLines/>
              <w:spacing w:after="0"/>
              <w:rPr>
                <w:b/>
                <w:color w:val="FFFFFF" w:themeColor="background1"/>
                <w:sz w:val="20"/>
                <w:szCs w:val="20"/>
              </w:rPr>
            </w:pPr>
          </w:p>
        </w:tc>
        <w:tc>
          <w:tcPr>
            <w:tcW w:w="585" w:type="dxa"/>
            <w:vMerge/>
            <w:tcBorders>
              <w:top w:val="single" w:sz="4" w:space="0" w:color="000000" w:themeColor="text1"/>
              <w:bottom w:val="single" w:sz="4" w:space="0" w:color="auto"/>
            </w:tcBorders>
            <w:shd w:val="clear" w:color="auto" w:fill="0B4D2C" w:themeFill="background2" w:themeFillShade="BF"/>
            <w:vAlign w:val="center"/>
          </w:tcPr>
          <w:p w14:paraId="72CB4962" w14:textId="77777777" w:rsidR="0037589E" w:rsidRPr="00F6205B" w:rsidRDefault="0037589E" w:rsidP="0044249F">
            <w:pPr>
              <w:keepNext/>
              <w:keepLines/>
              <w:spacing w:after="0"/>
              <w:jc w:val="center"/>
              <w:rPr>
                <w:b/>
                <w:color w:val="FFFFFF" w:themeColor="background1"/>
                <w:sz w:val="20"/>
                <w:szCs w:val="20"/>
              </w:rPr>
            </w:pPr>
          </w:p>
        </w:tc>
        <w:tc>
          <w:tcPr>
            <w:tcW w:w="675" w:type="dxa"/>
            <w:vMerge/>
            <w:tcBorders>
              <w:top w:val="single" w:sz="4" w:space="0" w:color="000000" w:themeColor="text1"/>
              <w:bottom w:val="single" w:sz="4" w:space="0" w:color="auto"/>
            </w:tcBorders>
            <w:shd w:val="clear" w:color="auto" w:fill="0B4D2C" w:themeFill="background2" w:themeFillShade="BF"/>
            <w:vAlign w:val="center"/>
          </w:tcPr>
          <w:p w14:paraId="7BCB17CE" w14:textId="77777777" w:rsidR="0037589E" w:rsidRPr="00F6205B" w:rsidRDefault="0037589E" w:rsidP="0044249F">
            <w:pPr>
              <w:keepNext/>
              <w:keepLines/>
              <w:spacing w:after="0"/>
              <w:jc w:val="center"/>
              <w:rPr>
                <w:b/>
                <w:color w:val="FFFFFF" w:themeColor="background1"/>
                <w:sz w:val="20"/>
                <w:szCs w:val="20"/>
              </w:rPr>
            </w:pPr>
          </w:p>
        </w:tc>
        <w:tc>
          <w:tcPr>
            <w:tcW w:w="1080" w:type="dxa"/>
            <w:vMerge/>
            <w:tcBorders>
              <w:top w:val="single" w:sz="4" w:space="0" w:color="000000" w:themeColor="text1"/>
              <w:bottom w:val="single" w:sz="4" w:space="0" w:color="auto"/>
            </w:tcBorders>
            <w:shd w:val="clear" w:color="auto" w:fill="0B4D2C" w:themeFill="background2" w:themeFillShade="BF"/>
            <w:vAlign w:val="center"/>
          </w:tcPr>
          <w:p w14:paraId="395D268F" w14:textId="77777777" w:rsidR="0037589E" w:rsidRPr="00F6205B" w:rsidRDefault="0037589E" w:rsidP="0044249F">
            <w:pPr>
              <w:keepNext/>
              <w:keepLines/>
              <w:spacing w:after="0"/>
              <w:jc w:val="center"/>
              <w:rPr>
                <w:b/>
                <w:color w:val="FFFFFF" w:themeColor="background1"/>
                <w:sz w:val="20"/>
                <w:szCs w:val="20"/>
              </w:rPr>
            </w:pPr>
          </w:p>
        </w:tc>
        <w:tc>
          <w:tcPr>
            <w:tcW w:w="1170" w:type="dxa"/>
            <w:tcBorders>
              <w:top w:val="single" w:sz="4" w:space="0" w:color="000000" w:themeColor="text1"/>
              <w:bottom w:val="single" w:sz="4" w:space="0" w:color="auto"/>
            </w:tcBorders>
            <w:shd w:val="clear" w:color="auto" w:fill="0B4D2C" w:themeFill="background2" w:themeFillShade="BF"/>
            <w:vAlign w:val="center"/>
          </w:tcPr>
          <w:p w14:paraId="459D0501" w14:textId="77777777" w:rsidR="0037589E" w:rsidRPr="00F6205B" w:rsidRDefault="0037589E" w:rsidP="0044249F">
            <w:pPr>
              <w:keepNext/>
              <w:keepLines/>
              <w:spacing w:after="0"/>
              <w:jc w:val="center"/>
              <w:rPr>
                <w:b/>
                <w:color w:val="FFFFFF" w:themeColor="background1"/>
                <w:sz w:val="20"/>
                <w:szCs w:val="20"/>
              </w:rPr>
            </w:pPr>
            <w:r w:rsidRPr="00F6205B">
              <w:rPr>
                <w:b/>
                <w:color w:val="FFFFFF" w:themeColor="background1"/>
                <w:sz w:val="20"/>
                <w:szCs w:val="20"/>
              </w:rPr>
              <w:t>Existing</w:t>
            </w:r>
          </w:p>
        </w:tc>
        <w:tc>
          <w:tcPr>
            <w:tcW w:w="1170" w:type="dxa"/>
            <w:tcBorders>
              <w:top w:val="single" w:sz="4" w:space="0" w:color="000000" w:themeColor="text1"/>
              <w:bottom w:val="single" w:sz="4" w:space="0" w:color="auto"/>
            </w:tcBorders>
            <w:shd w:val="clear" w:color="auto" w:fill="0B4D2C" w:themeFill="background2" w:themeFillShade="BF"/>
            <w:vAlign w:val="center"/>
          </w:tcPr>
          <w:p w14:paraId="33D5D506" w14:textId="77777777" w:rsidR="0037589E" w:rsidRPr="00F6205B" w:rsidRDefault="0037589E" w:rsidP="0044249F">
            <w:pPr>
              <w:keepNext/>
              <w:keepLines/>
              <w:spacing w:after="0"/>
              <w:jc w:val="center"/>
              <w:rPr>
                <w:b/>
                <w:color w:val="FFFFFF" w:themeColor="background1"/>
                <w:sz w:val="20"/>
                <w:szCs w:val="20"/>
              </w:rPr>
            </w:pPr>
            <w:r w:rsidRPr="00F6205B">
              <w:rPr>
                <w:b/>
                <w:color w:val="FFFFFF" w:themeColor="background1"/>
                <w:sz w:val="20"/>
                <w:szCs w:val="20"/>
              </w:rPr>
              <w:t>After Switch</w:t>
            </w:r>
          </w:p>
        </w:tc>
        <w:tc>
          <w:tcPr>
            <w:tcW w:w="1890" w:type="dxa"/>
            <w:tcBorders>
              <w:top w:val="single" w:sz="4" w:space="0" w:color="000000" w:themeColor="text1"/>
              <w:bottom w:val="single" w:sz="4" w:space="0" w:color="auto"/>
            </w:tcBorders>
            <w:shd w:val="clear" w:color="auto" w:fill="0B4D2C" w:themeFill="background2" w:themeFillShade="BF"/>
            <w:vAlign w:val="center"/>
          </w:tcPr>
          <w:p w14:paraId="2D5A22F8" w14:textId="77777777" w:rsidR="0037589E" w:rsidRPr="00F6205B" w:rsidRDefault="0037589E" w:rsidP="0044249F">
            <w:pPr>
              <w:keepNext/>
              <w:keepLines/>
              <w:spacing w:after="0"/>
              <w:jc w:val="center"/>
              <w:rPr>
                <w:b/>
                <w:color w:val="FFFFFF" w:themeColor="background1"/>
                <w:sz w:val="20"/>
                <w:szCs w:val="20"/>
              </w:rPr>
            </w:pPr>
            <w:r w:rsidRPr="00F6205B">
              <w:rPr>
                <w:b/>
                <w:color w:val="FFFFFF" w:themeColor="background1"/>
                <w:sz w:val="20"/>
                <w:szCs w:val="20"/>
              </w:rPr>
              <w:t>Existing</w:t>
            </w:r>
          </w:p>
        </w:tc>
        <w:tc>
          <w:tcPr>
            <w:tcW w:w="1890" w:type="dxa"/>
            <w:tcBorders>
              <w:top w:val="single" w:sz="4" w:space="0" w:color="000000" w:themeColor="text1"/>
              <w:bottom w:val="single" w:sz="4" w:space="0" w:color="auto"/>
            </w:tcBorders>
            <w:shd w:val="clear" w:color="auto" w:fill="0B4D2C" w:themeFill="background2" w:themeFillShade="BF"/>
            <w:vAlign w:val="center"/>
          </w:tcPr>
          <w:p w14:paraId="75FC4B1F" w14:textId="77777777" w:rsidR="0037589E" w:rsidRPr="00F6205B" w:rsidRDefault="0037589E" w:rsidP="0044249F">
            <w:pPr>
              <w:keepNext/>
              <w:keepLines/>
              <w:spacing w:after="0"/>
              <w:jc w:val="center"/>
              <w:rPr>
                <w:b/>
                <w:color w:val="FFFFFF" w:themeColor="background1"/>
                <w:sz w:val="20"/>
                <w:szCs w:val="20"/>
              </w:rPr>
            </w:pPr>
            <w:r w:rsidRPr="00F6205B">
              <w:rPr>
                <w:b/>
                <w:color w:val="FFFFFF" w:themeColor="background1"/>
                <w:sz w:val="20"/>
                <w:szCs w:val="20"/>
              </w:rPr>
              <w:t>After Switch</w:t>
            </w:r>
          </w:p>
        </w:tc>
        <w:tc>
          <w:tcPr>
            <w:tcW w:w="1440" w:type="dxa"/>
            <w:tcBorders>
              <w:top w:val="single" w:sz="4" w:space="0" w:color="000000" w:themeColor="text1"/>
              <w:bottom w:val="single" w:sz="4" w:space="0" w:color="auto"/>
            </w:tcBorders>
            <w:shd w:val="clear" w:color="auto" w:fill="0B4D2C" w:themeFill="background2" w:themeFillShade="BF"/>
            <w:vAlign w:val="center"/>
          </w:tcPr>
          <w:p w14:paraId="6ADAEBF4" w14:textId="77777777" w:rsidR="0037589E" w:rsidRPr="00F6205B" w:rsidRDefault="0037589E" w:rsidP="0044249F">
            <w:pPr>
              <w:keepNext/>
              <w:keepLines/>
              <w:spacing w:after="0"/>
              <w:jc w:val="center"/>
              <w:rPr>
                <w:b/>
                <w:color w:val="FFFFFF" w:themeColor="background1"/>
                <w:sz w:val="20"/>
                <w:szCs w:val="20"/>
              </w:rPr>
            </w:pPr>
            <w:r w:rsidRPr="00F6205B">
              <w:rPr>
                <w:b/>
                <w:color w:val="FFFFFF" w:themeColor="background1"/>
                <w:sz w:val="20"/>
                <w:szCs w:val="20"/>
              </w:rPr>
              <w:t>Base Case</w:t>
            </w:r>
          </w:p>
        </w:tc>
        <w:tc>
          <w:tcPr>
            <w:tcW w:w="1530" w:type="dxa"/>
            <w:tcBorders>
              <w:top w:val="single" w:sz="4" w:space="0" w:color="000000" w:themeColor="text1"/>
              <w:bottom w:val="single" w:sz="4" w:space="0" w:color="auto"/>
              <w:right w:val="single" w:sz="4" w:space="0" w:color="auto"/>
            </w:tcBorders>
            <w:shd w:val="clear" w:color="auto" w:fill="0B4D2C" w:themeFill="background2" w:themeFillShade="BF"/>
            <w:vAlign w:val="center"/>
          </w:tcPr>
          <w:p w14:paraId="6B9AEE0B" w14:textId="77777777" w:rsidR="0037589E" w:rsidRPr="00F6205B" w:rsidRDefault="0037589E" w:rsidP="0044249F">
            <w:pPr>
              <w:keepNext/>
              <w:keepLines/>
              <w:spacing w:after="0"/>
              <w:jc w:val="center"/>
              <w:rPr>
                <w:b/>
                <w:color w:val="FFFFFF" w:themeColor="background1"/>
                <w:sz w:val="20"/>
                <w:szCs w:val="20"/>
              </w:rPr>
            </w:pPr>
            <w:r w:rsidRPr="00F6205B">
              <w:rPr>
                <w:b/>
                <w:color w:val="FFFFFF" w:themeColor="background1"/>
                <w:sz w:val="20"/>
                <w:szCs w:val="20"/>
              </w:rPr>
              <w:t>Upgrade Case</w:t>
            </w:r>
          </w:p>
        </w:tc>
      </w:tr>
      <w:tr w:rsidR="0037589E" w:rsidRPr="00F6205B" w14:paraId="2317406E" w14:textId="77777777" w:rsidTr="004B30CE">
        <w:trPr>
          <w:trHeight w:val="323"/>
          <w:jc w:val="center"/>
        </w:trPr>
        <w:tc>
          <w:tcPr>
            <w:tcW w:w="997" w:type="dxa"/>
            <w:vMerge w:val="restart"/>
            <w:tcBorders>
              <w:top w:val="single" w:sz="4" w:space="0" w:color="auto"/>
              <w:left w:val="single" w:sz="4" w:space="0" w:color="auto"/>
            </w:tcBorders>
            <w:vAlign w:val="center"/>
          </w:tcPr>
          <w:p w14:paraId="091E480A" w14:textId="77777777" w:rsidR="0037589E" w:rsidRPr="00F6205B" w:rsidRDefault="0037589E" w:rsidP="0044249F">
            <w:pPr>
              <w:keepNext/>
              <w:keepLines/>
              <w:spacing w:after="0"/>
              <w:rPr>
                <w:sz w:val="20"/>
                <w:szCs w:val="20"/>
              </w:rPr>
            </w:pPr>
            <w:r w:rsidRPr="00F6205B">
              <w:rPr>
                <w:sz w:val="20"/>
                <w:szCs w:val="20"/>
              </w:rPr>
              <w:t>Group A</w:t>
            </w:r>
          </w:p>
        </w:tc>
        <w:tc>
          <w:tcPr>
            <w:tcW w:w="585" w:type="dxa"/>
            <w:vMerge w:val="restart"/>
            <w:tcBorders>
              <w:top w:val="single" w:sz="4" w:space="0" w:color="auto"/>
            </w:tcBorders>
            <w:vAlign w:val="center"/>
          </w:tcPr>
          <w:p w14:paraId="69BE6FB6" w14:textId="77777777" w:rsidR="0037589E" w:rsidRPr="00F6205B" w:rsidRDefault="0037589E" w:rsidP="0044249F">
            <w:pPr>
              <w:keepNext/>
              <w:keepLines/>
              <w:spacing w:after="0"/>
              <w:jc w:val="center"/>
              <w:rPr>
                <w:sz w:val="20"/>
                <w:szCs w:val="20"/>
              </w:rPr>
            </w:pPr>
            <w:r w:rsidRPr="00F6205B">
              <w:rPr>
                <w:sz w:val="20"/>
                <w:szCs w:val="20"/>
              </w:rPr>
              <w:t>49</w:t>
            </w:r>
          </w:p>
        </w:tc>
        <w:tc>
          <w:tcPr>
            <w:tcW w:w="675" w:type="dxa"/>
            <w:vMerge w:val="restart"/>
            <w:tcBorders>
              <w:top w:val="single" w:sz="4" w:space="0" w:color="auto"/>
            </w:tcBorders>
            <w:vAlign w:val="center"/>
          </w:tcPr>
          <w:p w14:paraId="49D08F47" w14:textId="77777777" w:rsidR="0037589E" w:rsidRPr="00F6205B" w:rsidRDefault="0037589E" w:rsidP="0044249F">
            <w:pPr>
              <w:keepNext/>
              <w:keepLines/>
              <w:spacing w:after="0"/>
              <w:jc w:val="center"/>
              <w:rPr>
                <w:sz w:val="20"/>
                <w:szCs w:val="20"/>
              </w:rPr>
            </w:pPr>
            <w:r w:rsidRPr="00F6205B">
              <w:rPr>
                <w:sz w:val="20"/>
                <w:szCs w:val="20"/>
              </w:rPr>
              <w:t>27%</w:t>
            </w:r>
          </w:p>
        </w:tc>
        <w:tc>
          <w:tcPr>
            <w:tcW w:w="1080" w:type="dxa"/>
            <w:vMerge w:val="restart"/>
            <w:tcBorders>
              <w:top w:val="single" w:sz="4" w:space="0" w:color="auto"/>
            </w:tcBorders>
            <w:vAlign w:val="center"/>
          </w:tcPr>
          <w:p w14:paraId="611581CA" w14:textId="77777777" w:rsidR="0037589E" w:rsidRPr="00F6205B" w:rsidRDefault="0037589E" w:rsidP="0044249F">
            <w:pPr>
              <w:keepNext/>
              <w:keepLines/>
              <w:spacing w:after="0"/>
              <w:jc w:val="center"/>
              <w:rPr>
                <w:sz w:val="20"/>
                <w:szCs w:val="20"/>
              </w:rPr>
            </w:pPr>
            <w:r w:rsidRPr="00F6205B">
              <w:rPr>
                <w:sz w:val="20"/>
                <w:szCs w:val="20"/>
              </w:rPr>
              <w:t>Towns with gas service</w:t>
            </w:r>
          </w:p>
        </w:tc>
        <w:tc>
          <w:tcPr>
            <w:tcW w:w="1170" w:type="dxa"/>
            <w:vMerge w:val="restart"/>
            <w:tcBorders>
              <w:top w:val="single" w:sz="4" w:space="0" w:color="auto"/>
            </w:tcBorders>
            <w:vAlign w:val="center"/>
          </w:tcPr>
          <w:p w14:paraId="11210AE9" w14:textId="77777777" w:rsidR="0037589E" w:rsidRPr="00F6205B" w:rsidRDefault="0037589E" w:rsidP="0044249F">
            <w:pPr>
              <w:keepNext/>
              <w:keepLines/>
              <w:spacing w:after="0"/>
              <w:jc w:val="center"/>
              <w:rPr>
                <w:sz w:val="20"/>
                <w:szCs w:val="20"/>
              </w:rPr>
            </w:pPr>
            <w:r w:rsidRPr="00F6205B">
              <w:rPr>
                <w:sz w:val="20"/>
                <w:szCs w:val="20"/>
              </w:rPr>
              <w:t>Oil or propane</w:t>
            </w:r>
          </w:p>
        </w:tc>
        <w:tc>
          <w:tcPr>
            <w:tcW w:w="1170" w:type="dxa"/>
            <w:vMerge w:val="restart"/>
            <w:tcBorders>
              <w:top w:val="single" w:sz="4" w:space="0" w:color="auto"/>
            </w:tcBorders>
            <w:vAlign w:val="center"/>
          </w:tcPr>
          <w:p w14:paraId="3BAC4F08" w14:textId="77777777" w:rsidR="0037589E" w:rsidRPr="00F6205B" w:rsidRDefault="0037589E" w:rsidP="0044249F">
            <w:pPr>
              <w:keepNext/>
              <w:keepLines/>
              <w:spacing w:after="0"/>
              <w:jc w:val="center"/>
              <w:rPr>
                <w:sz w:val="20"/>
                <w:szCs w:val="20"/>
              </w:rPr>
            </w:pPr>
            <w:r w:rsidRPr="00F6205B">
              <w:rPr>
                <w:sz w:val="20"/>
                <w:szCs w:val="20"/>
              </w:rPr>
              <w:t>Gas</w:t>
            </w:r>
          </w:p>
        </w:tc>
        <w:tc>
          <w:tcPr>
            <w:tcW w:w="1890" w:type="dxa"/>
            <w:tcBorders>
              <w:top w:val="single" w:sz="4" w:space="0" w:color="auto"/>
            </w:tcBorders>
            <w:vAlign w:val="center"/>
          </w:tcPr>
          <w:p w14:paraId="5C60BD32" w14:textId="77777777" w:rsidR="0037589E" w:rsidRPr="00F6205B" w:rsidRDefault="0037589E" w:rsidP="0044249F">
            <w:pPr>
              <w:keepNext/>
              <w:keepLines/>
              <w:spacing w:after="0"/>
              <w:jc w:val="center"/>
              <w:rPr>
                <w:sz w:val="20"/>
                <w:szCs w:val="20"/>
              </w:rPr>
            </w:pPr>
            <w:r w:rsidRPr="00F6205B">
              <w:rPr>
                <w:sz w:val="20"/>
                <w:szCs w:val="20"/>
              </w:rPr>
              <w:t>Oil or propane boiler</w:t>
            </w:r>
          </w:p>
        </w:tc>
        <w:tc>
          <w:tcPr>
            <w:tcW w:w="1890" w:type="dxa"/>
            <w:tcBorders>
              <w:top w:val="single" w:sz="4" w:space="0" w:color="auto"/>
            </w:tcBorders>
            <w:vAlign w:val="center"/>
          </w:tcPr>
          <w:p w14:paraId="06471876" w14:textId="77777777" w:rsidR="0037589E" w:rsidRPr="00F6205B" w:rsidRDefault="0037589E" w:rsidP="0044249F">
            <w:pPr>
              <w:keepNext/>
              <w:keepLines/>
              <w:spacing w:after="0"/>
              <w:jc w:val="center"/>
              <w:rPr>
                <w:sz w:val="20"/>
                <w:szCs w:val="20"/>
              </w:rPr>
            </w:pPr>
            <w:r w:rsidRPr="00F6205B">
              <w:rPr>
                <w:sz w:val="20"/>
                <w:szCs w:val="20"/>
              </w:rPr>
              <w:t>Gas boiler</w:t>
            </w:r>
          </w:p>
        </w:tc>
        <w:tc>
          <w:tcPr>
            <w:tcW w:w="1440" w:type="dxa"/>
            <w:vMerge w:val="restart"/>
            <w:tcBorders>
              <w:top w:val="single" w:sz="4" w:space="0" w:color="auto"/>
            </w:tcBorders>
            <w:vAlign w:val="center"/>
          </w:tcPr>
          <w:p w14:paraId="48288B70" w14:textId="2A03F0A5" w:rsidR="0037589E" w:rsidRPr="00F6205B" w:rsidRDefault="0037589E" w:rsidP="004B30CE">
            <w:pPr>
              <w:keepNext/>
              <w:keepLines/>
              <w:spacing w:after="0"/>
              <w:jc w:val="center"/>
              <w:rPr>
                <w:sz w:val="20"/>
                <w:szCs w:val="20"/>
              </w:rPr>
            </w:pPr>
            <w:r w:rsidRPr="00F6205B">
              <w:rPr>
                <w:sz w:val="20"/>
                <w:szCs w:val="20"/>
              </w:rPr>
              <w:t>Conven</w:t>
            </w:r>
            <w:r w:rsidR="004B30CE" w:rsidRPr="00F6205B">
              <w:rPr>
                <w:sz w:val="20"/>
                <w:szCs w:val="20"/>
              </w:rPr>
              <w:t>tional gas storage water heater</w:t>
            </w:r>
          </w:p>
        </w:tc>
        <w:tc>
          <w:tcPr>
            <w:tcW w:w="1530" w:type="dxa"/>
            <w:vMerge w:val="restart"/>
            <w:tcBorders>
              <w:top w:val="single" w:sz="4" w:space="0" w:color="auto"/>
              <w:right w:val="single" w:sz="4" w:space="0" w:color="auto"/>
            </w:tcBorders>
            <w:vAlign w:val="center"/>
          </w:tcPr>
          <w:p w14:paraId="250099C1" w14:textId="57BFC13E" w:rsidR="0037589E" w:rsidRPr="00F6205B" w:rsidRDefault="004B30CE" w:rsidP="004B30CE">
            <w:pPr>
              <w:keepNext/>
              <w:keepLines/>
              <w:spacing w:after="0"/>
              <w:jc w:val="center"/>
              <w:rPr>
                <w:sz w:val="20"/>
                <w:szCs w:val="20"/>
              </w:rPr>
            </w:pPr>
            <w:r w:rsidRPr="00F6205B">
              <w:rPr>
                <w:sz w:val="20"/>
                <w:szCs w:val="20"/>
              </w:rPr>
              <w:t>On-demand gas water heater</w:t>
            </w:r>
          </w:p>
        </w:tc>
      </w:tr>
      <w:tr w:rsidR="0037589E" w:rsidRPr="00F6205B" w14:paraId="6330E24D" w14:textId="77777777" w:rsidTr="004B30CE">
        <w:trPr>
          <w:trHeight w:val="224"/>
          <w:jc w:val="center"/>
        </w:trPr>
        <w:tc>
          <w:tcPr>
            <w:tcW w:w="997" w:type="dxa"/>
            <w:vMerge/>
            <w:tcBorders>
              <w:left w:val="single" w:sz="4" w:space="0" w:color="auto"/>
            </w:tcBorders>
            <w:vAlign w:val="center"/>
          </w:tcPr>
          <w:p w14:paraId="4E0F8218" w14:textId="77777777" w:rsidR="0037589E" w:rsidRPr="00F6205B" w:rsidRDefault="0037589E" w:rsidP="0044249F">
            <w:pPr>
              <w:keepNext/>
              <w:keepLines/>
              <w:spacing w:after="0"/>
              <w:rPr>
                <w:sz w:val="20"/>
                <w:szCs w:val="20"/>
              </w:rPr>
            </w:pPr>
          </w:p>
        </w:tc>
        <w:tc>
          <w:tcPr>
            <w:tcW w:w="585" w:type="dxa"/>
            <w:vMerge/>
            <w:vAlign w:val="center"/>
          </w:tcPr>
          <w:p w14:paraId="43FEAD28" w14:textId="77777777" w:rsidR="0037589E" w:rsidRPr="00F6205B" w:rsidRDefault="0037589E" w:rsidP="0044249F">
            <w:pPr>
              <w:keepNext/>
              <w:keepLines/>
              <w:spacing w:after="0"/>
              <w:jc w:val="center"/>
              <w:rPr>
                <w:sz w:val="20"/>
                <w:szCs w:val="20"/>
              </w:rPr>
            </w:pPr>
          </w:p>
        </w:tc>
        <w:tc>
          <w:tcPr>
            <w:tcW w:w="675" w:type="dxa"/>
            <w:vMerge/>
            <w:vAlign w:val="center"/>
          </w:tcPr>
          <w:p w14:paraId="1C45BA97" w14:textId="77777777" w:rsidR="0037589E" w:rsidRPr="00F6205B" w:rsidRDefault="0037589E" w:rsidP="0044249F">
            <w:pPr>
              <w:keepNext/>
              <w:keepLines/>
              <w:spacing w:after="0"/>
              <w:jc w:val="center"/>
              <w:rPr>
                <w:sz w:val="20"/>
                <w:szCs w:val="20"/>
              </w:rPr>
            </w:pPr>
          </w:p>
        </w:tc>
        <w:tc>
          <w:tcPr>
            <w:tcW w:w="1080" w:type="dxa"/>
            <w:vMerge/>
            <w:vAlign w:val="center"/>
          </w:tcPr>
          <w:p w14:paraId="3A13EB47" w14:textId="77777777" w:rsidR="0037589E" w:rsidRPr="00F6205B" w:rsidRDefault="0037589E" w:rsidP="0044249F">
            <w:pPr>
              <w:keepNext/>
              <w:keepLines/>
              <w:spacing w:after="0"/>
              <w:jc w:val="center"/>
              <w:rPr>
                <w:sz w:val="20"/>
                <w:szCs w:val="20"/>
              </w:rPr>
            </w:pPr>
          </w:p>
        </w:tc>
        <w:tc>
          <w:tcPr>
            <w:tcW w:w="1170" w:type="dxa"/>
            <w:vMerge/>
            <w:vAlign w:val="center"/>
          </w:tcPr>
          <w:p w14:paraId="2935D404" w14:textId="77777777" w:rsidR="0037589E" w:rsidRPr="00F6205B" w:rsidRDefault="0037589E" w:rsidP="0044249F">
            <w:pPr>
              <w:keepNext/>
              <w:keepLines/>
              <w:spacing w:after="0"/>
              <w:jc w:val="center"/>
              <w:rPr>
                <w:sz w:val="20"/>
                <w:szCs w:val="20"/>
              </w:rPr>
            </w:pPr>
          </w:p>
        </w:tc>
        <w:tc>
          <w:tcPr>
            <w:tcW w:w="1170" w:type="dxa"/>
            <w:vMerge/>
            <w:vAlign w:val="center"/>
          </w:tcPr>
          <w:p w14:paraId="11137366" w14:textId="77777777" w:rsidR="0037589E" w:rsidRPr="00F6205B" w:rsidRDefault="0037589E" w:rsidP="0044249F">
            <w:pPr>
              <w:keepNext/>
              <w:keepLines/>
              <w:spacing w:after="0"/>
              <w:jc w:val="center"/>
              <w:rPr>
                <w:sz w:val="20"/>
                <w:szCs w:val="20"/>
              </w:rPr>
            </w:pPr>
          </w:p>
        </w:tc>
        <w:tc>
          <w:tcPr>
            <w:tcW w:w="1890" w:type="dxa"/>
            <w:vAlign w:val="center"/>
          </w:tcPr>
          <w:p w14:paraId="323ED0A5" w14:textId="77777777" w:rsidR="0037589E" w:rsidRPr="00F6205B" w:rsidRDefault="0037589E" w:rsidP="0044249F">
            <w:pPr>
              <w:keepNext/>
              <w:keepLines/>
              <w:spacing w:after="0"/>
              <w:jc w:val="center"/>
              <w:rPr>
                <w:sz w:val="20"/>
                <w:szCs w:val="20"/>
              </w:rPr>
            </w:pPr>
            <w:r w:rsidRPr="00F6205B">
              <w:rPr>
                <w:sz w:val="20"/>
                <w:szCs w:val="20"/>
              </w:rPr>
              <w:t>Oil or propane furnace</w:t>
            </w:r>
          </w:p>
        </w:tc>
        <w:tc>
          <w:tcPr>
            <w:tcW w:w="1890" w:type="dxa"/>
            <w:vAlign w:val="center"/>
          </w:tcPr>
          <w:p w14:paraId="2ED71373" w14:textId="77777777" w:rsidR="0037589E" w:rsidRPr="00F6205B" w:rsidRDefault="0037589E" w:rsidP="0044249F">
            <w:pPr>
              <w:keepNext/>
              <w:keepLines/>
              <w:spacing w:after="0"/>
              <w:jc w:val="center"/>
              <w:rPr>
                <w:sz w:val="20"/>
                <w:szCs w:val="20"/>
              </w:rPr>
            </w:pPr>
            <w:r w:rsidRPr="00F6205B">
              <w:rPr>
                <w:sz w:val="20"/>
                <w:szCs w:val="20"/>
              </w:rPr>
              <w:t>Gas furnace</w:t>
            </w:r>
          </w:p>
        </w:tc>
        <w:tc>
          <w:tcPr>
            <w:tcW w:w="1440" w:type="dxa"/>
            <w:vMerge/>
            <w:vAlign w:val="center"/>
          </w:tcPr>
          <w:p w14:paraId="0C11DD86" w14:textId="77777777" w:rsidR="0037589E" w:rsidRPr="00F6205B" w:rsidRDefault="0037589E" w:rsidP="0044249F">
            <w:pPr>
              <w:keepNext/>
              <w:keepLines/>
              <w:spacing w:after="0"/>
              <w:jc w:val="center"/>
              <w:rPr>
                <w:sz w:val="20"/>
                <w:szCs w:val="20"/>
              </w:rPr>
            </w:pPr>
          </w:p>
        </w:tc>
        <w:tc>
          <w:tcPr>
            <w:tcW w:w="1530" w:type="dxa"/>
            <w:vMerge/>
            <w:tcBorders>
              <w:right w:val="single" w:sz="4" w:space="0" w:color="auto"/>
            </w:tcBorders>
            <w:vAlign w:val="center"/>
          </w:tcPr>
          <w:p w14:paraId="246C20BE" w14:textId="77777777" w:rsidR="0037589E" w:rsidRPr="00F6205B" w:rsidRDefault="0037589E" w:rsidP="0044249F">
            <w:pPr>
              <w:keepNext/>
              <w:keepLines/>
              <w:spacing w:after="0"/>
              <w:jc w:val="center"/>
              <w:rPr>
                <w:sz w:val="20"/>
                <w:szCs w:val="20"/>
              </w:rPr>
            </w:pPr>
          </w:p>
        </w:tc>
      </w:tr>
      <w:tr w:rsidR="0037589E" w:rsidRPr="00F6205B" w14:paraId="28CA112E" w14:textId="77777777" w:rsidTr="004B30CE">
        <w:trPr>
          <w:trHeight w:val="288"/>
          <w:jc w:val="center"/>
        </w:trPr>
        <w:tc>
          <w:tcPr>
            <w:tcW w:w="997" w:type="dxa"/>
            <w:vMerge w:val="restart"/>
            <w:tcBorders>
              <w:left w:val="single" w:sz="4" w:space="0" w:color="auto"/>
            </w:tcBorders>
            <w:shd w:val="clear" w:color="auto" w:fill="BFBFBF" w:themeFill="background1" w:themeFillShade="BF"/>
            <w:vAlign w:val="center"/>
          </w:tcPr>
          <w:p w14:paraId="65669689" w14:textId="77777777" w:rsidR="0037589E" w:rsidRPr="00F6205B" w:rsidRDefault="0037589E" w:rsidP="0044249F">
            <w:pPr>
              <w:keepNext/>
              <w:keepLines/>
              <w:spacing w:after="0"/>
              <w:rPr>
                <w:sz w:val="20"/>
                <w:szCs w:val="20"/>
              </w:rPr>
            </w:pPr>
            <w:r w:rsidRPr="00F6205B">
              <w:rPr>
                <w:sz w:val="20"/>
                <w:szCs w:val="20"/>
              </w:rPr>
              <w:t>Group B</w:t>
            </w:r>
          </w:p>
        </w:tc>
        <w:tc>
          <w:tcPr>
            <w:tcW w:w="585" w:type="dxa"/>
            <w:vMerge w:val="restart"/>
            <w:shd w:val="clear" w:color="auto" w:fill="BFBFBF" w:themeFill="background1" w:themeFillShade="BF"/>
            <w:vAlign w:val="center"/>
          </w:tcPr>
          <w:p w14:paraId="2BA9FB8F" w14:textId="77777777" w:rsidR="0037589E" w:rsidRPr="00F6205B" w:rsidRDefault="0037589E" w:rsidP="0044249F">
            <w:pPr>
              <w:keepNext/>
              <w:keepLines/>
              <w:spacing w:after="0"/>
              <w:jc w:val="center"/>
              <w:rPr>
                <w:sz w:val="20"/>
                <w:szCs w:val="20"/>
              </w:rPr>
            </w:pPr>
            <w:r w:rsidRPr="00F6205B">
              <w:rPr>
                <w:sz w:val="20"/>
                <w:szCs w:val="20"/>
              </w:rPr>
              <w:t>65</w:t>
            </w:r>
          </w:p>
        </w:tc>
        <w:tc>
          <w:tcPr>
            <w:tcW w:w="675" w:type="dxa"/>
            <w:vMerge w:val="restart"/>
            <w:shd w:val="clear" w:color="auto" w:fill="BFBFBF" w:themeFill="background1" w:themeFillShade="BF"/>
            <w:vAlign w:val="center"/>
          </w:tcPr>
          <w:p w14:paraId="3324651B" w14:textId="77777777" w:rsidR="0037589E" w:rsidRPr="00F6205B" w:rsidRDefault="0037589E" w:rsidP="0044249F">
            <w:pPr>
              <w:keepNext/>
              <w:keepLines/>
              <w:spacing w:after="0"/>
              <w:jc w:val="center"/>
              <w:rPr>
                <w:sz w:val="20"/>
                <w:szCs w:val="20"/>
              </w:rPr>
            </w:pPr>
            <w:r w:rsidRPr="00F6205B">
              <w:rPr>
                <w:sz w:val="20"/>
                <w:szCs w:val="20"/>
              </w:rPr>
              <w:t>36%</w:t>
            </w:r>
          </w:p>
        </w:tc>
        <w:tc>
          <w:tcPr>
            <w:tcW w:w="1080" w:type="dxa"/>
            <w:vMerge w:val="restart"/>
            <w:shd w:val="clear" w:color="auto" w:fill="BFBFBF" w:themeFill="background1" w:themeFillShade="BF"/>
            <w:vAlign w:val="center"/>
          </w:tcPr>
          <w:p w14:paraId="16479394" w14:textId="77777777" w:rsidR="0037589E" w:rsidRPr="00F6205B" w:rsidRDefault="0037589E" w:rsidP="0044249F">
            <w:pPr>
              <w:keepNext/>
              <w:keepLines/>
              <w:spacing w:after="0"/>
              <w:jc w:val="center"/>
              <w:rPr>
                <w:sz w:val="20"/>
                <w:szCs w:val="20"/>
              </w:rPr>
            </w:pPr>
            <w:r w:rsidRPr="00F6205B">
              <w:rPr>
                <w:sz w:val="20"/>
                <w:szCs w:val="20"/>
              </w:rPr>
              <w:t>Towns with gas service</w:t>
            </w:r>
          </w:p>
        </w:tc>
        <w:tc>
          <w:tcPr>
            <w:tcW w:w="1170" w:type="dxa"/>
            <w:vMerge w:val="restart"/>
            <w:shd w:val="clear" w:color="auto" w:fill="BFBFBF" w:themeFill="background1" w:themeFillShade="BF"/>
            <w:vAlign w:val="center"/>
          </w:tcPr>
          <w:p w14:paraId="52F55547" w14:textId="77777777" w:rsidR="0037589E" w:rsidRPr="00F6205B" w:rsidRDefault="0037589E" w:rsidP="0044249F">
            <w:pPr>
              <w:keepNext/>
              <w:keepLines/>
              <w:spacing w:after="0"/>
              <w:jc w:val="center"/>
              <w:rPr>
                <w:sz w:val="20"/>
                <w:szCs w:val="20"/>
              </w:rPr>
            </w:pPr>
            <w:r w:rsidRPr="00F6205B">
              <w:rPr>
                <w:sz w:val="20"/>
                <w:szCs w:val="20"/>
              </w:rPr>
              <w:t>Oil, propane, electricity, or biomass</w:t>
            </w:r>
          </w:p>
        </w:tc>
        <w:tc>
          <w:tcPr>
            <w:tcW w:w="1170" w:type="dxa"/>
            <w:vMerge w:val="restart"/>
            <w:shd w:val="clear" w:color="auto" w:fill="BFBFBF" w:themeFill="background1" w:themeFillShade="BF"/>
            <w:vAlign w:val="center"/>
          </w:tcPr>
          <w:p w14:paraId="28D56DB2" w14:textId="78C6538F" w:rsidR="0037589E" w:rsidRPr="00F6205B" w:rsidRDefault="00F24BD3" w:rsidP="0044249F">
            <w:pPr>
              <w:keepNext/>
              <w:keepLines/>
              <w:spacing w:after="0"/>
              <w:jc w:val="center"/>
              <w:rPr>
                <w:sz w:val="20"/>
                <w:szCs w:val="20"/>
              </w:rPr>
            </w:pPr>
            <w:r w:rsidRPr="00F6205B">
              <w:rPr>
                <w:sz w:val="20"/>
                <w:szCs w:val="20"/>
              </w:rPr>
              <w:t>Electric with existing system b</w:t>
            </w:r>
            <w:r w:rsidR="0037589E" w:rsidRPr="00F6205B">
              <w:rPr>
                <w:sz w:val="20"/>
                <w:szCs w:val="20"/>
              </w:rPr>
              <w:t>ackup</w:t>
            </w:r>
          </w:p>
        </w:tc>
        <w:tc>
          <w:tcPr>
            <w:tcW w:w="1890" w:type="dxa"/>
            <w:shd w:val="clear" w:color="auto" w:fill="BFBFBF" w:themeFill="background1" w:themeFillShade="BF"/>
            <w:vAlign w:val="center"/>
          </w:tcPr>
          <w:p w14:paraId="1EDE0488" w14:textId="77777777" w:rsidR="0037589E" w:rsidRPr="00F6205B" w:rsidRDefault="0037589E" w:rsidP="0044249F">
            <w:pPr>
              <w:keepNext/>
              <w:keepLines/>
              <w:spacing w:after="0"/>
              <w:jc w:val="center"/>
              <w:rPr>
                <w:sz w:val="20"/>
                <w:szCs w:val="20"/>
              </w:rPr>
            </w:pPr>
            <w:r w:rsidRPr="00F6205B">
              <w:rPr>
                <w:sz w:val="20"/>
                <w:szCs w:val="20"/>
              </w:rPr>
              <w:t>Oil, propane, or biomass boiler</w:t>
            </w:r>
          </w:p>
        </w:tc>
        <w:tc>
          <w:tcPr>
            <w:tcW w:w="1890" w:type="dxa"/>
            <w:shd w:val="clear" w:color="auto" w:fill="BFBFBF" w:themeFill="background1" w:themeFillShade="BF"/>
            <w:vAlign w:val="center"/>
          </w:tcPr>
          <w:p w14:paraId="46609818" w14:textId="77777777" w:rsidR="0037589E" w:rsidRPr="00F6205B" w:rsidRDefault="0037589E" w:rsidP="0044249F">
            <w:pPr>
              <w:keepNext/>
              <w:keepLines/>
              <w:spacing w:after="0"/>
              <w:jc w:val="center"/>
              <w:rPr>
                <w:sz w:val="20"/>
                <w:szCs w:val="20"/>
              </w:rPr>
            </w:pPr>
            <w:r w:rsidRPr="00F6205B">
              <w:rPr>
                <w:sz w:val="20"/>
                <w:szCs w:val="20"/>
              </w:rPr>
              <w:t>DHP* with existing boiler backup</w:t>
            </w:r>
          </w:p>
        </w:tc>
        <w:tc>
          <w:tcPr>
            <w:tcW w:w="1440" w:type="dxa"/>
            <w:vMerge w:val="restart"/>
            <w:shd w:val="clear" w:color="auto" w:fill="BFBFBF" w:themeFill="background1" w:themeFillShade="BF"/>
            <w:vAlign w:val="center"/>
          </w:tcPr>
          <w:p w14:paraId="02B79D86" w14:textId="77777777" w:rsidR="0037589E" w:rsidRPr="00F6205B" w:rsidRDefault="0037589E" w:rsidP="0044249F">
            <w:pPr>
              <w:keepNext/>
              <w:keepLines/>
              <w:spacing w:after="0"/>
              <w:jc w:val="center"/>
              <w:rPr>
                <w:sz w:val="20"/>
                <w:szCs w:val="20"/>
              </w:rPr>
            </w:pPr>
            <w:r w:rsidRPr="00F6205B">
              <w:rPr>
                <w:sz w:val="20"/>
                <w:szCs w:val="20"/>
              </w:rPr>
              <w:t>Existing water heater</w:t>
            </w:r>
          </w:p>
        </w:tc>
        <w:tc>
          <w:tcPr>
            <w:tcW w:w="1530" w:type="dxa"/>
            <w:vMerge w:val="restart"/>
            <w:tcBorders>
              <w:right w:val="single" w:sz="4" w:space="0" w:color="auto"/>
            </w:tcBorders>
            <w:shd w:val="clear" w:color="auto" w:fill="BFBFBF" w:themeFill="background1" w:themeFillShade="BF"/>
            <w:vAlign w:val="center"/>
          </w:tcPr>
          <w:p w14:paraId="5922D81F" w14:textId="77777777" w:rsidR="0037589E" w:rsidRPr="00F6205B" w:rsidRDefault="0037589E" w:rsidP="0044249F">
            <w:pPr>
              <w:keepNext/>
              <w:keepLines/>
              <w:spacing w:after="0"/>
              <w:jc w:val="center"/>
              <w:rPr>
                <w:sz w:val="20"/>
                <w:szCs w:val="20"/>
              </w:rPr>
            </w:pPr>
            <w:r w:rsidRPr="00F6205B">
              <w:rPr>
                <w:sz w:val="20"/>
                <w:szCs w:val="20"/>
              </w:rPr>
              <w:t>Heat pump water heater</w:t>
            </w:r>
          </w:p>
        </w:tc>
      </w:tr>
      <w:tr w:rsidR="0037589E" w:rsidRPr="00F6205B" w14:paraId="31B66F9B" w14:textId="77777777" w:rsidTr="004B30CE">
        <w:trPr>
          <w:trHeight w:val="288"/>
          <w:jc w:val="center"/>
        </w:trPr>
        <w:tc>
          <w:tcPr>
            <w:tcW w:w="997" w:type="dxa"/>
            <w:vMerge/>
            <w:tcBorders>
              <w:left w:val="single" w:sz="4" w:space="0" w:color="auto"/>
            </w:tcBorders>
            <w:shd w:val="clear" w:color="auto" w:fill="BFBFBF" w:themeFill="background1" w:themeFillShade="BF"/>
            <w:vAlign w:val="center"/>
          </w:tcPr>
          <w:p w14:paraId="6B01DC1D" w14:textId="77777777" w:rsidR="0037589E" w:rsidRPr="00F6205B" w:rsidRDefault="0037589E" w:rsidP="0044249F">
            <w:pPr>
              <w:keepNext/>
              <w:keepLines/>
              <w:spacing w:after="0"/>
              <w:rPr>
                <w:sz w:val="20"/>
                <w:szCs w:val="20"/>
              </w:rPr>
            </w:pPr>
          </w:p>
        </w:tc>
        <w:tc>
          <w:tcPr>
            <w:tcW w:w="585" w:type="dxa"/>
            <w:vMerge/>
            <w:shd w:val="clear" w:color="auto" w:fill="BFBFBF" w:themeFill="background1" w:themeFillShade="BF"/>
            <w:vAlign w:val="center"/>
          </w:tcPr>
          <w:p w14:paraId="41662C89" w14:textId="77777777" w:rsidR="0037589E" w:rsidRPr="00F6205B" w:rsidRDefault="0037589E" w:rsidP="0044249F">
            <w:pPr>
              <w:keepNext/>
              <w:keepLines/>
              <w:spacing w:after="0"/>
              <w:jc w:val="center"/>
              <w:rPr>
                <w:sz w:val="20"/>
                <w:szCs w:val="20"/>
              </w:rPr>
            </w:pPr>
          </w:p>
        </w:tc>
        <w:tc>
          <w:tcPr>
            <w:tcW w:w="675" w:type="dxa"/>
            <w:vMerge/>
            <w:shd w:val="clear" w:color="auto" w:fill="BFBFBF" w:themeFill="background1" w:themeFillShade="BF"/>
            <w:vAlign w:val="center"/>
          </w:tcPr>
          <w:p w14:paraId="07C7621C" w14:textId="77777777" w:rsidR="0037589E" w:rsidRPr="00F6205B" w:rsidRDefault="0037589E" w:rsidP="0044249F">
            <w:pPr>
              <w:keepNext/>
              <w:keepLines/>
              <w:spacing w:after="0"/>
              <w:jc w:val="center"/>
              <w:rPr>
                <w:sz w:val="20"/>
                <w:szCs w:val="20"/>
              </w:rPr>
            </w:pPr>
          </w:p>
        </w:tc>
        <w:tc>
          <w:tcPr>
            <w:tcW w:w="1080" w:type="dxa"/>
            <w:vMerge/>
            <w:shd w:val="clear" w:color="auto" w:fill="BFBFBF" w:themeFill="background1" w:themeFillShade="BF"/>
            <w:vAlign w:val="center"/>
          </w:tcPr>
          <w:p w14:paraId="070B7397" w14:textId="77777777" w:rsidR="0037589E" w:rsidRPr="00F6205B" w:rsidRDefault="0037589E" w:rsidP="0044249F">
            <w:pPr>
              <w:keepNext/>
              <w:keepLines/>
              <w:spacing w:after="0"/>
              <w:jc w:val="center"/>
              <w:rPr>
                <w:sz w:val="20"/>
                <w:szCs w:val="20"/>
              </w:rPr>
            </w:pPr>
          </w:p>
        </w:tc>
        <w:tc>
          <w:tcPr>
            <w:tcW w:w="1170" w:type="dxa"/>
            <w:vMerge/>
            <w:shd w:val="clear" w:color="auto" w:fill="BFBFBF" w:themeFill="background1" w:themeFillShade="BF"/>
            <w:vAlign w:val="center"/>
          </w:tcPr>
          <w:p w14:paraId="5D5E09CC" w14:textId="77777777" w:rsidR="0037589E" w:rsidRPr="00F6205B" w:rsidRDefault="0037589E" w:rsidP="0044249F">
            <w:pPr>
              <w:keepNext/>
              <w:keepLines/>
              <w:spacing w:after="0"/>
              <w:jc w:val="center"/>
              <w:rPr>
                <w:sz w:val="20"/>
                <w:szCs w:val="20"/>
              </w:rPr>
            </w:pPr>
          </w:p>
        </w:tc>
        <w:tc>
          <w:tcPr>
            <w:tcW w:w="1170" w:type="dxa"/>
            <w:vMerge/>
            <w:shd w:val="clear" w:color="auto" w:fill="BFBFBF" w:themeFill="background1" w:themeFillShade="BF"/>
            <w:vAlign w:val="center"/>
          </w:tcPr>
          <w:p w14:paraId="7BAABBCF" w14:textId="77777777" w:rsidR="0037589E" w:rsidRPr="00F6205B" w:rsidRDefault="0037589E" w:rsidP="0044249F">
            <w:pPr>
              <w:keepNext/>
              <w:keepLines/>
              <w:spacing w:after="0"/>
              <w:jc w:val="center"/>
              <w:rPr>
                <w:sz w:val="20"/>
                <w:szCs w:val="20"/>
              </w:rPr>
            </w:pPr>
          </w:p>
        </w:tc>
        <w:tc>
          <w:tcPr>
            <w:tcW w:w="1890" w:type="dxa"/>
            <w:shd w:val="clear" w:color="auto" w:fill="BFBFBF" w:themeFill="background1" w:themeFillShade="BF"/>
            <w:vAlign w:val="center"/>
          </w:tcPr>
          <w:p w14:paraId="5FF3F932" w14:textId="77777777" w:rsidR="0037589E" w:rsidRPr="00F6205B" w:rsidRDefault="0037589E" w:rsidP="0044249F">
            <w:pPr>
              <w:keepNext/>
              <w:keepLines/>
              <w:spacing w:after="0"/>
              <w:jc w:val="center"/>
              <w:rPr>
                <w:sz w:val="20"/>
                <w:szCs w:val="20"/>
              </w:rPr>
            </w:pPr>
            <w:r w:rsidRPr="00F6205B">
              <w:rPr>
                <w:sz w:val="20"/>
                <w:szCs w:val="20"/>
              </w:rPr>
              <w:t>Oil, propane, or biomass furnace</w:t>
            </w:r>
          </w:p>
        </w:tc>
        <w:tc>
          <w:tcPr>
            <w:tcW w:w="1890" w:type="dxa"/>
            <w:shd w:val="clear" w:color="auto" w:fill="BFBFBF" w:themeFill="background1" w:themeFillShade="BF"/>
            <w:vAlign w:val="center"/>
          </w:tcPr>
          <w:p w14:paraId="2DABDCE4" w14:textId="77777777" w:rsidR="0037589E" w:rsidRPr="00F6205B" w:rsidRDefault="0037589E" w:rsidP="0044249F">
            <w:pPr>
              <w:keepNext/>
              <w:keepLines/>
              <w:spacing w:after="0"/>
              <w:jc w:val="center"/>
              <w:rPr>
                <w:sz w:val="20"/>
                <w:szCs w:val="20"/>
              </w:rPr>
            </w:pPr>
            <w:r w:rsidRPr="00F6205B">
              <w:rPr>
                <w:sz w:val="20"/>
                <w:szCs w:val="20"/>
              </w:rPr>
              <w:t>DHP* with existing furnace backup</w:t>
            </w:r>
          </w:p>
        </w:tc>
        <w:tc>
          <w:tcPr>
            <w:tcW w:w="1440" w:type="dxa"/>
            <w:vMerge/>
            <w:shd w:val="clear" w:color="auto" w:fill="BFBFBF" w:themeFill="background1" w:themeFillShade="BF"/>
            <w:vAlign w:val="center"/>
          </w:tcPr>
          <w:p w14:paraId="3545D59E" w14:textId="77777777" w:rsidR="0037589E" w:rsidRPr="00F6205B" w:rsidRDefault="0037589E" w:rsidP="0044249F">
            <w:pPr>
              <w:keepNext/>
              <w:keepLines/>
              <w:spacing w:after="0"/>
              <w:jc w:val="center"/>
              <w:rPr>
                <w:sz w:val="20"/>
                <w:szCs w:val="20"/>
              </w:rPr>
            </w:pPr>
          </w:p>
        </w:tc>
        <w:tc>
          <w:tcPr>
            <w:tcW w:w="1530" w:type="dxa"/>
            <w:vMerge/>
            <w:tcBorders>
              <w:right w:val="single" w:sz="4" w:space="0" w:color="auto"/>
            </w:tcBorders>
            <w:shd w:val="clear" w:color="auto" w:fill="BFBFBF" w:themeFill="background1" w:themeFillShade="BF"/>
            <w:vAlign w:val="center"/>
          </w:tcPr>
          <w:p w14:paraId="5320F07B" w14:textId="77777777" w:rsidR="0037589E" w:rsidRPr="00F6205B" w:rsidRDefault="0037589E" w:rsidP="0044249F">
            <w:pPr>
              <w:keepNext/>
              <w:keepLines/>
              <w:spacing w:after="0"/>
              <w:jc w:val="center"/>
              <w:rPr>
                <w:sz w:val="20"/>
                <w:szCs w:val="20"/>
              </w:rPr>
            </w:pPr>
          </w:p>
        </w:tc>
      </w:tr>
      <w:tr w:rsidR="0037589E" w:rsidRPr="00F6205B" w14:paraId="27702747" w14:textId="77777777" w:rsidTr="004B30CE">
        <w:trPr>
          <w:trHeight w:val="288"/>
          <w:jc w:val="center"/>
        </w:trPr>
        <w:tc>
          <w:tcPr>
            <w:tcW w:w="997" w:type="dxa"/>
            <w:vMerge/>
            <w:tcBorders>
              <w:left w:val="single" w:sz="4" w:space="0" w:color="auto"/>
            </w:tcBorders>
            <w:shd w:val="clear" w:color="auto" w:fill="BFBFBF" w:themeFill="background1" w:themeFillShade="BF"/>
            <w:vAlign w:val="center"/>
          </w:tcPr>
          <w:p w14:paraId="3EE46DBE" w14:textId="77777777" w:rsidR="0037589E" w:rsidRPr="00F6205B" w:rsidRDefault="0037589E" w:rsidP="0044249F">
            <w:pPr>
              <w:keepNext/>
              <w:keepLines/>
              <w:spacing w:after="0"/>
              <w:rPr>
                <w:sz w:val="20"/>
                <w:szCs w:val="20"/>
              </w:rPr>
            </w:pPr>
          </w:p>
        </w:tc>
        <w:tc>
          <w:tcPr>
            <w:tcW w:w="585" w:type="dxa"/>
            <w:vMerge/>
            <w:shd w:val="clear" w:color="auto" w:fill="BFBFBF" w:themeFill="background1" w:themeFillShade="BF"/>
            <w:vAlign w:val="center"/>
          </w:tcPr>
          <w:p w14:paraId="5C52E318" w14:textId="77777777" w:rsidR="0037589E" w:rsidRPr="00F6205B" w:rsidRDefault="0037589E" w:rsidP="0044249F">
            <w:pPr>
              <w:keepNext/>
              <w:keepLines/>
              <w:spacing w:after="0"/>
              <w:jc w:val="center"/>
              <w:rPr>
                <w:sz w:val="20"/>
                <w:szCs w:val="20"/>
              </w:rPr>
            </w:pPr>
          </w:p>
        </w:tc>
        <w:tc>
          <w:tcPr>
            <w:tcW w:w="675" w:type="dxa"/>
            <w:vMerge/>
            <w:shd w:val="clear" w:color="auto" w:fill="BFBFBF" w:themeFill="background1" w:themeFillShade="BF"/>
            <w:vAlign w:val="center"/>
          </w:tcPr>
          <w:p w14:paraId="72DEFE16" w14:textId="77777777" w:rsidR="0037589E" w:rsidRPr="00F6205B" w:rsidRDefault="0037589E" w:rsidP="0044249F">
            <w:pPr>
              <w:keepNext/>
              <w:keepLines/>
              <w:spacing w:after="0"/>
              <w:jc w:val="center"/>
              <w:rPr>
                <w:sz w:val="20"/>
                <w:szCs w:val="20"/>
              </w:rPr>
            </w:pPr>
          </w:p>
        </w:tc>
        <w:tc>
          <w:tcPr>
            <w:tcW w:w="1080" w:type="dxa"/>
            <w:vMerge/>
            <w:shd w:val="clear" w:color="auto" w:fill="BFBFBF" w:themeFill="background1" w:themeFillShade="BF"/>
            <w:vAlign w:val="center"/>
          </w:tcPr>
          <w:p w14:paraId="6FC6812F" w14:textId="77777777" w:rsidR="0037589E" w:rsidRPr="00F6205B" w:rsidRDefault="0037589E" w:rsidP="0044249F">
            <w:pPr>
              <w:keepNext/>
              <w:keepLines/>
              <w:spacing w:after="0"/>
              <w:jc w:val="center"/>
              <w:rPr>
                <w:sz w:val="20"/>
                <w:szCs w:val="20"/>
              </w:rPr>
            </w:pPr>
          </w:p>
        </w:tc>
        <w:tc>
          <w:tcPr>
            <w:tcW w:w="1170" w:type="dxa"/>
            <w:vMerge/>
            <w:shd w:val="clear" w:color="auto" w:fill="BFBFBF" w:themeFill="background1" w:themeFillShade="BF"/>
            <w:vAlign w:val="center"/>
          </w:tcPr>
          <w:p w14:paraId="2D56D732" w14:textId="77777777" w:rsidR="0037589E" w:rsidRPr="00F6205B" w:rsidRDefault="0037589E" w:rsidP="0044249F">
            <w:pPr>
              <w:keepNext/>
              <w:keepLines/>
              <w:spacing w:after="0"/>
              <w:jc w:val="center"/>
              <w:rPr>
                <w:sz w:val="20"/>
                <w:szCs w:val="20"/>
              </w:rPr>
            </w:pPr>
          </w:p>
        </w:tc>
        <w:tc>
          <w:tcPr>
            <w:tcW w:w="1170" w:type="dxa"/>
            <w:vMerge/>
            <w:shd w:val="clear" w:color="auto" w:fill="BFBFBF" w:themeFill="background1" w:themeFillShade="BF"/>
            <w:vAlign w:val="center"/>
          </w:tcPr>
          <w:p w14:paraId="778A5B06" w14:textId="77777777" w:rsidR="0037589E" w:rsidRPr="00F6205B" w:rsidRDefault="0037589E" w:rsidP="0044249F">
            <w:pPr>
              <w:keepNext/>
              <w:keepLines/>
              <w:spacing w:after="0"/>
              <w:jc w:val="center"/>
              <w:rPr>
                <w:sz w:val="20"/>
                <w:szCs w:val="20"/>
              </w:rPr>
            </w:pPr>
          </w:p>
        </w:tc>
        <w:tc>
          <w:tcPr>
            <w:tcW w:w="1890" w:type="dxa"/>
            <w:shd w:val="clear" w:color="auto" w:fill="BFBFBF" w:themeFill="background1" w:themeFillShade="BF"/>
            <w:vAlign w:val="center"/>
          </w:tcPr>
          <w:p w14:paraId="11D2E86C" w14:textId="77777777" w:rsidR="0037589E" w:rsidRPr="00F6205B" w:rsidRDefault="0037589E" w:rsidP="0044249F">
            <w:pPr>
              <w:keepNext/>
              <w:keepLines/>
              <w:spacing w:after="0"/>
              <w:jc w:val="center"/>
              <w:rPr>
                <w:sz w:val="20"/>
                <w:szCs w:val="20"/>
              </w:rPr>
            </w:pPr>
            <w:r w:rsidRPr="00F6205B">
              <w:rPr>
                <w:sz w:val="20"/>
                <w:szCs w:val="20"/>
              </w:rPr>
              <w:t>Electric resistance</w:t>
            </w:r>
          </w:p>
        </w:tc>
        <w:tc>
          <w:tcPr>
            <w:tcW w:w="1890" w:type="dxa"/>
            <w:shd w:val="clear" w:color="auto" w:fill="BFBFBF" w:themeFill="background1" w:themeFillShade="BF"/>
            <w:vAlign w:val="center"/>
          </w:tcPr>
          <w:p w14:paraId="632B38CB" w14:textId="77777777" w:rsidR="0037589E" w:rsidRPr="00F6205B" w:rsidRDefault="0037589E" w:rsidP="0044249F">
            <w:pPr>
              <w:keepNext/>
              <w:keepLines/>
              <w:spacing w:after="0"/>
              <w:jc w:val="center"/>
              <w:rPr>
                <w:sz w:val="20"/>
                <w:szCs w:val="20"/>
              </w:rPr>
            </w:pPr>
            <w:r w:rsidRPr="00F6205B">
              <w:rPr>
                <w:sz w:val="20"/>
                <w:szCs w:val="20"/>
              </w:rPr>
              <w:t>DHP* with electric resistance backup</w:t>
            </w:r>
          </w:p>
        </w:tc>
        <w:tc>
          <w:tcPr>
            <w:tcW w:w="1440" w:type="dxa"/>
            <w:vMerge/>
            <w:shd w:val="clear" w:color="auto" w:fill="BFBFBF" w:themeFill="background1" w:themeFillShade="BF"/>
            <w:vAlign w:val="center"/>
          </w:tcPr>
          <w:p w14:paraId="0C2EC17B" w14:textId="77777777" w:rsidR="0037589E" w:rsidRPr="00F6205B" w:rsidRDefault="0037589E" w:rsidP="0044249F">
            <w:pPr>
              <w:keepNext/>
              <w:keepLines/>
              <w:spacing w:after="0"/>
              <w:jc w:val="center"/>
              <w:rPr>
                <w:sz w:val="20"/>
                <w:szCs w:val="20"/>
              </w:rPr>
            </w:pPr>
          </w:p>
        </w:tc>
        <w:tc>
          <w:tcPr>
            <w:tcW w:w="1530" w:type="dxa"/>
            <w:vMerge/>
            <w:tcBorders>
              <w:right w:val="single" w:sz="4" w:space="0" w:color="auto"/>
            </w:tcBorders>
            <w:shd w:val="clear" w:color="auto" w:fill="BFBFBF" w:themeFill="background1" w:themeFillShade="BF"/>
            <w:vAlign w:val="center"/>
          </w:tcPr>
          <w:p w14:paraId="78C13737" w14:textId="77777777" w:rsidR="0037589E" w:rsidRPr="00F6205B" w:rsidRDefault="0037589E" w:rsidP="0044249F">
            <w:pPr>
              <w:keepNext/>
              <w:keepLines/>
              <w:spacing w:after="0"/>
              <w:jc w:val="center"/>
              <w:rPr>
                <w:sz w:val="20"/>
                <w:szCs w:val="20"/>
              </w:rPr>
            </w:pPr>
          </w:p>
        </w:tc>
      </w:tr>
      <w:tr w:rsidR="0037589E" w:rsidRPr="00F6205B" w14:paraId="1F8563CC" w14:textId="77777777" w:rsidTr="004B30CE">
        <w:trPr>
          <w:trHeight w:hRule="exact" w:val="505"/>
          <w:jc w:val="center"/>
        </w:trPr>
        <w:tc>
          <w:tcPr>
            <w:tcW w:w="997" w:type="dxa"/>
            <w:vMerge w:val="restart"/>
            <w:tcBorders>
              <w:left w:val="single" w:sz="4" w:space="0" w:color="auto"/>
            </w:tcBorders>
            <w:vAlign w:val="center"/>
          </w:tcPr>
          <w:p w14:paraId="149F90A8" w14:textId="77777777" w:rsidR="0037589E" w:rsidRPr="00F6205B" w:rsidRDefault="0037589E" w:rsidP="0044249F">
            <w:pPr>
              <w:keepNext/>
              <w:keepLines/>
              <w:spacing w:after="0"/>
              <w:rPr>
                <w:sz w:val="20"/>
                <w:szCs w:val="20"/>
              </w:rPr>
            </w:pPr>
            <w:r w:rsidRPr="00F6205B">
              <w:rPr>
                <w:sz w:val="20"/>
                <w:szCs w:val="20"/>
              </w:rPr>
              <w:t>Group C</w:t>
            </w:r>
          </w:p>
        </w:tc>
        <w:tc>
          <w:tcPr>
            <w:tcW w:w="585" w:type="dxa"/>
            <w:vMerge w:val="restart"/>
            <w:vAlign w:val="center"/>
          </w:tcPr>
          <w:p w14:paraId="487D49E8" w14:textId="77777777" w:rsidR="0037589E" w:rsidRPr="00F6205B" w:rsidRDefault="0037589E" w:rsidP="0044249F">
            <w:pPr>
              <w:keepNext/>
              <w:keepLines/>
              <w:spacing w:after="0"/>
              <w:jc w:val="center"/>
              <w:rPr>
                <w:sz w:val="20"/>
                <w:szCs w:val="20"/>
              </w:rPr>
            </w:pPr>
            <w:r w:rsidRPr="00F6205B">
              <w:rPr>
                <w:sz w:val="20"/>
                <w:szCs w:val="20"/>
              </w:rPr>
              <w:t>20</w:t>
            </w:r>
          </w:p>
        </w:tc>
        <w:tc>
          <w:tcPr>
            <w:tcW w:w="675" w:type="dxa"/>
            <w:vMerge w:val="restart"/>
            <w:vAlign w:val="center"/>
          </w:tcPr>
          <w:p w14:paraId="09893110" w14:textId="77777777" w:rsidR="0037589E" w:rsidRPr="00F6205B" w:rsidRDefault="0037589E" w:rsidP="0044249F">
            <w:pPr>
              <w:keepNext/>
              <w:keepLines/>
              <w:spacing w:after="0"/>
              <w:jc w:val="center"/>
              <w:rPr>
                <w:sz w:val="20"/>
                <w:szCs w:val="20"/>
              </w:rPr>
            </w:pPr>
            <w:r w:rsidRPr="00F6205B">
              <w:rPr>
                <w:sz w:val="20"/>
                <w:szCs w:val="20"/>
              </w:rPr>
              <w:t>11%</w:t>
            </w:r>
          </w:p>
        </w:tc>
        <w:tc>
          <w:tcPr>
            <w:tcW w:w="1080" w:type="dxa"/>
            <w:vMerge w:val="restart"/>
            <w:vAlign w:val="center"/>
          </w:tcPr>
          <w:p w14:paraId="6F2BD5E0" w14:textId="77777777" w:rsidR="0037589E" w:rsidRPr="00F6205B" w:rsidRDefault="0037589E" w:rsidP="0044249F">
            <w:pPr>
              <w:keepNext/>
              <w:keepLines/>
              <w:spacing w:after="0"/>
              <w:jc w:val="center"/>
              <w:rPr>
                <w:sz w:val="20"/>
                <w:szCs w:val="20"/>
              </w:rPr>
            </w:pPr>
            <w:r w:rsidRPr="00F6205B">
              <w:rPr>
                <w:sz w:val="20"/>
                <w:szCs w:val="20"/>
              </w:rPr>
              <w:t>Towns with no gas service</w:t>
            </w:r>
          </w:p>
        </w:tc>
        <w:tc>
          <w:tcPr>
            <w:tcW w:w="1170" w:type="dxa"/>
            <w:vMerge w:val="restart"/>
            <w:vAlign w:val="center"/>
          </w:tcPr>
          <w:p w14:paraId="7FB8F2E0" w14:textId="77777777" w:rsidR="0037589E" w:rsidRPr="00F6205B" w:rsidRDefault="0037589E" w:rsidP="0044249F">
            <w:pPr>
              <w:keepNext/>
              <w:keepLines/>
              <w:spacing w:after="0"/>
              <w:jc w:val="center"/>
              <w:rPr>
                <w:sz w:val="20"/>
                <w:szCs w:val="20"/>
              </w:rPr>
            </w:pPr>
            <w:r w:rsidRPr="00F6205B">
              <w:rPr>
                <w:sz w:val="20"/>
                <w:szCs w:val="20"/>
              </w:rPr>
              <w:t>Oil, propane, electricity, or biomass</w:t>
            </w:r>
          </w:p>
        </w:tc>
        <w:tc>
          <w:tcPr>
            <w:tcW w:w="1170" w:type="dxa"/>
            <w:vMerge w:val="restart"/>
            <w:vAlign w:val="center"/>
          </w:tcPr>
          <w:p w14:paraId="754A68FE" w14:textId="74AD3794" w:rsidR="0037589E" w:rsidRPr="00F6205B" w:rsidRDefault="00F24BD3" w:rsidP="00F24BD3">
            <w:pPr>
              <w:keepNext/>
              <w:keepLines/>
              <w:spacing w:after="0"/>
              <w:jc w:val="center"/>
              <w:rPr>
                <w:sz w:val="20"/>
                <w:szCs w:val="20"/>
              </w:rPr>
            </w:pPr>
            <w:r w:rsidRPr="00F6205B">
              <w:rPr>
                <w:sz w:val="20"/>
                <w:szCs w:val="20"/>
              </w:rPr>
              <w:t>Electric with e</w:t>
            </w:r>
            <w:r w:rsidR="0037589E" w:rsidRPr="00F6205B">
              <w:rPr>
                <w:sz w:val="20"/>
                <w:szCs w:val="20"/>
              </w:rPr>
              <w:t xml:space="preserve">xisting </w:t>
            </w:r>
            <w:r w:rsidRPr="00F6205B">
              <w:rPr>
                <w:sz w:val="20"/>
                <w:szCs w:val="20"/>
              </w:rPr>
              <w:t>system b</w:t>
            </w:r>
            <w:r w:rsidR="0037589E" w:rsidRPr="00F6205B">
              <w:rPr>
                <w:sz w:val="20"/>
                <w:szCs w:val="20"/>
              </w:rPr>
              <w:t>ackup</w:t>
            </w:r>
          </w:p>
        </w:tc>
        <w:tc>
          <w:tcPr>
            <w:tcW w:w="1890" w:type="dxa"/>
            <w:vAlign w:val="center"/>
          </w:tcPr>
          <w:p w14:paraId="42AACE96" w14:textId="77777777" w:rsidR="0037589E" w:rsidRPr="00F6205B" w:rsidRDefault="0037589E" w:rsidP="0044249F">
            <w:pPr>
              <w:keepNext/>
              <w:keepLines/>
              <w:spacing w:after="0"/>
              <w:jc w:val="center"/>
              <w:rPr>
                <w:sz w:val="20"/>
                <w:szCs w:val="20"/>
              </w:rPr>
            </w:pPr>
            <w:r w:rsidRPr="00F6205B">
              <w:rPr>
                <w:sz w:val="20"/>
                <w:szCs w:val="20"/>
              </w:rPr>
              <w:t>Oil, propane, or biomass boiler</w:t>
            </w:r>
          </w:p>
        </w:tc>
        <w:tc>
          <w:tcPr>
            <w:tcW w:w="1890" w:type="dxa"/>
            <w:vAlign w:val="center"/>
          </w:tcPr>
          <w:p w14:paraId="2DC42324" w14:textId="77777777" w:rsidR="0037589E" w:rsidRPr="00F6205B" w:rsidRDefault="0037589E" w:rsidP="0044249F">
            <w:pPr>
              <w:keepNext/>
              <w:keepLines/>
              <w:spacing w:after="0"/>
              <w:jc w:val="center"/>
              <w:rPr>
                <w:sz w:val="20"/>
                <w:szCs w:val="20"/>
              </w:rPr>
            </w:pPr>
            <w:r w:rsidRPr="00F6205B">
              <w:rPr>
                <w:sz w:val="20"/>
                <w:szCs w:val="20"/>
              </w:rPr>
              <w:t>DHP* with existing boiler backup</w:t>
            </w:r>
          </w:p>
        </w:tc>
        <w:tc>
          <w:tcPr>
            <w:tcW w:w="1440" w:type="dxa"/>
            <w:vMerge w:val="restart"/>
            <w:vAlign w:val="center"/>
          </w:tcPr>
          <w:p w14:paraId="5884DCF7" w14:textId="77777777" w:rsidR="0037589E" w:rsidRPr="00F6205B" w:rsidRDefault="0037589E" w:rsidP="0044249F">
            <w:pPr>
              <w:keepNext/>
              <w:keepLines/>
              <w:spacing w:after="0"/>
              <w:jc w:val="center"/>
              <w:rPr>
                <w:sz w:val="20"/>
                <w:szCs w:val="20"/>
              </w:rPr>
            </w:pPr>
            <w:r w:rsidRPr="00F6205B">
              <w:rPr>
                <w:sz w:val="20"/>
                <w:szCs w:val="20"/>
              </w:rPr>
              <w:t>Existing water heater</w:t>
            </w:r>
          </w:p>
        </w:tc>
        <w:tc>
          <w:tcPr>
            <w:tcW w:w="1530" w:type="dxa"/>
            <w:vMerge w:val="restart"/>
            <w:tcBorders>
              <w:right w:val="single" w:sz="4" w:space="0" w:color="auto"/>
            </w:tcBorders>
            <w:vAlign w:val="center"/>
          </w:tcPr>
          <w:p w14:paraId="7C1DD51B" w14:textId="77777777" w:rsidR="0037589E" w:rsidRPr="00F6205B" w:rsidRDefault="0037589E" w:rsidP="0044249F">
            <w:pPr>
              <w:keepNext/>
              <w:keepLines/>
              <w:spacing w:after="0"/>
              <w:jc w:val="center"/>
              <w:rPr>
                <w:sz w:val="20"/>
                <w:szCs w:val="20"/>
              </w:rPr>
            </w:pPr>
            <w:r w:rsidRPr="00F6205B">
              <w:rPr>
                <w:sz w:val="20"/>
                <w:szCs w:val="20"/>
              </w:rPr>
              <w:t>Heat pump water heater</w:t>
            </w:r>
          </w:p>
        </w:tc>
      </w:tr>
      <w:tr w:rsidR="0037589E" w:rsidRPr="00F6205B" w14:paraId="4F54192A" w14:textId="77777777" w:rsidTr="004B30CE">
        <w:trPr>
          <w:trHeight w:hRule="exact" w:val="532"/>
          <w:jc w:val="center"/>
        </w:trPr>
        <w:tc>
          <w:tcPr>
            <w:tcW w:w="997" w:type="dxa"/>
            <w:vMerge/>
            <w:tcBorders>
              <w:left w:val="single" w:sz="4" w:space="0" w:color="auto"/>
            </w:tcBorders>
            <w:vAlign w:val="center"/>
          </w:tcPr>
          <w:p w14:paraId="5B524DAB" w14:textId="77777777" w:rsidR="0037589E" w:rsidRPr="00F6205B" w:rsidRDefault="0037589E" w:rsidP="0044249F">
            <w:pPr>
              <w:keepNext/>
              <w:keepLines/>
              <w:spacing w:after="0"/>
              <w:rPr>
                <w:sz w:val="20"/>
                <w:szCs w:val="20"/>
              </w:rPr>
            </w:pPr>
          </w:p>
        </w:tc>
        <w:tc>
          <w:tcPr>
            <w:tcW w:w="585" w:type="dxa"/>
            <w:vMerge/>
            <w:vAlign w:val="center"/>
          </w:tcPr>
          <w:p w14:paraId="7F7A7AAD" w14:textId="77777777" w:rsidR="0037589E" w:rsidRPr="00F6205B" w:rsidRDefault="0037589E" w:rsidP="0044249F">
            <w:pPr>
              <w:keepNext/>
              <w:keepLines/>
              <w:spacing w:after="0"/>
              <w:jc w:val="center"/>
              <w:rPr>
                <w:sz w:val="20"/>
                <w:szCs w:val="20"/>
              </w:rPr>
            </w:pPr>
          </w:p>
        </w:tc>
        <w:tc>
          <w:tcPr>
            <w:tcW w:w="675" w:type="dxa"/>
            <w:vMerge/>
            <w:vAlign w:val="center"/>
          </w:tcPr>
          <w:p w14:paraId="18C12BB9" w14:textId="77777777" w:rsidR="0037589E" w:rsidRPr="00F6205B" w:rsidRDefault="0037589E" w:rsidP="0044249F">
            <w:pPr>
              <w:keepNext/>
              <w:keepLines/>
              <w:spacing w:after="0"/>
              <w:jc w:val="center"/>
              <w:rPr>
                <w:sz w:val="20"/>
                <w:szCs w:val="20"/>
              </w:rPr>
            </w:pPr>
          </w:p>
        </w:tc>
        <w:tc>
          <w:tcPr>
            <w:tcW w:w="1080" w:type="dxa"/>
            <w:vMerge/>
            <w:vAlign w:val="center"/>
          </w:tcPr>
          <w:p w14:paraId="45B708D6" w14:textId="77777777" w:rsidR="0037589E" w:rsidRPr="00F6205B" w:rsidRDefault="0037589E" w:rsidP="0044249F">
            <w:pPr>
              <w:keepNext/>
              <w:keepLines/>
              <w:spacing w:after="0"/>
              <w:jc w:val="center"/>
              <w:rPr>
                <w:sz w:val="20"/>
                <w:szCs w:val="20"/>
              </w:rPr>
            </w:pPr>
          </w:p>
        </w:tc>
        <w:tc>
          <w:tcPr>
            <w:tcW w:w="1170" w:type="dxa"/>
            <w:vMerge/>
            <w:vAlign w:val="center"/>
          </w:tcPr>
          <w:p w14:paraId="19DACF2A" w14:textId="77777777" w:rsidR="0037589E" w:rsidRPr="00F6205B" w:rsidRDefault="0037589E" w:rsidP="0044249F">
            <w:pPr>
              <w:keepNext/>
              <w:keepLines/>
              <w:spacing w:after="0"/>
              <w:jc w:val="center"/>
              <w:rPr>
                <w:sz w:val="20"/>
                <w:szCs w:val="20"/>
              </w:rPr>
            </w:pPr>
          </w:p>
        </w:tc>
        <w:tc>
          <w:tcPr>
            <w:tcW w:w="1170" w:type="dxa"/>
            <w:vMerge/>
            <w:vAlign w:val="center"/>
          </w:tcPr>
          <w:p w14:paraId="7A4A346E" w14:textId="77777777" w:rsidR="0037589E" w:rsidRPr="00F6205B" w:rsidRDefault="0037589E" w:rsidP="0044249F">
            <w:pPr>
              <w:keepNext/>
              <w:keepLines/>
              <w:spacing w:after="0"/>
              <w:jc w:val="center"/>
              <w:rPr>
                <w:sz w:val="20"/>
                <w:szCs w:val="20"/>
              </w:rPr>
            </w:pPr>
          </w:p>
        </w:tc>
        <w:tc>
          <w:tcPr>
            <w:tcW w:w="1890" w:type="dxa"/>
            <w:vAlign w:val="center"/>
          </w:tcPr>
          <w:p w14:paraId="0BCA4651" w14:textId="77777777" w:rsidR="0037589E" w:rsidRPr="00F6205B" w:rsidRDefault="0037589E" w:rsidP="0044249F">
            <w:pPr>
              <w:keepNext/>
              <w:keepLines/>
              <w:spacing w:after="0"/>
              <w:jc w:val="center"/>
              <w:rPr>
                <w:sz w:val="20"/>
                <w:szCs w:val="20"/>
              </w:rPr>
            </w:pPr>
            <w:r w:rsidRPr="00F6205B">
              <w:rPr>
                <w:sz w:val="20"/>
                <w:szCs w:val="20"/>
              </w:rPr>
              <w:t>Oil, propane, or biomass furnace</w:t>
            </w:r>
          </w:p>
        </w:tc>
        <w:tc>
          <w:tcPr>
            <w:tcW w:w="1890" w:type="dxa"/>
            <w:vAlign w:val="center"/>
          </w:tcPr>
          <w:p w14:paraId="69F849B2" w14:textId="77777777" w:rsidR="0037589E" w:rsidRPr="00F6205B" w:rsidRDefault="0037589E" w:rsidP="0044249F">
            <w:pPr>
              <w:keepNext/>
              <w:keepLines/>
              <w:spacing w:after="0"/>
              <w:jc w:val="center"/>
              <w:rPr>
                <w:sz w:val="20"/>
                <w:szCs w:val="20"/>
              </w:rPr>
            </w:pPr>
            <w:r w:rsidRPr="00F6205B">
              <w:rPr>
                <w:sz w:val="20"/>
                <w:szCs w:val="20"/>
              </w:rPr>
              <w:t>DHP* with existing furnace backup</w:t>
            </w:r>
          </w:p>
        </w:tc>
        <w:tc>
          <w:tcPr>
            <w:tcW w:w="1440" w:type="dxa"/>
            <w:vMerge/>
            <w:vAlign w:val="center"/>
          </w:tcPr>
          <w:p w14:paraId="75301B4F" w14:textId="77777777" w:rsidR="0037589E" w:rsidRPr="00F6205B" w:rsidRDefault="0037589E" w:rsidP="0044249F">
            <w:pPr>
              <w:keepNext/>
              <w:keepLines/>
              <w:spacing w:after="0"/>
              <w:jc w:val="center"/>
              <w:rPr>
                <w:sz w:val="20"/>
                <w:szCs w:val="20"/>
              </w:rPr>
            </w:pPr>
          </w:p>
        </w:tc>
        <w:tc>
          <w:tcPr>
            <w:tcW w:w="1530" w:type="dxa"/>
            <w:vMerge/>
            <w:tcBorders>
              <w:right w:val="single" w:sz="4" w:space="0" w:color="auto"/>
            </w:tcBorders>
            <w:vAlign w:val="center"/>
          </w:tcPr>
          <w:p w14:paraId="5194AA3F" w14:textId="77777777" w:rsidR="0037589E" w:rsidRPr="00F6205B" w:rsidRDefault="0037589E" w:rsidP="0044249F">
            <w:pPr>
              <w:keepNext/>
              <w:keepLines/>
              <w:spacing w:after="0"/>
              <w:jc w:val="center"/>
              <w:rPr>
                <w:sz w:val="20"/>
                <w:szCs w:val="20"/>
              </w:rPr>
            </w:pPr>
          </w:p>
        </w:tc>
      </w:tr>
      <w:tr w:rsidR="0037589E" w:rsidRPr="00F6205B" w14:paraId="1FC712E7" w14:textId="77777777" w:rsidTr="004B30CE">
        <w:trPr>
          <w:trHeight w:hRule="exact" w:val="532"/>
          <w:jc w:val="center"/>
        </w:trPr>
        <w:tc>
          <w:tcPr>
            <w:tcW w:w="997" w:type="dxa"/>
            <w:vMerge/>
            <w:tcBorders>
              <w:left w:val="single" w:sz="4" w:space="0" w:color="auto"/>
            </w:tcBorders>
            <w:vAlign w:val="center"/>
          </w:tcPr>
          <w:p w14:paraId="685637C6" w14:textId="77777777" w:rsidR="0037589E" w:rsidRPr="00F6205B" w:rsidRDefault="0037589E" w:rsidP="0044249F">
            <w:pPr>
              <w:keepNext/>
              <w:keepLines/>
              <w:spacing w:after="0"/>
              <w:rPr>
                <w:sz w:val="20"/>
                <w:szCs w:val="20"/>
              </w:rPr>
            </w:pPr>
          </w:p>
        </w:tc>
        <w:tc>
          <w:tcPr>
            <w:tcW w:w="585" w:type="dxa"/>
            <w:vMerge/>
            <w:vAlign w:val="center"/>
          </w:tcPr>
          <w:p w14:paraId="4EA686C3" w14:textId="77777777" w:rsidR="0037589E" w:rsidRPr="00F6205B" w:rsidRDefault="0037589E" w:rsidP="0044249F">
            <w:pPr>
              <w:keepNext/>
              <w:keepLines/>
              <w:spacing w:after="0"/>
              <w:jc w:val="center"/>
              <w:rPr>
                <w:sz w:val="20"/>
                <w:szCs w:val="20"/>
              </w:rPr>
            </w:pPr>
          </w:p>
        </w:tc>
        <w:tc>
          <w:tcPr>
            <w:tcW w:w="675" w:type="dxa"/>
            <w:vMerge/>
            <w:vAlign w:val="center"/>
          </w:tcPr>
          <w:p w14:paraId="658CCCE4" w14:textId="77777777" w:rsidR="0037589E" w:rsidRPr="00F6205B" w:rsidRDefault="0037589E" w:rsidP="0044249F">
            <w:pPr>
              <w:keepNext/>
              <w:keepLines/>
              <w:spacing w:after="0"/>
              <w:jc w:val="center"/>
              <w:rPr>
                <w:sz w:val="20"/>
                <w:szCs w:val="20"/>
              </w:rPr>
            </w:pPr>
          </w:p>
        </w:tc>
        <w:tc>
          <w:tcPr>
            <w:tcW w:w="1080" w:type="dxa"/>
            <w:vMerge/>
            <w:vAlign w:val="center"/>
          </w:tcPr>
          <w:p w14:paraId="659D2FCD" w14:textId="77777777" w:rsidR="0037589E" w:rsidRPr="00F6205B" w:rsidRDefault="0037589E" w:rsidP="0044249F">
            <w:pPr>
              <w:keepNext/>
              <w:keepLines/>
              <w:spacing w:after="0"/>
              <w:jc w:val="center"/>
              <w:rPr>
                <w:sz w:val="20"/>
                <w:szCs w:val="20"/>
              </w:rPr>
            </w:pPr>
          </w:p>
        </w:tc>
        <w:tc>
          <w:tcPr>
            <w:tcW w:w="1170" w:type="dxa"/>
            <w:vMerge/>
            <w:vAlign w:val="center"/>
          </w:tcPr>
          <w:p w14:paraId="5A3FB7AB" w14:textId="77777777" w:rsidR="0037589E" w:rsidRPr="00F6205B" w:rsidRDefault="0037589E" w:rsidP="0044249F">
            <w:pPr>
              <w:keepNext/>
              <w:keepLines/>
              <w:spacing w:after="0"/>
              <w:jc w:val="center"/>
              <w:rPr>
                <w:sz w:val="20"/>
                <w:szCs w:val="20"/>
              </w:rPr>
            </w:pPr>
          </w:p>
        </w:tc>
        <w:tc>
          <w:tcPr>
            <w:tcW w:w="1170" w:type="dxa"/>
            <w:vMerge/>
            <w:vAlign w:val="center"/>
          </w:tcPr>
          <w:p w14:paraId="5976000C" w14:textId="77777777" w:rsidR="0037589E" w:rsidRPr="00F6205B" w:rsidRDefault="0037589E" w:rsidP="0044249F">
            <w:pPr>
              <w:keepNext/>
              <w:keepLines/>
              <w:spacing w:after="0"/>
              <w:jc w:val="center"/>
              <w:rPr>
                <w:sz w:val="20"/>
                <w:szCs w:val="20"/>
              </w:rPr>
            </w:pPr>
          </w:p>
        </w:tc>
        <w:tc>
          <w:tcPr>
            <w:tcW w:w="1890" w:type="dxa"/>
            <w:vAlign w:val="center"/>
          </w:tcPr>
          <w:p w14:paraId="1EECBFE7" w14:textId="77777777" w:rsidR="0037589E" w:rsidRPr="00F6205B" w:rsidRDefault="0037589E" w:rsidP="0044249F">
            <w:pPr>
              <w:keepNext/>
              <w:keepLines/>
              <w:spacing w:after="0"/>
              <w:jc w:val="center"/>
              <w:rPr>
                <w:sz w:val="20"/>
                <w:szCs w:val="20"/>
              </w:rPr>
            </w:pPr>
            <w:r w:rsidRPr="00F6205B">
              <w:rPr>
                <w:sz w:val="20"/>
                <w:szCs w:val="20"/>
              </w:rPr>
              <w:t>Electric resistance</w:t>
            </w:r>
          </w:p>
        </w:tc>
        <w:tc>
          <w:tcPr>
            <w:tcW w:w="1890" w:type="dxa"/>
            <w:vAlign w:val="center"/>
          </w:tcPr>
          <w:p w14:paraId="7B8AB7D6" w14:textId="77777777" w:rsidR="0037589E" w:rsidRPr="00F6205B" w:rsidRDefault="0037589E" w:rsidP="0044249F">
            <w:pPr>
              <w:keepNext/>
              <w:keepLines/>
              <w:spacing w:after="0"/>
              <w:jc w:val="center"/>
              <w:rPr>
                <w:sz w:val="20"/>
                <w:szCs w:val="20"/>
              </w:rPr>
            </w:pPr>
            <w:r w:rsidRPr="00F6205B">
              <w:rPr>
                <w:sz w:val="20"/>
                <w:szCs w:val="20"/>
              </w:rPr>
              <w:t>DHP* with electric resistance backup</w:t>
            </w:r>
          </w:p>
        </w:tc>
        <w:tc>
          <w:tcPr>
            <w:tcW w:w="1440" w:type="dxa"/>
            <w:vMerge/>
            <w:vAlign w:val="center"/>
          </w:tcPr>
          <w:p w14:paraId="13BB926B" w14:textId="77777777" w:rsidR="0037589E" w:rsidRPr="00F6205B" w:rsidRDefault="0037589E" w:rsidP="0044249F">
            <w:pPr>
              <w:keepNext/>
              <w:keepLines/>
              <w:spacing w:after="0"/>
              <w:jc w:val="center"/>
              <w:rPr>
                <w:sz w:val="20"/>
                <w:szCs w:val="20"/>
              </w:rPr>
            </w:pPr>
          </w:p>
        </w:tc>
        <w:tc>
          <w:tcPr>
            <w:tcW w:w="1530" w:type="dxa"/>
            <w:vMerge/>
            <w:tcBorders>
              <w:right w:val="single" w:sz="4" w:space="0" w:color="auto"/>
            </w:tcBorders>
            <w:vAlign w:val="center"/>
          </w:tcPr>
          <w:p w14:paraId="1DECC826" w14:textId="77777777" w:rsidR="0037589E" w:rsidRPr="00F6205B" w:rsidRDefault="0037589E" w:rsidP="0044249F">
            <w:pPr>
              <w:keepNext/>
              <w:keepLines/>
              <w:spacing w:after="0"/>
              <w:jc w:val="center"/>
              <w:rPr>
                <w:sz w:val="20"/>
                <w:szCs w:val="20"/>
              </w:rPr>
            </w:pPr>
          </w:p>
        </w:tc>
      </w:tr>
      <w:tr w:rsidR="0037589E" w:rsidRPr="00F6205B" w14:paraId="56AE318B" w14:textId="77777777" w:rsidTr="004B30CE">
        <w:trPr>
          <w:trHeight w:val="288"/>
          <w:jc w:val="center"/>
        </w:trPr>
        <w:tc>
          <w:tcPr>
            <w:tcW w:w="997" w:type="dxa"/>
            <w:tcBorders>
              <w:left w:val="single" w:sz="4" w:space="0" w:color="auto"/>
              <w:bottom w:val="single" w:sz="4" w:space="0" w:color="auto"/>
            </w:tcBorders>
            <w:shd w:val="clear" w:color="auto" w:fill="BFBFBF" w:themeFill="background1" w:themeFillShade="BF"/>
            <w:vAlign w:val="center"/>
          </w:tcPr>
          <w:p w14:paraId="332CEB21" w14:textId="77777777" w:rsidR="0037589E" w:rsidRPr="00F6205B" w:rsidRDefault="0037589E" w:rsidP="0044249F">
            <w:pPr>
              <w:keepNext/>
              <w:keepLines/>
              <w:spacing w:after="0"/>
              <w:rPr>
                <w:sz w:val="20"/>
                <w:szCs w:val="20"/>
              </w:rPr>
            </w:pPr>
            <w:r w:rsidRPr="00F6205B">
              <w:rPr>
                <w:sz w:val="20"/>
                <w:szCs w:val="20"/>
              </w:rPr>
              <w:t>Gas Sites</w:t>
            </w:r>
          </w:p>
        </w:tc>
        <w:tc>
          <w:tcPr>
            <w:tcW w:w="585" w:type="dxa"/>
            <w:tcBorders>
              <w:bottom w:val="single" w:sz="4" w:space="0" w:color="auto"/>
            </w:tcBorders>
            <w:shd w:val="clear" w:color="auto" w:fill="BFBFBF" w:themeFill="background1" w:themeFillShade="BF"/>
            <w:vAlign w:val="center"/>
          </w:tcPr>
          <w:p w14:paraId="5D452834" w14:textId="77777777" w:rsidR="0037589E" w:rsidRPr="00F6205B" w:rsidRDefault="0037589E" w:rsidP="0044249F">
            <w:pPr>
              <w:keepNext/>
              <w:keepLines/>
              <w:spacing w:after="0"/>
              <w:jc w:val="center"/>
              <w:rPr>
                <w:sz w:val="20"/>
                <w:szCs w:val="20"/>
              </w:rPr>
            </w:pPr>
            <w:r w:rsidRPr="00F6205B">
              <w:rPr>
                <w:sz w:val="20"/>
                <w:szCs w:val="20"/>
              </w:rPr>
              <w:t>46</w:t>
            </w:r>
          </w:p>
        </w:tc>
        <w:tc>
          <w:tcPr>
            <w:tcW w:w="675" w:type="dxa"/>
            <w:tcBorders>
              <w:bottom w:val="single" w:sz="4" w:space="0" w:color="auto"/>
            </w:tcBorders>
            <w:shd w:val="clear" w:color="auto" w:fill="BFBFBF" w:themeFill="background1" w:themeFillShade="BF"/>
            <w:vAlign w:val="center"/>
          </w:tcPr>
          <w:p w14:paraId="41243D37" w14:textId="77777777" w:rsidR="0037589E" w:rsidRPr="00F6205B" w:rsidRDefault="0037589E" w:rsidP="0044249F">
            <w:pPr>
              <w:keepNext/>
              <w:keepLines/>
              <w:spacing w:after="0"/>
              <w:jc w:val="center"/>
              <w:rPr>
                <w:sz w:val="20"/>
                <w:szCs w:val="20"/>
              </w:rPr>
            </w:pPr>
            <w:r w:rsidRPr="00F6205B">
              <w:rPr>
                <w:sz w:val="20"/>
                <w:szCs w:val="20"/>
              </w:rPr>
              <w:t>26%</w:t>
            </w:r>
          </w:p>
        </w:tc>
        <w:tc>
          <w:tcPr>
            <w:tcW w:w="1080" w:type="dxa"/>
            <w:tcBorders>
              <w:bottom w:val="single" w:sz="4" w:space="0" w:color="auto"/>
            </w:tcBorders>
            <w:shd w:val="clear" w:color="auto" w:fill="BFBFBF" w:themeFill="background1" w:themeFillShade="BF"/>
            <w:vAlign w:val="center"/>
          </w:tcPr>
          <w:p w14:paraId="264D3728" w14:textId="77777777" w:rsidR="0037589E" w:rsidRPr="00F6205B" w:rsidRDefault="0037589E" w:rsidP="0044249F">
            <w:pPr>
              <w:keepNext/>
              <w:keepLines/>
              <w:spacing w:after="0"/>
              <w:jc w:val="center"/>
              <w:rPr>
                <w:sz w:val="20"/>
                <w:szCs w:val="20"/>
              </w:rPr>
            </w:pPr>
            <w:r w:rsidRPr="00F6205B">
              <w:rPr>
                <w:sz w:val="20"/>
                <w:szCs w:val="20"/>
              </w:rPr>
              <w:t>Towns with gas service</w:t>
            </w:r>
          </w:p>
        </w:tc>
        <w:tc>
          <w:tcPr>
            <w:tcW w:w="2340" w:type="dxa"/>
            <w:gridSpan w:val="2"/>
            <w:tcBorders>
              <w:bottom w:val="single" w:sz="4" w:space="0" w:color="auto"/>
            </w:tcBorders>
            <w:shd w:val="clear" w:color="auto" w:fill="BFBFBF" w:themeFill="background1" w:themeFillShade="BF"/>
            <w:vAlign w:val="center"/>
          </w:tcPr>
          <w:p w14:paraId="7B49BAA4" w14:textId="77777777" w:rsidR="0037589E" w:rsidRPr="00F6205B" w:rsidRDefault="0037589E" w:rsidP="0044249F">
            <w:pPr>
              <w:keepNext/>
              <w:keepLines/>
              <w:spacing w:after="0"/>
              <w:jc w:val="center"/>
              <w:rPr>
                <w:sz w:val="20"/>
                <w:szCs w:val="20"/>
              </w:rPr>
            </w:pPr>
            <w:r w:rsidRPr="00F6205B">
              <w:rPr>
                <w:sz w:val="20"/>
                <w:szCs w:val="20"/>
              </w:rPr>
              <w:t>No switch</w:t>
            </w:r>
          </w:p>
        </w:tc>
        <w:tc>
          <w:tcPr>
            <w:tcW w:w="3780" w:type="dxa"/>
            <w:gridSpan w:val="2"/>
            <w:tcBorders>
              <w:bottom w:val="single" w:sz="4" w:space="0" w:color="auto"/>
            </w:tcBorders>
            <w:shd w:val="clear" w:color="auto" w:fill="BFBFBF" w:themeFill="background1" w:themeFillShade="BF"/>
            <w:vAlign w:val="center"/>
          </w:tcPr>
          <w:p w14:paraId="568A1FDC" w14:textId="77777777" w:rsidR="0037589E" w:rsidRPr="00F6205B" w:rsidRDefault="0037589E" w:rsidP="0044249F">
            <w:pPr>
              <w:keepNext/>
              <w:keepLines/>
              <w:spacing w:after="0"/>
              <w:jc w:val="center"/>
              <w:rPr>
                <w:sz w:val="20"/>
                <w:szCs w:val="20"/>
              </w:rPr>
            </w:pPr>
            <w:r w:rsidRPr="00F6205B">
              <w:rPr>
                <w:sz w:val="20"/>
                <w:szCs w:val="20"/>
              </w:rPr>
              <w:t>No switch</w:t>
            </w:r>
          </w:p>
        </w:tc>
        <w:tc>
          <w:tcPr>
            <w:tcW w:w="2970" w:type="dxa"/>
            <w:gridSpan w:val="2"/>
            <w:tcBorders>
              <w:bottom w:val="single" w:sz="4" w:space="0" w:color="auto"/>
              <w:right w:val="single" w:sz="4" w:space="0" w:color="auto"/>
            </w:tcBorders>
            <w:shd w:val="clear" w:color="auto" w:fill="BFBFBF" w:themeFill="background1" w:themeFillShade="BF"/>
            <w:vAlign w:val="center"/>
          </w:tcPr>
          <w:p w14:paraId="0BF5258C" w14:textId="77777777" w:rsidR="0037589E" w:rsidRPr="00F6205B" w:rsidRDefault="0037589E" w:rsidP="0044249F">
            <w:pPr>
              <w:keepNext/>
              <w:keepLines/>
              <w:spacing w:after="0"/>
              <w:jc w:val="center"/>
              <w:rPr>
                <w:sz w:val="20"/>
                <w:szCs w:val="20"/>
              </w:rPr>
            </w:pPr>
            <w:r w:rsidRPr="00F6205B">
              <w:rPr>
                <w:sz w:val="20"/>
                <w:szCs w:val="20"/>
              </w:rPr>
              <w:t>No switch</w:t>
            </w:r>
          </w:p>
        </w:tc>
      </w:tr>
    </w:tbl>
    <w:p w14:paraId="1393AEAB" w14:textId="56CBADA6" w:rsidR="00422999" w:rsidRPr="00F6205B" w:rsidRDefault="00E72EA6" w:rsidP="004F7CBB">
      <w:pPr>
        <w:keepNext/>
        <w:ind w:left="360"/>
        <w:rPr>
          <w:sz w:val="18"/>
          <w:szCs w:val="18"/>
        </w:rPr>
      </w:pPr>
      <w:r w:rsidRPr="00F6205B">
        <w:rPr>
          <w:sz w:val="18"/>
          <w:szCs w:val="18"/>
        </w:rPr>
        <w:t xml:space="preserve">* </w:t>
      </w:r>
      <w:r w:rsidR="0037589E" w:rsidRPr="00F6205B">
        <w:rPr>
          <w:sz w:val="18"/>
          <w:szCs w:val="18"/>
        </w:rPr>
        <w:t>“DHP” stands for “ductless heat</w:t>
      </w:r>
      <w:r w:rsidR="00422999" w:rsidRPr="00F6205B">
        <w:rPr>
          <w:sz w:val="18"/>
          <w:szCs w:val="18"/>
        </w:rPr>
        <w:t xml:space="preserve"> pump,” or ductless mini-split.</w:t>
      </w:r>
    </w:p>
    <w:p w14:paraId="5700B20F" w14:textId="77777777" w:rsidR="00422999" w:rsidRPr="00F6205B" w:rsidRDefault="00422999" w:rsidP="00422999">
      <w:pPr>
        <w:keepNext/>
        <w:rPr>
          <w:sz w:val="18"/>
          <w:szCs w:val="18"/>
        </w:rPr>
        <w:sectPr w:rsidR="00422999" w:rsidRPr="00F6205B" w:rsidSect="00422999">
          <w:pgSz w:w="15840" w:h="12240" w:orient="landscape"/>
          <w:pgMar w:top="1440" w:right="1440" w:bottom="1872" w:left="1440" w:header="0" w:footer="0" w:gutter="0"/>
          <w:cols w:space="720"/>
          <w:docGrid w:linePitch="299"/>
        </w:sectPr>
      </w:pPr>
    </w:p>
    <w:p w14:paraId="05E8AB50" w14:textId="6445A059" w:rsidR="00494699" w:rsidRPr="00F6205B" w:rsidRDefault="00494699" w:rsidP="00494699">
      <w:r w:rsidRPr="00F6205B">
        <w:lastRenderedPageBreak/>
        <w:t>Additionally, this report presents the results of the fue</w:t>
      </w:r>
      <w:r w:rsidR="0065478D" w:rsidRPr="00F6205B">
        <w:t>l switching analysis over a ten-</w:t>
      </w:r>
      <w:r w:rsidRPr="00F6205B">
        <w:t xml:space="preserve">year conversion period, with conversions increasing to the maximum 100% rate of uptake over that time as well as 25%, 50%, and 75% uptake rates. </w:t>
      </w:r>
      <w:r w:rsidR="00572BA6">
        <w:fldChar w:fldCharType="begin"/>
      </w:r>
      <w:r w:rsidR="00572BA6">
        <w:instrText xml:space="preserve"> REF _Ref439771346 \h </w:instrText>
      </w:r>
      <w:r w:rsidR="00572BA6">
        <w:fldChar w:fldCharType="separate"/>
      </w:r>
      <w:r w:rsidR="00FA26A9" w:rsidRPr="00F6205B">
        <w:t xml:space="preserve">Table </w:t>
      </w:r>
      <w:r w:rsidR="00FA26A9">
        <w:rPr>
          <w:noProof/>
        </w:rPr>
        <w:t>8</w:t>
      </w:r>
      <w:r w:rsidR="00572BA6">
        <w:fldChar w:fldCharType="end"/>
      </w:r>
      <w:r w:rsidR="00572BA6">
        <w:t xml:space="preserve"> </w:t>
      </w:r>
      <w:r w:rsidRPr="00F6205B">
        <w:t>details the four conversion rates.</w:t>
      </w:r>
    </w:p>
    <w:p w14:paraId="4A00DD1A" w14:textId="303AB275" w:rsidR="00494699" w:rsidRPr="00F6205B" w:rsidRDefault="00494699" w:rsidP="004F23CF">
      <w:pPr>
        <w:pStyle w:val="Caption"/>
      </w:pPr>
      <w:bookmarkStart w:id="130" w:name="_Ref369096384"/>
      <w:bookmarkStart w:id="131" w:name="_Ref439771346"/>
      <w:bookmarkStart w:id="132" w:name="_Toc373324116"/>
      <w:bookmarkStart w:id="133" w:name="_Toc391887344"/>
      <w:bookmarkStart w:id="134" w:name="_Toc439931839"/>
      <w:r w:rsidRPr="00F6205B">
        <w:t>Table</w:t>
      </w:r>
      <w:bookmarkEnd w:id="130"/>
      <w:r w:rsidR="004F23CF" w:rsidRPr="00F6205B">
        <w:t xml:space="preserve"> </w:t>
      </w:r>
      <w:fldSimple w:instr=" SEQ Table \* ARABIC ">
        <w:r w:rsidR="00FA26A9">
          <w:rPr>
            <w:noProof/>
          </w:rPr>
          <w:t>8</w:t>
        </w:r>
      </w:fldSimple>
      <w:bookmarkEnd w:id="131"/>
      <w:r w:rsidRPr="00F6205B">
        <w:t>: Fuel Switching Conversion Scenarios</w:t>
      </w:r>
      <w:bookmarkEnd w:id="132"/>
      <w:bookmarkEnd w:id="133"/>
      <w:bookmarkEnd w:id="134"/>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1409"/>
        <w:gridCol w:w="1008"/>
        <w:gridCol w:w="1008"/>
        <w:gridCol w:w="1008"/>
        <w:gridCol w:w="1008"/>
        <w:gridCol w:w="1189"/>
        <w:gridCol w:w="1190"/>
        <w:gridCol w:w="1190"/>
      </w:tblGrid>
      <w:tr w:rsidR="00494699" w:rsidRPr="00F6205B" w14:paraId="34768A27" w14:textId="77777777" w:rsidTr="006B6D20">
        <w:trPr>
          <w:trHeight w:val="263"/>
          <w:jc w:val="center"/>
        </w:trPr>
        <w:tc>
          <w:tcPr>
            <w:tcW w:w="1409" w:type="dxa"/>
            <w:vMerge w:val="restart"/>
            <w:tcBorders>
              <w:top w:val="single" w:sz="4" w:space="0" w:color="auto"/>
              <w:left w:val="single" w:sz="4" w:space="0" w:color="auto"/>
            </w:tcBorders>
            <w:shd w:val="clear" w:color="auto" w:fill="0B4D2C" w:themeFill="background2" w:themeFillShade="BF"/>
            <w:vAlign w:val="center"/>
          </w:tcPr>
          <w:p w14:paraId="1E2EFB66" w14:textId="77777777" w:rsidR="00494699" w:rsidRPr="00F6205B" w:rsidRDefault="00494699" w:rsidP="0044249F">
            <w:pPr>
              <w:keepNext/>
              <w:keepLines/>
              <w:spacing w:after="0"/>
              <w:jc w:val="center"/>
              <w:rPr>
                <w:b/>
                <w:color w:val="FFFFFF" w:themeColor="background1"/>
                <w:sz w:val="20"/>
                <w:szCs w:val="20"/>
              </w:rPr>
            </w:pPr>
            <w:r w:rsidRPr="00F6205B">
              <w:rPr>
                <w:b/>
                <w:color w:val="FFFFFF" w:themeColor="background1"/>
                <w:sz w:val="20"/>
                <w:szCs w:val="20"/>
              </w:rPr>
              <w:t xml:space="preserve">Overall Conversion Rate </w:t>
            </w:r>
          </w:p>
        </w:tc>
        <w:tc>
          <w:tcPr>
            <w:tcW w:w="4032" w:type="dxa"/>
            <w:gridSpan w:val="4"/>
            <w:tcBorders>
              <w:top w:val="single" w:sz="4" w:space="0" w:color="auto"/>
              <w:bottom w:val="single" w:sz="4" w:space="0" w:color="auto"/>
              <w:right w:val="single" w:sz="4" w:space="0" w:color="auto"/>
            </w:tcBorders>
            <w:shd w:val="clear" w:color="auto" w:fill="0B4D2C" w:themeFill="background2" w:themeFillShade="BF"/>
            <w:vAlign w:val="center"/>
          </w:tcPr>
          <w:p w14:paraId="0B6F4070" w14:textId="77777777" w:rsidR="00494699" w:rsidRPr="00F6205B" w:rsidRDefault="00494699" w:rsidP="0044249F">
            <w:pPr>
              <w:keepNext/>
              <w:keepLines/>
              <w:spacing w:after="0"/>
              <w:jc w:val="center"/>
              <w:rPr>
                <w:b/>
                <w:color w:val="FFFFFF" w:themeColor="background1"/>
                <w:sz w:val="20"/>
                <w:szCs w:val="20"/>
              </w:rPr>
            </w:pPr>
            <w:r w:rsidRPr="00F6205B">
              <w:rPr>
                <w:b/>
                <w:color w:val="FFFFFF" w:themeColor="background1"/>
                <w:sz w:val="20"/>
                <w:szCs w:val="20"/>
              </w:rPr>
              <w:t>Rates of Uptake</w:t>
            </w:r>
          </w:p>
        </w:tc>
        <w:tc>
          <w:tcPr>
            <w:tcW w:w="3569" w:type="dxa"/>
            <w:gridSpan w:val="3"/>
            <w:tcBorders>
              <w:top w:val="single" w:sz="4" w:space="0" w:color="auto"/>
              <w:left w:val="single" w:sz="4" w:space="0" w:color="auto"/>
              <w:bottom w:val="single" w:sz="4" w:space="0" w:color="auto"/>
              <w:right w:val="single" w:sz="4" w:space="0" w:color="auto"/>
            </w:tcBorders>
            <w:shd w:val="clear" w:color="auto" w:fill="0B4D2C" w:themeFill="background2" w:themeFillShade="BF"/>
            <w:vAlign w:val="center"/>
          </w:tcPr>
          <w:p w14:paraId="4607CDFF" w14:textId="77777777" w:rsidR="00494699" w:rsidRPr="00F6205B" w:rsidRDefault="00494699" w:rsidP="0044249F">
            <w:pPr>
              <w:keepNext/>
              <w:keepLines/>
              <w:spacing w:after="0"/>
              <w:jc w:val="center"/>
              <w:rPr>
                <w:b/>
                <w:color w:val="FFFFFF" w:themeColor="background1"/>
                <w:sz w:val="20"/>
                <w:szCs w:val="20"/>
              </w:rPr>
            </w:pPr>
            <w:r w:rsidRPr="00F6205B">
              <w:rPr>
                <w:b/>
                <w:color w:val="FFFFFF" w:themeColor="background1"/>
                <w:sz w:val="20"/>
                <w:szCs w:val="20"/>
              </w:rPr>
              <w:t>Percent of Homes with Primary Heating Fuel in Year 10</w:t>
            </w:r>
          </w:p>
        </w:tc>
      </w:tr>
      <w:tr w:rsidR="00494699" w:rsidRPr="00F6205B" w14:paraId="7AA4E94E" w14:textId="77777777" w:rsidTr="006B6D20">
        <w:trPr>
          <w:trHeight w:val="262"/>
          <w:jc w:val="center"/>
        </w:trPr>
        <w:tc>
          <w:tcPr>
            <w:tcW w:w="1409" w:type="dxa"/>
            <w:vMerge/>
            <w:tcBorders>
              <w:left w:val="single" w:sz="4" w:space="0" w:color="auto"/>
              <w:bottom w:val="single" w:sz="4" w:space="0" w:color="auto"/>
            </w:tcBorders>
            <w:shd w:val="clear" w:color="auto" w:fill="0B4D2C" w:themeFill="background2" w:themeFillShade="BF"/>
            <w:vAlign w:val="center"/>
          </w:tcPr>
          <w:p w14:paraId="429EBDD4" w14:textId="77777777" w:rsidR="00494699" w:rsidRPr="00F6205B" w:rsidRDefault="00494699" w:rsidP="0044249F">
            <w:pPr>
              <w:keepNext/>
              <w:keepLines/>
              <w:spacing w:after="0"/>
              <w:jc w:val="center"/>
              <w:rPr>
                <w:b/>
                <w:color w:val="FFFFFF" w:themeColor="background1"/>
                <w:sz w:val="20"/>
                <w:szCs w:val="20"/>
              </w:rPr>
            </w:pPr>
          </w:p>
        </w:tc>
        <w:tc>
          <w:tcPr>
            <w:tcW w:w="1008" w:type="dxa"/>
            <w:tcBorders>
              <w:top w:val="single" w:sz="4" w:space="0" w:color="auto"/>
              <w:bottom w:val="single" w:sz="4" w:space="0" w:color="auto"/>
            </w:tcBorders>
            <w:shd w:val="clear" w:color="auto" w:fill="0B4D2C" w:themeFill="background2" w:themeFillShade="BF"/>
            <w:vAlign w:val="center"/>
          </w:tcPr>
          <w:p w14:paraId="5EE548AD" w14:textId="77777777" w:rsidR="00494699" w:rsidRPr="00F6205B" w:rsidRDefault="00494699" w:rsidP="0044249F">
            <w:pPr>
              <w:keepNext/>
              <w:keepLines/>
              <w:spacing w:after="0"/>
              <w:jc w:val="center"/>
              <w:rPr>
                <w:b/>
                <w:color w:val="FFFFFF" w:themeColor="background1"/>
                <w:sz w:val="20"/>
                <w:szCs w:val="20"/>
              </w:rPr>
            </w:pPr>
            <w:r w:rsidRPr="00F6205B">
              <w:rPr>
                <w:b/>
                <w:color w:val="FFFFFF" w:themeColor="background1"/>
                <w:sz w:val="20"/>
                <w:szCs w:val="20"/>
              </w:rPr>
              <w:t>Year 2.5</w:t>
            </w:r>
          </w:p>
        </w:tc>
        <w:tc>
          <w:tcPr>
            <w:tcW w:w="1008" w:type="dxa"/>
            <w:tcBorders>
              <w:top w:val="single" w:sz="4" w:space="0" w:color="auto"/>
              <w:bottom w:val="single" w:sz="4" w:space="0" w:color="auto"/>
            </w:tcBorders>
            <w:shd w:val="clear" w:color="auto" w:fill="0B4D2C" w:themeFill="background2" w:themeFillShade="BF"/>
            <w:vAlign w:val="center"/>
          </w:tcPr>
          <w:p w14:paraId="1D220CCF" w14:textId="77777777" w:rsidR="00494699" w:rsidRPr="00F6205B" w:rsidRDefault="00494699" w:rsidP="0044249F">
            <w:pPr>
              <w:keepNext/>
              <w:keepLines/>
              <w:spacing w:after="0"/>
              <w:jc w:val="center"/>
              <w:rPr>
                <w:b/>
                <w:color w:val="FFFFFF" w:themeColor="background1"/>
                <w:sz w:val="20"/>
                <w:szCs w:val="20"/>
              </w:rPr>
            </w:pPr>
            <w:r w:rsidRPr="00F6205B">
              <w:rPr>
                <w:b/>
                <w:color w:val="FFFFFF" w:themeColor="background1"/>
                <w:sz w:val="20"/>
                <w:szCs w:val="20"/>
              </w:rPr>
              <w:t>Year 5</w:t>
            </w:r>
          </w:p>
        </w:tc>
        <w:tc>
          <w:tcPr>
            <w:tcW w:w="1008" w:type="dxa"/>
            <w:tcBorders>
              <w:top w:val="single" w:sz="4" w:space="0" w:color="auto"/>
              <w:bottom w:val="single" w:sz="4" w:space="0" w:color="auto"/>
            </w:tcBorders>
            <w:shd w:val="clear" w:color="auto" w:fill="0B4D2C" w:themeFill="background2" w:themeFillShade="BF"/>
            <w:vAlign w:val="center"/>
          </w:tcPr>
          <w:p w14:paraId="3E52339F" w14:textId="77777777" w:rsidR="00494699" w:rsidRPr="00F6205B" w:rsidRDefault="00494699" w:rsidP="0044249F">
            <w:pPr>
              <w:keepNext/>
              <w:keepLines/>
              <w:spacing w:after="0"/>
              <w:jc w:val="center"/>
              <w:rPr>
                <w:b/>
                <w:color w:val="FFFFFF" w:themeColor="background1"/>
                <w:sz w:val="20"/>
                <w:szCs w:val="20"/>
              </w:rPr>
            </w:pPr>
            <w:r w:rsidRPr="00F6205B">
              <w:rPr>
                <w:b/>
                <w:color w:val="FFFFFF" w:themeColor="background1"/>
                <w:sz w:val="20"/>
                <w:szCs w:val="20"/>
              </w:rPr>
              <w:t>Year 7.5</w:t>
            </w:r>
          </w:p>
        </w:tc>
        <w:tc>
          <w:tcPr>
            <w:tcW w:w="1008" w:type="dxa"/>
            <w:tcBorders>
              <w:top w:val="single" w:sz="4" w:space="0" w:color="auto"/>
              <w:bottom w:val="single" w:sz="4" w:space="0" w:color="auto"/>
              <w:right w:val="single" w:sz="4" w:space="0" w:color="auto"/>
            </w:tcBorders>
            <w:shd w:val="clear" w:color="auto" w:fill="0B4D2C" w:themeFill="background2" w:themeFillShade="BF"/>
            <w:vAlign w:val="center"/>
          </w:tcPr>
          <w:p w14:paraId="72932D1B" w14:textId="77777777" w:rsidR="00494699" w:rsidRPr="00F6205B" w:rsidRDefault="00494699" w:rsidP="0044249F">
            <w:pPr>
              <w:keepNext/>
              <w:keepLines/>
              <w:spacing w:after="0"/>
              <w:jc w:val="center"/>
              <w:rPr>
                <w:b/>
                <w:color w:val="FFFFFF" w:themeColor="background1"/>
                <w:sz w:val="20"/>
                <w:szCs w:val="20"/>
              </w:rPr>
            </w:pPr>
            <w:r w:rsidRPr="00F6205B">
              <w:rPr>
                <w:b/>
                <w:color w:val="FFFFFF" w:themeColor="background1"/>
                <w:sz w:val="20"/>
                <w:szCs w:val="20"/>
              </w:rPr>
              <w:t>Year 10</w:t>
            </w:r>
          </w:p>
        </w:tc>
        <w:tc>
          <w:tcPr>
            <w:tcW w:w="1189" w:type="dxa"/>
            <w:tcBorders>
              <w:top w:val="single" w:sz="4" w:space="0" w:color="auto"/>
              <w:left w:val="single" w:sz="4" w:space="0" w:color="auto"/>
              <w:bottom w:val="single" w:sz="4" w:space="0" w:color="auto"/>
            </w:tcBorders>
            <w:shd w:val="clear" w:color="auto" w:fill="0B4D2C" w:themeFill="background2" w:themeFillShade="BF"/>
            <w:vAlign w:val="center"/>
          </w:tcPr>
          <w:p w14:paraId="1336568E" w14:textId="77777777" w:rsidR="00494699" w:rsidRPr="00F6205B" w:rsidRDefault="00494699" w:rsidP="0044249F">
            <w:pPr>
              <w:keepNext/>
              <w:keepLines/>
              <w:spacing w:after="0"/>
              <w:jc w:val="center"/>
              <w:rPr>
                <w:b/>
                <w:color w:val="FFFFFF" w:themeColor="background1"/>
                <w:sz w:val="20"/>
                <w:szCs w:val="20"/>
              </w:rPr>
            </w:pPr>
            <w:r w:rsidRPr="00F6205B">
              <w:rPr>
                <w:b/>
                <w:color w:val="FFFFFF" w:themeColor="background1"/>
                <w:sz w:val="20"/>
                <w:szCs w:val="20"/>
              </w:rPr>
              <w:t>Natural Gas</w:t>
            </w:r>
            <w:r w:rsidRPr="00F6205B">
              <w:rPr>
                <w:b/>
                <w:color w:val="FFFFFF" w:themeColor="background1"/>
                <w:sz w:val="20"/>
                <w:szCs w:val="20"/>
                <w:vertAlign w:val="superscript"/>
              </w:rPr>
              <w:t>i</w:t>
            </w:r>
          </w:p>
        </w:tc>
        <w:tc>
          <w:tcPr>
            <w:tcW w:w="1190" w:type="dxa"/>
            <w:tcBorders>
              <w:top w:val="single" w:sz="4" w:space="0" w:color="auto"/>
              <w:bottom w:val="single" w:sz="4" w:space="0" w:color="auto"/>
            </w:tcBorders>
            <w:shd w:val="clear" w:color="auto" w:fill="0B4D2C" w:themeFill="background2" w:themeFillShade="BF"/>
            <w:vAlign w:val="center"/>
          </w:tcPr>
          <w:p w14:paraId="26A32EE0" w14:textId="5F6C3B68" w:rsidR="00494699" w:rsidRPr="00F6205B" w:rsidRDefault="006B6D20" w:rsidP="0044249F">
            <w:pPr>
              <w:keepNext/>
              <w:keepLines/>
              <w:spacing w:after="0"/>
              <w:jc w:val="center"/>
              <w:rPr>
                <w:b/>
                <w:color w:val="FFFFFF" w:themeColor="background1"/>
                <w:sz w:val="20"/>
                <w:szCs w:val="20"/>
              </w:rPr>
            </w:pPr>
            <w:r w:rsidRPr="00F6205B">
              <w:rPr>
                <w:b/>
                <w:color w:val="FFFFFF" w:themeColor="background1"/>
                <w:sz w:val="20"/>
                <w:szCs w:val="20"/>
              </w:rPr>
              <w:t>Electric</w:t>
            </w:r>
            <w:r w:rsidR="00494699" w:rsidRPr="00F6205B">
              <w:rPr>
                <w:b/>
                <w:color w:val="FFFFFF" w:themeColor="background1"/>
                <w:sz w:val="20"/>
                <w:szCs w:val="20"/>
                <w:vertAlign w:val="superscript"/>
              </w:rPr>
              <w:t>ii</w:t>
            </w:r>
          </w:p>
        </w:tc>
        <w:tc>
          <w:tcPr>
            <w:tcW w:w="1190" w:type="dxa"/>
            <w:tcBorders>
              <w:top w:val="single" w:sz="4" w:space="0" w:color="auto"/>
              <w:bottom w:val="single" w:sz="4" w:space="0" w:color="auto"/>
              <w:right w:val="single" w:sz="4" w:space="0" w:color="auto"/>
            </w:tcBorders>
            <w:shd w:val="clear" w:color="auto" w:fill="0B4D2C" w:themeFill="background2" w:themeFillShade="BF"/>
            <w:vAlign w:val="center"/>
          </w:tcPr>
          <w:p w14:paraId="5D49FE12" w14:textId="77777777" w:rsidR="00494699" w:rsidRPr="00F6205B" w:rsidRDefault="00494699" w:rsidP="0044249F">
            <w:pPr>
              <w:keepNext/>
              <w:keepLines/>
              <w:spacing w:after="0"/>
              <w:jc w:val="center"/>
              <w:rPr>
                <w:b/>
                <w:color w:val="FFFFFF" w:themeColor="background1"/>
                <w:sz w:val="20"/>
                <w:szCs w:val="20"/>
              </w:rPr>
            </w:pPr>
            <w:r w:rsidRPr="00F6205B">
              <w:rPr>
                <w:b/>
                <w:color w:val="FFFFFF" w:themeColor="background1"/>
                <w:sz w:val="20"/>
                <w:szCs w:val="20"/>
              </w:rPr>
              <w:t>Other Fuels</w:t>
            </w:r>
          </w:p>
        </w:tc>
      </w:tr>
      <w:tr w:rsidR="00494699" w:rsidRPr="00F6205B" w14:paraId="46F49554" w14:textId="77777777" w:rsidTr="006B6D20">
        <w:trPr>
          <w:trHeight w:val="288"/>
          <w:jc w:val="center"/>
        </w:trPr>
        <w:tc>
          <w:tcPr>
            <w:tcW w:w="1409" w:type="dxa"/>
            <w:tcBorders>
              <w:top w:val="single" w:sz="4" w:space="0" w:color="auto"/>
              <w:left w:val="single" w:sz="4" w:space="0" w:color="auto"/>
            </w:tcBorders>
            <w:vAlign w:val="center"/>
          </w:tcPr>
          <w:p w14:paraId="23973D57" w14:textId="77777777" w:rsidR="00494699" w:rsidRPr="00F6205B" w:rsidRDefault="00494699" w:rsidP="0044249F">
            <w:pPr>
              <w:keepNext/>
              <w:keepLines/>
              <w:spacing w:after="0"/>
              <w:jc w:val="center"/>
              <w:rPr>
                <w:i/>
                <w:sz w:val="20"/>
                <w:szCs w:val="20"/>
              </w:rPr>
            </w:pPr>
            <w:r w:rsidRPr="00F6205B">
              <w:rPr>
                <w:i/>
                <w:sz w:val="20"/>
                <w:szCs w:val="20"/>
              </w:rPr>
              <w:t>25%</w:t>
            </w:r>
          </w:p>
        </w:tc>
        <w:tc>
          <w:tcPr>
            <w:tcW w:w="1008" w:type="dxa"/>
            <w:tcBorders>
              <w:top w:val="single" w:sz="4" w:space="0" w:color="auto"/>
            </w:tcBorders>
            <w:vAlign w:val="center"/>
          </w:tcPr>
          <w:p w14:paraId="7C18EA93" w14:textId="77777777" w:rsidR="00494699" w:rsidRPr="00F6205B" w:rsidRDefault="00494699" w:rsidP="0044249F">
            <w:pPr>
              <w:keepNext/>
              <w:keepLines/>
              <w:spacing w:after="0"/>
              <w:jc w:val="center"/>
              <w:rPr>
                <w:sz w:val="20"/>
                <w:szCs w:val="20"/>
              </w:rPr>
            </w:pPr>
            <w:r w:rsidRPr="00F6205B">
              <w:rPr>
                <w:sz w:val="20"/>
                <w:szCs w:val="20"/>
              </w:rPr>
              <w:t>6.25%</w:t>
            </w:r>
          </w:p>
        </w:tc>
        <w:tc>
          <w:tcPr>
            <w:tcW w:w="1008" w:type="dxa"/>
            <w:tcBorders>
              <w:top w:val="single" w:sz="4" w:space="0" w:color="auto"/>
            </w:tcBorders>
            <w:vAlign w:val="center"/>
          </w:tcPr>
          <w:p w14:paraId="62EBFD8A" w14:textId="77777777" w:rsidR="00494699" w:rsidRPr="00F6205B" w:rsidRDefault="00494699" w:rsidP="0044249F">
            <w:pPr>
              <w:keepNext/>
              <w:keepLines/>
              <w:spacing w:after="0"/>
              <w:jc w:val="center"/>
              <w:rPr>
                <w:sz w:val="20"/>
                <w:szCs w:val="20"/>
              </w:rPr>
            </w:pPr>
            <w:r w:rsidRPr="00F6205B">
              <w:rPr>
                <w:sz w:val="20"/>
                <w:szCs w:val="20"/>
              </w:rPr>
              <w:t>12.5%</w:t>
            </w:r>
          </w:p>
        </w:tc>
        <w:tc>
          <w:tcPr>
            <w:tcW w:w="1008" w:type="dxa"/>
            <w:tcBorders>
              <w:top w:val="single" w:sz="4" w:space="0" w:color="auto"/>
            </w:tcBorders>
            <w:vAlign w:val="center"/>
          </w:tcPr>
          <w:p w14:paraId="126A85F4" w14:textId="77777777" w:rsidR="00494699" w:rsidRPr="00F6205B" w:rsidRDefault="00494699" w:rsidP="0044249F">
            <w:pPr>
              <w:keepNext/>
              <w:keepLines/>
              <w:spacing w:after="0"/>
              <w:jc w:val="center"/>
              <w:rPr>
                <w:sz w:val="20"/>
                <w:szCs w:val="20"/>
              </w:rPr>
            </w:pPr>
            <w:r w:rsidRPr="00F6205B">
              <w:rPr>
                <w:sz w:val="20"/>
                <w:szCs w:val="20"/>
              </w:rPr>
              <w:t>18.75%</w:t>
            </w:r>
          </w:p>
        </w:tc>
        <w:tc>
          <w:tcPr>
            <w:tcW w:w="1008" w:type="dxa"/>
            <w:tcBorders>
              <w:top w:val="single" w:sz="4" w:space="0" w:color="auto"/>
              <w:right w:val="single" w:sz="4" w:space="0" w:color="auto"/>
            </w:tcBorders>
            <w:vAlign w:val="center"/>
          </w:tcPr>
          <w:p w14:paraId="1BA1ADEC" w14:textId="77777777" w:rsidR="00494699" w:rsidRPr="00F6205B" w:rsidRDefault="00494699" w:rsidP="0044249F">
            <w:pPr>
              <w:keepNext/>
              <w:keepLines/>
              <w:spacing w:after="0"/>
              <w:jc w:val="center"/>
              <w:rPr>
                <w:sz w:val="20"/>
                <w:szCs w:val="20"/>
              </w:rPr>
            </w:pPr>
            <w:r w:rsidRPr="00F6205B">
              <w:rPr>
                <w:sz w:val="20"/>
                <w:szCs w:val="20"/>
              </w:rPr>
              <w:t>25%</w:t>
            </w:r>
          </w:p>
        </w:tc>
        <w:tc>
          <w:tcPr>
            <w:tcW w:w="1189" w:type="dxa"/>
            <w:tcBorders>
              <w:top w:val="single" w:sz="4" w:space="0" w:color="auto"/>
              <w:left w:val="single" w:sz="4" w:space="0" w:color="auto"/>
            </w:tcBorders>
            <w:vAlign w:val="center"/>
          </w:tcPr>
          <w:p w14:paraId="2499E6C4" w14:textId="77777777" w:rsidR="00494699" w:rsidRPr="00F6205B" w:rsidRDefault="00494699" w:rsidP="0044249F">
            <w:pPr>
              <w:keepNext/>
              <w:keepLines/>
              <w:spacing w:after="0"/>
              <w:jc w:val="center"/>
              <w:rPr>
                <w:sz w:val="20"/>
                <w:szCs w:val="20"/>
              </w:rPr>
            </w:pPr>
            <w:r w:rsidRPr="00F6205B">
              <w:rPr>
                <w:sz w:val="20"/>
                <w:szCs w:val="20"/>
              </w:rPr>
              <w:t>32%</w:t>
            </w:r>
          </w:p>
        </w:tc>
        <w:tc>
          <w:tcPr>
            <w:tcW w:w="1190" w:type="dxa"/>
            <w:tcBorders>
              <w:top w:val="single" w:sz="4" w:space="0" w:color="auto"/>
            </w:tcBorders>
            <w:vAlign w:val="center"/>
          </w:tcPr>
          <w:p w14:paraId="3F36B13D" w14:textId="77777777" w:rsidR="00494699" w:rsidRPr="00F6205B" w:rsidRDefault="00494699" w:rsidP="0044249F">
            <w:pPr>
              <w:keepNext/>
              <w:keepLines/>
              <w:spacing w:after="0"/>
              <w:jc w:val="center"/>
              <w:rPr>
                <w:sz w:val="20"/>
                <w:szCs w:val="20"/>
              </w:rPr>
            </w:pPr>
            <w:r w:rsidRPr="00F6205B">
              <w:rPr>
                <w:sz w:val="20"/>
                <w:szCs w:val="20"/>
              </w:rPr>
              <w:t>18%</w:t>
            </w:r>
          </w:p>
        </w:tc>
        <w:tc>
          <w:tcPr>
            <w:tcW w:w="1190" w:type="dxa"/>
            <w:tcBorders>
              <w:top w:val="single" w:sz="4" w:space="0" w:color="auto"/>
              <w:right w:val="single" w:sz="4" w:space="0" w:color="auto"/>
            </w:tcBorders>
            <w:vAlign w:val="center"/>
          </w:tcPr>
          <w:p w14:paraId="303A484E" w14:textId="77777777" w:rsidR="00494699" w:rsidRPr="00F6205B" w:rsidRDefault="00494699" w:rsidP="0044249F">
            <w:pPr>
              <w:keepNext/>
              <w:keepLines/>
              <w:spacing w:after="0"/>
              <w:jc w:val="center"/>
              <w:rPr>
                <w:sz w:val="20"/>
                <w:szCs w:val="20"/>
              </w:rPr>
            </w:pPr>
            <w:r w:rsidRPr="00F6205B">
              <w:rPr>
                <w:sz w:val="20"/>
                <w:szCs w:val="20"/>
              </w:rPr>
              <w:t>50%</w:t>
            </w:r>
          </w:p>
        </w:tc>
      </w:tr>
      <w:tr w:rsidR="00494699" w:rsidRPr="00F6205B" w14:paraId="7E84899D" w14:textId="77777777" w:rsidTr="006B6D20">
        <w:trPr>
          <w:trHeight w:val="288"/>
          <w:jc w:val="center"/>
        </w:trPr>
        <w:tc>
          <w:tcPr>
            <w:tcW w:w="1409" w:type="dxa"/>
            <w:tcBorders>
              <w:left w:val="single" w:sz="4" w:space="0" w:color="auto"/>
            </w:tcBorders>
            <w:vAlign w:val="center"/>
          </w:tcPr>
          <w:p w14:paraId="30118BD0" w14:textId="77777777" w:rsidR="00494699" w:rsidRPr="00F6205B" w:rsidRDefault="00494699" w:rsidP="0044249F">
            <w:pPr>
              <w:keepNext/>
              <w:keepLines/>
              <w:spacing w:after="0"/>
              <w:jc w:val="center"/>
              <w:rPr>
                <w:i/>
                <w:sz w:val="20"/>
                <w:szCs w:val="20"/>
              </w:rPr>
            </w:pPr>
            <w:r w:rsidRPr="00F6205B">
              <w:rPr>
                <w:i/>
                <w:sz w:val="20"/>
                <w:szCs w:val="20"/>
              </w:rPr>
              <w:t>50%</w:t>
            </w:r>
          </w:p>
        </w:tc>
        <w:tc>
          <w:tcPr>
            <w:tcW w:w="1008" w:type="dxa"/>
            <w:vAlign w:val="center"/>
          </w:tcPr>
          <w:p w14:paraId="2C2D6B4D" w14:textId="77777777" w:rsidR="00494699" w:rsidRPr="00F6205B" w:rsidRDefault="00494699" w:rsidP="0044249F">
            <w:pPr>
              <w:keepNext/>
              <w:keepLines/>
              <w:spacing w:after="0"/>
              <w:jc w:val="center"/>
              <w:rPr>
                <w:sz w:val="20"/>
                <w:szCs w:val="20"/>
              </w:rPr>
            </w:pPr>
            <w:r w:rsidRPr="00F6205B">
              <w:rPr>
                <w:sz w:val="20"/>
                <w:szCs w:val="20"/>
              </w:rPr>
              <w:t>12.5%</w:t>
            </w:r>
          </w:p>
        </w:tc>
        <w:tc>
          <w:tcPr>
            <w:tcW w:w="1008" w:type="dxa"/>
            <w:vAlign w:val="center"/>
          </w:tcPr>
          <w:p w14:paraId="657A4069" w14:textId="77777777" w:rsidR="00494699" w:rsidRPr="00F6205B" w:rsidRDefault="00494699" w:rsidP="0044249F">
            <w:pPr>
              <w:keepNext/>
              <w:keepLines/>
              <w:spacing w:after="0"/>
              <w:jc w:val="center"/>
              <w:rPr>
                <w:sz w:val="20"/>
                <w:szCs w:val="20"/>
              </w:rPr>
            </w:pPr>
            <w:r w:rsidRPr="00F6205B">
              <w:rPr>
                <w:sz w:val="20"/>
                <w:szCs w:val="20"/>
              </w:rPr>
              <w:t>25%</w:t>
            </w:r>
          </w:p>
        </w:tc>
        <w:tc>
          <w:tcPr>
            <w:tcW w:w="1008" w:type="dxa"/>
            <w:vAlign w:val="center"/>
          </w:tcPr>
          <w:p w14:paraId="1E05FB60" w14:textId="77777777" w:rsidR="00494699" w:rsidRPr="00F6205B" w:rsidRDefault="00494699" w:rsidP="0044249F">
            <w:pPr>
              <w:keepNext/>
              <w:keepLines/>
              <w:spacing w:after="0"/>
              <w:jc w:val="center"/>
              <w:rPr>
                <w:sz w:val="20"/>
                <w:szCs w:val="20"/>
              </w:rPr>
            </w:pPr>
            <w:r w:rsidRPr="00F6205B">
              <w:rPr>
                <w:sz w:val="20"/>
                <w:szCs w:val="20"/>
              </w:rPr>
              <w:t>37.5%</w:t>
            </w:r>
          </w:p>
        </w:tc>
        <w:tc>
          <w:tcPr>
            <w:tcW w:w="1008" w:type="dxa"/>
            <w:tcBorders>
              <w:right w:val="single" w:sz="4" w:space="0" w:color="auto"/>
            </w:tcBorders>
            <w:vAlign w:val="center"/>
          </w:tcPr>
          <w:p w14:paraId="668955AF" w14:textId="77777777" w:rsidR="00494699" w:rsidRPr="00F6205B" w:rsidRDefault="00494699" w:rsidP="0044249F">
            <w:pPr>
              <w:keepNext/>
              <w:keepLines/>
              <w:spacing w:after="0"/>
              <w:jc w:val="center"/>
              <w:rPr>
                <w:sz w:val="20"/>
                <w:szCs w:val="20"/>
              </w:rPr>
            </w:pPr>
            <w:r w:rsidRPr="00F6205B">
              <w:rPr>
                <w:sz w:val="20"/>
                <w:szCs w:val="20"/>
              </w:rPr>
              <w:t>50%</w:t>
            </w:r>
          </w:p>
        </w:tc>
        <w:tc>
          <w:tcPr>
            <w:tcW w:w="1189" w:type="dxa"/>
            <w:tcBorders>
              <w:left w:val="single" w:sz="4" w:space="0" w:color="auto"/>
            </w:tcBorders>
            <w:vAlign w:val="center"/>
          </w:tcPr>
          <w:p w14:paraId="3DA9032D" w14:textId="77777777" w:rsidR="00494699" w:rsidRPr="00F6205B" w:rsidRDefault="00494699" w:rsidP="0044249F">
            <w:pPr>
              <w:keepNext/>
              <w:keepLines/>
              <w:spacing w:after="0"/>
              <w:jc w:val="center"/>
              <w:rPr>
                <w:sz w:val="20"/>
                <w:szCs w:val="20"/>
              </w:rPr>
            </w:pPr>
            <w:r w:rsidRPr="00F6205B">
              <w:rPr>
                <w:sz w:val="20"/>
                <w:szCs w:val="20"/>
              </w:rPr>
              <w:t>39%</w:t>
            </w:r>
          </w:p>
        </w:tc>
        <w:tc>
          <w:tcPr>
            <w:tcW w:w="1190" w:type="dxa"/>
            <w:vAlign w:val="center"/>
          </w:tcPr>
          <w:p w14:paraId="17EB9EB5" w14:textId="77777777" w:rsidR="00494699" w:rsidRPr="00F6205B" w:rsidRDefault="00494699" w:rsidP="0044249F">
            <w:pPr>
              <w:keepNext/>
              <w:keepLines/>
              <w:spacing w:after="0"/>
              <w:jc w:val="center"/>
              <w:rPr>
                <w:sz w:val="20"/>
                <w:szCs w:val="20"/>
              </w:rPr>
            </w:pPr>
            <w:r w:rsidRPr="00F6205B">
              <w:rPr>
                <w:sz w:val="20"/>
                <w:szCs w:val="20"/>
              </w:rPr>
              <w:t>28%</w:t>
            </w:r>
          </w:p>
        </w:tc>
        <w:tc>
          <w:tcPr>
            <w:tcW w:w="1190" w:type="dxa"/>
            <w:tcBorders>
              <w:right w:val="single" w:sz="4" w:space="0" w:color="auto"/>
            </w:tcBorders>
            <w:vAlign w:val="center"/>
          </w:tcPr>
          <w:p w14:paraId="45343290" w14:textId="77777777" w:rsidR="00494699" w:rsidRPr="00F6205B" w:rsidRDefault="00494699" w:rsidP="0044249F">
            <w:pPr>
              <w:keepNext/>
              <w:keepLines/>
              <w:spacing w:after="0"/>
              <w:jc w:val="center"/>
              <w:rPr>
                <w:sz w:val="20"/>
                <w:szCs w:val="20"/>
              </w:rPr>
            </w:pPr>
            <w:r w:rsidRPr="00F6205B">
              <w:rPr>
                <w:sz w:val="20"/>
                <w:szCs w:val="20"/>
              </w:rPr>
              <w:t>33%</w:t>
            </w:r>
          </w:p>
        </w:tc>
      </w:tr>
      <w:tr w:rsidR="00494699" w:rsidRPr="00F6205B" w14:paraId="588FD37D" w14:textId="77777777" w:rsidTr="006B6D20">
        <w:trPr>
          <w:trHeight w:hRule="exact" w:val="288"/>
          <w:jc w:val="center"/>
        </w:trPr>
        <w:tc>
          <w:tcPr>
            <w:tcW w:w="1409" w:type="dxa"/>
            <w:tcBorders>
              <w:left w:val="single" w:sz="4" w:space="0" w:color="auto"/>
            </w:tcBorders>
            <w:vAlign w:val="center"/>
          </w:tcPr>
          <w:p w14:paraId="3DA03AEE" w14:textId="77777777" w:rsidR="00494699" w:rsidRPr="00F6205B" w:rsidRDefault="00494699" w:rsidP="0044249F">
            <w:pPr>
              <w:keepNext/>
              <w:keepLines/>
              <w:spacing w:after="0"/>
              <w:jc w:val="center"/>
              <w:rPr>
                <w:i/>
                <w:sz w:val="20"/>
                <w:szCs w:val="20"/>
              </w:rPr>
            </w:pPr>
            <w:r w:rsidRPr="00F6205B">
              <w:rPr>
                <w:i/>
                <w:sz w:val="20"/>
                <w:szCs w:val="20"/>
              </w:rPr>
              <w:t>75%</w:t>
            </w:r>
          </w:p>
        </w:tc>
        <w:tc>
          <w:tcPr>
            <w:tcW w:w="1008" w:type="dxa"/>
            <w:vAlign w:val="center"/>
          </w:tcPr>
          <w:p w14:paraId="47018FB5" w14:textId="77777777" w:rsidR="00494699" w:rsidRPr="00F6205B" w:rsidRDefault="00494699" w:rsidP="0044249F">
            <w:pPr>
              <w:keepNext/>
              <w:keepLines/>
              <w:spacing w:after="0"/>
              <w:jc w:val="center"/>
              <w:rPr>
                <w:sz w:val="20"/>
                <w:szCs w:val="20"/>
              </w:rPr>
            </w:pPr>
            <w:r w:rsidRPr="00F6205B">
              <w:rPr>
                <w:sz w:val="20"/>
                <w:szCs w:val="20"/>
              </w:rPr>
              <w:t>18.75%</w:t>
            </w:r>
          </w:p>
        </w:tc>
        <w:tc>
          <w:tcPr>
            <w:tcW w:w="1008" w:type="dxa"/>
            <w:vAlign w:val="center"/>
          </w:tcPr>
          <w:p w14:paraId="21F2E507" w14:textId="77777777" w:rsidR="00494699" w:rsidRPr="00F6205B" w:rsidRDefault="00494699" w:rsidP="0044249F">
            <w:pPr>
              <w:keepNext/>
              <w:keepLines/>
              <w:spacing w:after="0"/>
              <w:jc w:val="center"/>
              <w:rPr>
                <w:sz w:val="20"/>
                <w:szCs w:val="20"/>
              </w:rPr>
            </w:pPr>
            <w:r w:rsidRPr="00F6205B">
              <w:rPr>
                <w:sz w:val="20"/>
                <w:szCs w:val="20"/>
              </w:rPr>
              <w:t>37.5%</w:t>
            </w:r>
          </w:p>
        </w:tc>
        <w:tc>
          <w:tcPr>
            <w:tcW w:w="1008" w:type="dxa"/>
            <w:vAlign w:val="center"/>
          </w:tcPr>
          <w:p w14:paraId="7E4901F3" w14:textId="77777777" w:rsidR="00494699" w:rsidRPr="00F6205B" w:rsidRDefault="00494699" w:rsidP="0044249F">
            <w:pPr>
              <w:keepNext/>
              <w:keepLines/>
              <w:spacing w:after="0"/>
              <w:jc w:val="center"/>
              <w:rPr>
                <w:sz w:val="20"/>
                <w:szCs w:val="20"/>
              </w:rPr>
            </w:pPr>
            <w:r w:rsidRPr="00F6205B">
              <w:rPr>
                <w:sz w:val="20"/>
                <w:szCs w:val="20"/>
              </w:rPr>
              <w:t>56.25%</w:t>
            </w:r>
          </w:p>
        </w:tc>
        <w:tc>
          <w:tcPr>
            <w:tcW w:w="1008" w:type="dxa"/>
            <w:tcBorders>
              <w:right w:val="single" w:sz="4" w:space="0" w:color="auto"/>
            </w:tcBorders>
            <w:vAlign w:val="center"/>
          </w:tcPr>
          <w:p w14:paraId="51DCC143" w14:textId="77777777" w:rsidR="00494699" w:rsidRPr="00F6205B" w:rsidRDefault="00494699" w:rsidP="0044249F">
            <w:pPr>
              <w:keepNext/>
              <w:keepLines/>
              <w:spacing w:after="0"/>
              <w:jc w:val="center"/>
              <w:rPr>
                <w:sz w:val="20"/>
                <w:szCs w:val="20"/>
              </w:rPr>
            </w:pPr>
            <w:r w:rsidRPr="00F6205B">
              <w:rPr>
                <w:sz w:val="20"/>
                <w:szCs w:val="20"/>
              </w:rPr>
              <w:t>75%</w:t>
            </w:r>
          </w:p>
        </w:tc>
        <w:tc>
          <w:tcPr>
            <w:tcW w:w="1189" w:type="dxa"/>
            <w:tcBorders>
              <w:left w:val="single" w:sz="4" w:space="0" w:color="auto"/>
            </w:tcBorders>
            <w:vAlign w:val="center"/>
          </w:tcPr>
          <w:p w14:paraId="1CEEF618" w14:textId="77777777" w:rsidR="00494699" w:rsidRPr="00F6205B" w:rsidRDefault="00494699" w:rsidP="0044249F">
            <w:pPr>
              <w:keepNext/>
              <w:keepLines/>
              <w:spacing w:after="0"/>
              <w:jc w:val="center"/>
              <w:rPr>
                <w:sz w:val="20"/>
                <w:szCs w:val="20"/>
              </w:rPr>
            </w:pPr>
            <w:r w:rsidRPr="00F6205B">
              <w:rPr>
                <w:sz w:val="20"/>
                <w:szCs w:val="20"/>
              </w:rPr>
              <w:t>46%</w:t>
            </w:r>
          </w:p>
        </w:tc>
        <w:tc>
          <w:tcPr>
            <w:tcW w:w="1190" w:type="dxa"/>
            <w:vAlign w:val="center"/>
          </w:tcPr>
          <w:p w14:paraId="1663A687" w14:textId="77777777" w:rsidR="00494699" w:rsidRPr="00F6205B" w:rsidRDefault="00494699" w:rsidP="0044249F">
            <w:pPr>
              <w:keepNext/>
              <w:keepLines/>
              <w:spacing w:after="0"/>
              <w:jc w:val="center"/>
              <w:rPr>
                <w:sz w:val="20"/>
                <w:szCs w:val="20"/>
              </w:rPr>
            </w:pPr>
            <w:r w:rsidRPr="00F6205B">
              <w:rPr>
                <w:sz w:val="20"/>
                <w:szCs w:val="20"/>
              </w:rPr>
              <w:t>37%</w:t>
            </w:r>
          </w:p>
        </w:tc>
        <w:tc>
          <w:tcPr>
            <w:tcW w:w="1190" w:type="dxa"/>
            <w:tcBorders>
              <w:right w:val="single" w:sz="4" w:space="0" w:color="auto"/>
            </w:tcBorders>
            <w:vAlign w:val="center"/>
          </w:tcPr>
          <w:p w14:paraId="07F8382D" w14:textId="77777777" w:rsidR="00494699" w:rsidRPr="00F6205B" w:rsidRDefault="00494699" w:rsidP="0044249F">
            <w:pPr>
              <w:keepNext/>
              <w:keepLines/>
              <w:spacing w:after="0"/>
              <w:jc w:val="center"/>
              <w:rPr>
                <w:sz w:val="20"/>
                <w:szCs w:val="20"/>
              </w:rPr>
            </w:pPr>
            <w:r w:rsidRPr="00F6205B">
              <w:rPr>
                <w:sz w:val="20"/>
                <w:szCs w:val="20"/>
              </w:rPr>
              <w:t>17%</w:t>
            </w:r>
          </w:p>
        </w:tc>
      </w:tr>
      <w:tr w:rsidR="00494699" w:rsidRPr="00F6205B" w14:paraId="633C3207" w14:textId="77777777" w:rsidTr="006B6D20">
        <w:trPr>
          <w:trHeight w:val="288"/>
          <w:jc w:val="center"/>
        </w:trPr>
        <w:tc>
          <w:tcPr>
            <w:tcW w:w="1409" w:type="dxa"/>
            <w:tcBorders>
              <w:left w:val="single" w:sz="4" w:space="0" w:color="auto"/>
              <w:bottom w:val="single" w:sz="4" w:space="0" w:color="auto"/>
            </w:tcBorders>
            <w:vAlign w:val="center"/>
          </w:tcPr>
          <w:p w14:paraId="20B144A5" w14:textId="77777777" w:rsidR="00494699" w:rsidRPr="00F6205B" w:rsidRDefault="00494699" w:rsidP="0044249F">
            <w:pPr>
              <w:keepNext/>
              <w:keepLines/>
              <w:spacing w:after="0"/>
              <w:jc w:val="center"/>
              <w:rPr>
                <w:i/>
                <w:sz w:val="20"/>
                <w:szCs w:val="20"/>
              </w:rPr>
            </w:pPr>
            <w:r w:rsidRPr="00F6205B">
              <w:rPr>
                <w:i/>
                <w:sz w:val="20"/>
                <w:szCs w:val="20"/>
              </w:rPr>
              <w:t>100%</w:t>
            </w:r>
          </w:p>
        </w:tc>
        <w:tc>
          <w:tcPr>
            <w:tcW w:w="1008" w:type="dxa"/>
            <w:tcBorders>
              <w:bottom w:val="single" w:sz="4" w:space="0" w:color="auto"/>
            </w:tcBorders>
            <w:vAlign w:val="center"/>
          </w:tcPr>
          <w:p w14:paraId="4BA32670" w14:textId="77777777" w:rsidR="00494699" w:rsidRPr="00F6205B" w:rsidRDefault="00494699" w:rsidP="0044249F">
            <w:pPr>
              <w:keepNext/>
              <w:keepLines/>
              <w:spacing w:after="0"/>
              <w:jc w:val="center"/>
              <w:rPr>
                <w:sz w:val="20"/>
                <w:szCs w:val="20"/>
              </w:rPr>
            </w:pPr>
            <w:r w:rsidRPr="00F6205B">
              <w:rPr>
                <w:sz w:val="20"/>
                <w:szCs w:val="20"/>
              </w:rPr>
              <w:t>25%</w:t>
            </w:r>
          </w:p>
        </w:tc>
        <w:tc>
          <w:tcPr>
            <w:tcW w:w="1008" w:type="dxa"/>
            <w:tcBorders>
              <w:bottom w:val="single" w:sz="4" w:space="0" w:color="auto"/>
            </w:tcBorders>
            <w:vAlign w:val="center"/>
          </w:tcPr>
          <w:p w14:paraId="4D066EE1" w14:textId="77777777" w:rsidR="00494699" w:rsidRPr="00F6205B" w:rsidRDefault="00494699" w:rsidP="0044249F">
            <w:pPr>
              <w:keepNext/>
              <w:keepLines/>
              <w:spacing w:after="0"/>
              <w:jc w:val="center"/>
              <w:rPr>
                <w:sz w:val="20"/>
                <w:szCs w:val="20"/>
              </w:rPr>
            </w:pPr>
            <w:r w:rsidRPr="00F6205B">
              <w:rPr>
                <w:sz w:val="20"/>
                <w:szCs w:val="20"/>
              </w:rPr>
              <w:t>50%</w:t>
            </w:r>
          </w:p>
        </w:tc>
        <w:tc>
          <w:tcPr>
            <w:tcW w:w="1008" w:type="dxa"/>
            <w:tcBorders>
              <w:bottom w:val="single" w:sz="4" w:space="0" w:color="auto"/>
            </w:tcBorders>
            <w:vAlign w:val="center"/>
          </w:tcPr>
          <w:p w14:paraId="0AD87F90" w14:textId="77777777" w:rsidR="00494699" w:rsidRPr="00F6205B" w:rsidRDefault="00494699" w:rsidP="0044249F">
            <w:pPr>
              <w:keepNext/>
              <w:keepLines/>
              <w:spacing w:after="0"/>
              <w:jc w:val="center"/>
              <w:rPr>
                <w:sz w:val="20"/>
                <w:szCs w:val="20"/>
              </w:rPr>
            </w:pPr>
            <w:r w:rsidRPr="00F6205B">
              <w:rPr>
                <w:sz w:val="20"/>
                <w:szCs w:val="20"/>
              </w:rPr>
              <w:t>75%</w:t>
            </w:r>
          </w:p>
        </w:tc>
        <w:tc>
          <w:tcPr>
            <w:tcW w:w="1008" w:type="dxa"/>
            <w:tcBorders>
              <w:bottom w:val="single" w:sz="4" w:space="0" w:color="auto"/>
              <w:right w:val="single" w:sz="4" w:space="0" w:color="auto"/>
            </w:tcBorders>
            <w:vAlign w:val="center"/>
          </w:tcPr>
          <w:p w14:paraId="2EA27847" w14:textId="77777777" w:rsidR="00494699" w:rsidRPr="00F6205B" w:rsidRDefault="00494699" w:rsidP="0044249F">
            <w:pPr>
              <w:keepNext/>
              <w:keepLines/>
              <w:spacing w:after="0"/>
              <w:jc w:val="center"/>
              <w:rPr>
                <w:sz w:val="20"/>
                <w:szCs w:val="20"/>
              </w:rPr>
            </w:pPr>
            <w:r w:rsidRPr="00F6205B">
              <w:rPr>
                <w:sz w:val="20"/>
                <w:szCs w:val="20"/>
              </w:rPr>
              <w:t>100%</w:t>
            </w:r>
          </w:p>
        </w:tc>
        <w:tc>
          <w:tcPr>
            <w:tcW w:w="1189" w:type="dxa"/>
            <w:tcBorders>
              <w:left w:val="single" w:sz="4" w:space="0" w:color="auto"/>
              <w:bottom w:val="single" w:sz="4" w:space="0" w:color="auto"/>
            </w:tcBorders>
            <w:vAlign w:val="center"/>
          </w:tcPr>
          <w:p w14:paraId="29ED01C7" w14:textId="77777777" w:rsidR="00494699" w:rsidRPr="00F6205B" w:rsidRDefault="00494699" w:rsidP="0044249F">
            <w:pPr>
              <w:keepNext/>
              <w:keepLines/>
              <w:spacing w:after="0"/>
              <w:jc w:val="center"/>
              <w:rPr>
                <w:sz w:val="20"/>
                <w:szCs w:val="20"/>
              </w:rPr>
            </w:pPr>
            <w:r w:rsidRPr="00F6205B">
              <w:rPr>
                <w:sz w:val="20"/>
                <w:szCs w:val="20"/>
              </w:rPr>
              <w:t>53%</w:t>
            </w:r>
          </w:p>
        </w:tc>
        <w:tc>
          <w:tcPr>
            <w:tcW w:w="1190" w:type="dxa"/>
            <w:tcBorders>
              <w:bottom w:val="single" w:sz="4" w:space="0" w:color="auto"/>
            </w:tcBorders>
            <w:vAlign w:val="center"/>
          </w:tcPr>
          <w:p w14:paraId="0469FBCC" w14:textId="77777777" w:rsidR="00494699" w:rsidRPr="00F6205B" w:rsidRDefault="00494699" w:rsidP="0044249F">
            <w:pPr>
              <w:keepNext/>
              <w:keepLines/>
              <w:spacing w:after="0"/>
              <w:jc w:val="center"/>
              <w:rPr>
                <w:sz w:val="20"/>
                <w:szCs w:val="20"/>
              </w:rPr>
            </w:pPr>
            <w:r w:rsidRPr="00F6205B">
              <w:rPr>
                <w:sz w:val="20"/>
                <w:szCs w:val="20"/>
              </w:rPr>
              <w:t>47%</w:t>
            </w:r>
          </w:p>
        </w:tc>
        <w:tc>
          <w:tcPr>
            <w:tcW w:w="1190" w:type="dxa"/>
            <w:tcBorders>
              <w:bottom w:val="single" w:sz="4" w:space="0" w:color="auto"/>
              <w:right w:val="single" w:sz="4" w:space="0" w:color="auto"/>
            </w:tcBorders>
            <w:vAlign w:val="center"/>
          </w:tcPr>
          <w:p w14:paraId="70ED860A" w14:textId="77777777" w:rsidR="00494699" w:rsidRPr="00F6205B" w:rsidRDefault="00494699" w:rsidP="0044249F">
            <w:pPr>
              <w:keepNext/>
              <w:keepLines/>
              <w:spacing w:after="0"/>
              <w:jc w:val="center"/>
              <w:rPr>
                <w:sz w:val="20"/>
                <w:szCs w:val="20"/>
              </w:rPr>
            </w:pPr>
            <w:r w:rsidRPr="00F6205B">
              <w:rPr>
                <w:sz w:val="20"/>
                <w:szCs w:val="20"/>
              </w:rPr>
              <w:t>0%</w:t>
            </w:r>
          </w:p>
        </w:tc>
      </w:tr>
    </w:tbl>
    <w:p w14:paraId="17583540" w14:textId="77777777" w:rsidR="00494699" w:rsidRPr="00F6205B" w:rsidRDefault="00494699" w:rsidP="00D00DEA">
      <w:pPr>
        <w:keepNext/>
        <w:tabs>
          <w:tab w:val="left" w:pos="1215"/>
        </w:tabs>
        <w:rPr>
          <w:sz w:val="18"/>
          <w:szCs w:val="20"/>
        </w:rPr>
      </w:pPr>
      <w:r w:rsidRPr="00F6205B">
        <w:rPr>
          <w:sz w:val="18"/>
          <w:szCs w:val="20"/>
          <w:vertAlign w:val="superscript"/>
        </w:rPr>
        <w:t>i</w:t>
      </w:r>
      <w:r w:rsidRPr="00F6205B">
        <w:rPr>
          <w:sz w:val="18"/>
          <w:szCs w:val="20"/>
        </w:rPr>
        <w:t xml:space="preserve"> These values include the 25.6% of homes that already use gas as their primary heating fuel.</w:t>
      </w:r>
      <w:r w:rsidRPr="00F6205B">
        <w:rPr>
          <w:sz w:val="18"/>
          <w:szCs w:val="20"/>
        </w:rPr>
        <w:tab/>
      </w:r>
      <w:r w:rsidRPr="00F6205B">
        <w:rPr>
          <w:sz w:val="18"/>
          <w:szCs w:val="20"/>
        </w:rPr>
        <w:br/>
      </w:r>
      <w:r w:rsidRPr="00F6205B">
        <w:rPr>
          <w:sz w:val="18"/>
          <w:szCs w:val="20"/>
          <w:vertAlign w:val="superscript"/>
        </w:rPr>
        <w:t>ii</w:t>
      </w:r>
      <w:r w:rsidRPr="00F6205B">
        <w:rPr>
          <w:sz w:val="18"/>
          <w:szCs w:val="20"/>
        </w:rPr>
        <w:t xml:space="preserve"> These values include the 8.8% of homes that already use electricity as their primary heating fuel.</w:t>
      </w:r>
    </w:p>
    <w:p w14:paraId="2DFF91A6" w14:textId="77777777" w:rsidR="00494699" w:rsidRPr="00F6205B" w:rsidRDefault="00494699" w:rsidP="00494699"/>
    <w:p w14:paraId="40834607" w14:textId="58F1949C" w:rsidR="00494699" w:rsidRPr="00F6205B" w:rsidRDefault="00494699" w:rsidP="00494699">
      <w:r w:rsidRPr="00F6205B">
        <w:t>All of the impacts detailed in this report are presented relative to what the annual consumption of a given fuel is expected to be ten years from now. The growth rates</w:t>
      </w:r>
      <w:r w:rsidRPr="00F6205B">
        <w:rPr>
          <w:rStyle w:val="FootnoteReference"/>
        </w:rPr>
        <w:footnoteReference w:id="52"/>
      </w:r>
      <w:r w:rsidRPr="00F6205B">
        <w:t xml:space="preserve"> for these projections along with current fuel consumption and expected fuel consumption ten years from now are detailed in</w:t>
      </w:r>
      <w:r w:rsidR="00572BA6">
        <w:t xml:space="preserve"> </w:t>
      </w:r>
      <w:r w:rsidR="00572BA6">
        <w:fldChar w:fldCharType="begin"/>
      </w:r>
      <w:r w:rsidR="00572BA6">
        <w:instrText xml:space="preserve"> REF _Ref439771352 \h </w:instrText>
      </w:r>
      <w:r w:rsidR="00572BA6">
        <w:fldChar w:fldCharType="separate"/>
      </w:r>
      <w:r w:rsidR="00FA26A9" w:rsidRPr="00F6205B">
        <w:t xml:space="preserve">Table </w:t>
      </w:r>
      <w:r w:rsidR="00FA26A9">
        <w:rPr>
          <w:noProof/>
        </w:rPr>
        <w:t>9</w:t>
      </w:r>
      <w:r w:rsidR="00572BA6">
        <w:fldChar w:fldCharType="end"/>
      </w:r>
      <w:r w:rsidRPr="00F6205B">
        <w:t>.</w:t>
      </w:r>
    </w:p>
    <w:p w14:paraId="07224147" w14:textId="5639844F" w:rsidR="00494699" w:rsidRPr="00F6205B" w:rsidRDefault="00494699" w:rsidP="004F23CF">
      <w:pPr>
        <w:pStyle w:val="Caption"/>
      </w:pPr>
      <w:bookmarkStart w:id="135" w:name="_Ref369769627"/>
      <w:bookmarkStart w:id="136" w:name="_Ref439771352"/>
      <w:bookmarkStart w:id="137" w:name="_Toc373324117"/>
      <w:bookmarkStart w:id="138" w:name="_Toc391887345"/>
      <w:bookmarkStart w:id="139" w:name="_Toc439931840"/>
      <w:r w:rsidRPr="00F6205B">
        <w:t>Table</w:t>
      </w:r>
      <w:bookmarkEnd w:id="135"/>
      <w:r w:rsidR="004F23CF" w:rsidRPr="00F6205B">
        <w:t xml:space="preserve"> </w:t>
      </w:r>
      <w:fldSimple w:instr=" SEQ Table \* ARABIC ">
        <w:r w:rsidR="00FA26A9">
          <w:rPr>
            <w:noProof/>
          </w:rPr>
          <w:t>9</w:t>
        </w:r>
      </w:fldSimple>
      <w:bookmarkEnd w:id="136"/>
      <w:r w:rsidRPr="00F6205B">
        <w:t>: Growth Rates and Annual Consumption Change</w:t>
      </w:r>
      <w:bookmarkEnd w:id="137"/>
      <w:bookmarkEnd w:id="138"/>
      <w:bookmarkEnd w:id="139"/>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2842"/>
        <w:gridCol w:w="1177"/>
        <w:gridCol w:w="1755"/>
        <w:gridCol w:w="1755"/>
      </w:tblGrid>
      <w:tr w:rsidR="00494699" w:rsidRPr="00F6205B" w14:paraId="4CDB6697" w14:textId="77777777" w:rsidTr="002557BE">
        <w:trPr>
          <w:trHeight w:val="288"/>
          <w:jc w:val="center"/>
        </w:trPr>
        <w:tc>
          <w:tcPr>
            <w:tcW w:w="2842" w:type="dxa"/>
            <w:tcBorders>
              <w:top w:val="single" w:sz="4" w:space="0" w:color="auto"/>
              <w:left w:val="single" w:sz="4" w:space="0" w:color="auto"/>
              <w:bottom w:val="single" w:sz="4" w:space="0" w:color="000000" w:themeColor="text1"/>
            </w:tcBorders>
            <w:shd w:val="clear" w:color="auto" w:fill="0B4D2C" w:themeFill="background2" w:themeFillShade="BF"/>
            <w:vAlign w:val="center"/>
          </w:tcPr>
          <w:p w14:paraId="482F0640" w14:textId="77777777" w:rsidR="00494699" w:rsidRPr="00F6205B" w:rsidRDefault="00494699" w:rsidP="0044249F">
            <w:pPr>
              <w:keepLines/>
              <w:spacing w:after="0"/>
              <w:rPr>
                <w:b/>
                <w:color w:val="FFFFFF" w:themeColor="background1"/>
                <w:sz w:val="20"/>
                <w:szCs w:val="20"/>
              </w:rPr>
            </w:pPr>
            <w:r w:rsidRPr="00F6205B">
              <w:rPr>
                <w:b/>
                <w:color w:val="FFFFFF" w:themeColor="background1"/>
                <w:sz w:val="20"/>
                <w:szCs w:val="20"/>
              </w:rPr>
              <w:t>Fuel type</w:t>
            </w:r>
          </w:p>
        </w:tc>
        <w:tc>
          <w:tcPr>
            <w:tcW w:w="1177" w:type="dxa"/>
            <w:tcBorders>
              <w:top w:val="single" w:sz="4" w:space="0" w:color="auto"/>
              <w:bottom w:val="single" w:sz="4" w:space="0" w:color="000000" w:themeColor="text1"/>
            </w:tcBorders>
            <w:shd w:val="clear" w:color="auto" w:fill="0B4D2C" w:themeFill="background2" w:themeFillShade="BF"/>
            <w:vAlign w:val="center"/>
          </w:tcPr>
          <w:p w14:paraId="4F0FADB3" w14:textId="77777777" w:rsidR="00494699" w:rsidRPr="00F6205B" w:rsidRDefault="00494699" w:rsidP="0044249F">
            <w:pPr>
              <w:keepLines/>
              <w:spacing w:after="0"/>
              <w:jc w:val="center"/>
              <w:rPr>
                <w:b/>
                <w:color w:val="FFFFFF" w:themeColor="background1"/>
                <w:sz w:val="20"/>
                <w:szCs w:val="20"/>
              </w:rPr>
            </w:pPr>
            <w:r w:rsidRPr="00F6205B">
              <w:rPr>
                <w:b/>
                <w:color w:val="FFFFFF" w:themeColor="background1"/>
                <w:sz w:val="20"/>
                <w:szCs w:val="20"/>
              </w:rPr>
              <w:t>Annual Growth Rate</w:t>
            </w:r>
          </w:p>
        </w:tc>
        <w:tc>
          <w:tcPr>
            <w:tcW w:w="1755" w:type="dxa"/>
            <w:tcBorders>
              <w:top w:val="single" w:sz="4" w:space="0" w:color="auto"/>
              <w:bottom w:val="single" w:sz="4" w:space="0" w:color="000000" w:themeColor="text1"/>
            </w:tcBorders>
            <w:shd w:val="clear" w:color="auto" w:fill="0B4D2C" w:themeFill="background2" w:themeFillShade="BF"/>
            <w:vAlign w:val="center"/>
          </w:tcPr>
          <w:p w14:paraId="27878DD0" w14:textId="77777777" w:rsidR="00494699" w:rsidRPr="00F6205B" w:rsidRDefault="00494699" w:rsidP="0044249F">
            <w:pPr>
              <w:keepLines/>
              <w:spacing w:after="0"/>
              <w:jc w:val="center"/>
              <w:rPr>
                <w:b/>
                <w:color w:val="FFFFFF" w:themeColor="background1"/>
                <w:sz w:val="20"/>
                <w:szCs w:val="20"/>
              </w:rPr>
            </w:pPr>
            <w:r w:rsidRPr="00F6205B">
              <w:rPr>
                <w:b/>
                <w:color w:val="FFFFFF" w:themeColor="background1"/>
                <w:sz w:val="20"/>
                <w:szCs w:val="20"/>
              </w:rPr>
              <w:t>Current Annual Consumption</w:t>
            </w:r>
          </w:p>
        </w:tc>
        <w:tc>
          <w:tcPr>
            <w:tcW w:w="1755" w:type="dxa"/>
            <w:tcBorders>
              <w:top w:val="single" w:sz="4" w:space="0" w:color="auto"/>
              <w:bottom w:val="single" w:sz="4" w:space="0" w:color="000000" w:themeColor="text1"/>
              <w:right w:val="single" w:sz="4" w:space="0" w:color="auto"/>
            </w:tcBorders>
            <w:shd w:val="clear" w:color="auto" w:fill="0B4D2C" w:themeFill="background2" w:themeFillShade="BF"/>
            <w:vAlign w:val="center"/>
          </w:tcPr>
          <w:p w14:paraId="1658199D" w14:textId="77777777" w:rsidR="00494699" w:rsidRPr="00F6205B" w:rsidRDefault="00494699" w:rsidP="0044249F">
            <w:pPr>
              <w:keepLines/>
              <w:spacing w:after="0"/>
              <w:jc w:val="center"/>
              <w:rPr>
                <w:b/>
                <w:color w:val="FFFFFF" w:themeColor="background1"/>
                <w:sz w:val="20"/>
                <w:szCs w:val="20"/>
              </w:rPr>
            </w:pPr>
            <w:r w:rsidRPr="00F6205B">
              <w:rPr>
                <w:b/>
                <w:color w:val="FFFFFF" w:themeColor="background1"/>
                <w:sz w:val="20"/>
                <w:szCs w:val="20"/>
              </w:rPr>
              <w:t>Annual Consumption at Year Ten, No Fuel Switching</w:t>
            </w:r>
          </w:p>
        </w:tc>
      </w:tr>
      <w:tr w:rsidR="00494699" w:rsidRPr="00F6205B" w14:paraId="7BDB4476" w14:textId="77777777" w:rsidTr="002557BE">
        <w:trPr>
          <w:trHeight w:val="288"/>
          <w:jc w:val="center"/>
        </w:trPr>
        <w:tc>
          <w:tcPr>
            <w:tcW w:w="2842" w:type="dxa"/>
            <w:tcBorders>
              <w:top w:val="single" w:sz="4" w:space="0" w:color="000000" w:themeColor="text1"/>
              <w:left w:val="single" w:sz="4" w:space="0" w:color="auto"/>
            </w:tcBorders>
            <w:vAlign w:val="center"/>
          </w:tcPr>
          <w:p w14:paraId="17FB7E6F" w14:textId="77777777" w:rsidR="00494699" w:rsidRPr="00F6205B" w:rsidRDefault="00494699" w:rsidP="0044249F">
            <w:pPr>
              <w:keepLines/>
              <w:spacing w:after="0"/>
              <w:rPr>
                <w:sz w:val="20"/>
                <w:szCs w:val="20"/>
              </w:rPr>
            </w:pPr>
            <w:r w:rsidRPr="00F6205B">
              <w:rPr>
                <w:sz w:val="20"/>
                <w:szCs w:val="20"/>
              </w:rPr>
              <w:t>Fuel oil (million gallons)</w:t>
            </w:r>
          </w:p>
        </w:tc>
        <w:tc>
          <w:tcPr>
            <w:tcW w:w="1177" w:type="dxa"/>
            <w:tcBorders>
              <w:top w:val="single" w:sz="4" w:space="0" w:color="000000" w:themeColor="text1"/>
            </w:tcBorders>
            <w:vAlign w:val="center"/>
          </w:tcPr>
          <w:p w14:paraId="262E180E" w14:textId="77777777" w:rsidR="00494699" w:rsidRPr="00F6205B" w:rsidRDefault="00494699" w:rsidP="0044249F">
            <w:pPr>
              <w:keepLines/>
              <w:spacing w:after="0"/>
              <w:jc w:val="center"/>
              <w:rPr>
                <w:sz w:val="20"/>
                <w:szCs w:val="20"/>
              </w:rPr>
            </w:pPr>
            <w:r w:rsidRPr="00F6205B">
              <w:rPr>
                <w:sz w:val="20"/>
                <w:szCs w:val="20"/>
              </w:rPr>
              <w:t>- 2.1%</w:t>
            </w:r>
          </w:p>
        </w:tc>
        <w:tc>
          <w:tcPr>
            <w:tcW w:w="1755" w:type="dxa"/>
            <w:tcBorders>
              <w:top w:val="single" w:sz="4" w:space="0" w:color="000000" w:themeColor="text1"/>
            </w:tcBorders>
            <w:vAlign w:val="center"/>
          </w:tcPr>
          <w:p w14:paraId="515D9F9C" w14:textId="77777777" w:rsidR="00494699" w:rsidRPr="00F6205B" w:rsidRDefault="00494699" w:rsidP="0044249F">
            <w:pPr>
              <w:keepLines/>
              <w:spacing w:after="0"/>
              <w:jc w:val="center"/>
              <w:rPr>
                <w:sz w:val="20"/>
                <w:szCs w:val="20"/>
              </w:rPr>
            </w:pPr>
            <w:r w:rsidRPr="00F6205B">
              <w:rPr>
                <w:sz w:val="20"/>
                <w:szCs w:val="20"/>
              </w:rPr>
              <w:t>527.6</w:t>
            </w:r>
          </w:p>
        </w:tc>
        <w:tc>
          <w:tcPr>
            <w:tcW w:w="1755" w:type="dxa"/>
            <w:tcBorders>
              <w:top w:val="single" w:sz="4" w:space="0" w:color="000000" w:themeColor="text1"/>
              <w:right w:val="single" w:sz="4" w:space="0" w:color="auto"/>
            </w:tcBorders>
            <w:vAlign w:val="center"/>
          </w:tcPr>
          <w:p w14:paraId="0FC10B4D" w14:textId="77777777" w:rsidR="00494699" w:rsidRPr="00F6205B" w:rsidRDefault="00494699" w:rsidP="0044249F">
            <w:pPr>
              <w:keepLines/>
              <w:spacing w:after="0"/>
              <w:jc w:val="center"/>
              <w:rPr>
                <w:sz w:val="20"/>
                <w:szCs w:val="20"/>
              </w:rPr>
            </w:pPr>
            <w:r w:rsidRPr="00F6205B">
              <w:rPr>
                <w:sz w:val="20"/>
                <w:szCs w:val="20"/>
              </w:rPr>
              <w:t>435.9</w:t>
            </w:r>
          </w:p>
        </w:tc>
      </w:tr>
      <w:tr w:rsidR="00494699" w:rsidRPr="00F6205B" w14:paraId="16EBA6AA" w14:textId="77777777" w:rsidTr="002557BE">
        <w:trPr>
          <w:trHeight w:val="288"/>
          <w:jc w:val="center"/>
        </w:trPr>
        <w:tc>
          <w:tcPr>
            <w:tcW w:w="2842" w:type="dxa"/>
            <w:tcBorders>
              <w:left w:val="single" w:sz="4" w:space="0" w:color="auto"/>
            </w:tcBorders>
            <w:vAlign w:val="center"/>
          </w:tcPr>
          <w:p w14:paraId="25DE6B9D" w14:textId="77777777" w:rsidR="00494699" w:rsidRPr="00F6205B" w:rsidRDefault="00494699" w:rsidP="0044249F">
            <w:pPr>
              <w:keepLines/>
              <w:spacing w:after="0"/>
              <w:rPr>
                <w:sz w:val="20"/>
                <w:szCs w:val="20"/>
              </w:rPr>
            </w:pPr>
            <w:r w:rsidRPr="00F6205B">
              <w:rPr>
                <w:sz w:val="20"/>
                <w:szCs w:val="20"/>
              </w:rPr>
              <w:t>Propane (million gallons)</w:t>
            </w:r>
          </w:p>
        </w:tc>
        <w:tc>
          <w:tcPr>
            <w:tcW w:w="1177" w:type="dxa"/>
            <w:vAlign w:val="center"/>
          </w:tcPr>
          <w:p w14:paraId="60D32C8A" w14:textId="77777777" w:rsidR="00494699" w:rsidRPr="00F6205B" w:rsidRDefault="00494699" w:rsidP="0044249F">
            <w:pPr>
              <w:keepLines/>
              <w:spacing w:after="0"/>
              <w:jc w:val="center"/>
              <w:rPr>
                <w:sz w:val="20"/>
                <w:szCs w:val="20"/>
              </w:rPr>
            </w:pPr>
            <w:r w:rsidRPr="00F6205B">
              <w:rPr>
                <w:sz w:val="20"/>
                <w:szCs w:val="20"/>
              </w:rPr>
              <w:t>0.4%</w:t>
            </w:r>
          </w:p>
        </w:tc>
        <w:tc>
          <w:tcPr>
            <w:tcW w:w="1755" w:type="dxa"/>
            <w:vAlign w:val="center"/>
          </w:tcPr>
          <w:p w14:paraId="2060A76A" w14:textId="77777777" w:rsidR="00494699" w:rsidRPr="00F6205B" w:rsidRDefault="00494699" w:rsidP="0044249F">
            <w:pPr>
              <w:keepLines/>
              <w:spacing w:after="0"/>
              <w:jc w:val="center"/>
              <w:rPr>
                <w:sz w:val="20"/>
                <w:szCs w:val="20"/>
              </w:rPr>
            </w:pPr>
            <w:r w:rsidRPr="00F6205B">
              <w:rPr>
                <w:sz w:val="20"/>
                <w:szCs w:val="20"/>
              </w:rPr>
              <w:t>34.4</w:t>
            </w:r>
          </w:p>
        </w:tc>
        <w:tc>
          <w:tcPr>
            <w:tcW w:w="1755" w:type="dxa"/>
            <w:tcBorders>
              <w:right w:val="single" w:sz="4" w:space="0" w:color="auto"/>
            </w:tcBorders>
            <w:vAlign w:val="center"/>
          </w:tcPr>
          <w:p w14:paraId="37035BF5" w14:textId="77777777" w:rsidR="00494699" w:rsidRPr="00F6205B" w:rsidRDefault="00494699" w:rsidP="0044249F">
            <w:pPr>
              <w:keepLines/>
              <w:spacing w:after="0"/>
              <w:jc w:val="center"/>
              <w:rPr>
                <w:sz w:val="20"/>
                <w:szCs w:val="20"/>
              </w:rPr>
            </w:pPr>
            <w:r w:rsidRPr="00F6205B">
              <w:rPr>
                <w:sz w:val="20"/>
                <w:szCs w:val="20"/>
              </w:rPr>
              <w:t>35.7</w:t>
            </w:r>
          </w:p>
        </w:tc>
      </w:tr>
      <w:tr w:rsidR="00494699" w:rsidRPr="00F6205B" w14:paraId="580E3854" w14:textId="77777777" w:rsidTr="002557BE">
        <w:trPr>
          <w:trHeight w:val="288"/>
          <w:jc w:val="center"/>
        </w:trPr>
        <w:tc>
          <w:tcPr>
            <w:tcW w:w="2842" w:type="dxa"/>
            <w:tcBorders>
              <w:left w:val="single" w:sz="4" w:space="0" w:color="auto"/>
            </w:tcBorders>
            <w:vAlign w:val="center"/>
          </w:tcPr>
          <w:p w14:paraId="6965875F" w14:textId="77777777" w:rsidR="00494699" w:rsidRPr="00F6205B" w:rsidRDefault="00494699" w:rsidP="0044249F">
            <w:pPr>
              <w:keepLines/>
              <w:spacing w:after="0"/>
              <w:rPr>
                <w:sz w:val="20"/>
                <w:szCs w:val="20"/>
              </w:rPr>
            </w:pPr>
            <w:r w:rsidRPr="00F6205B">
              <w:rPr>
                <w:sz w:val="20"/>
                <w:szCs w:val="20"/>
              </w:rPr>
              <w:t>Natural gas (million ccf)</w:t>
            </w:r>
          </w:p>
        </w:tc>
        <w:tc>
          <w:tcPr>
            <w:tcW w:w="1177" w:type="dxa"/>
            <w:vAlign w:val="center"/>
          </w:tcPr>
          <w:p w14:paraId="77072984" w14:textId="77777777" w:rsidR="00494699" w:rsidRPr="00F6205B" w:rsidRDefault="00494699" w:rsidP="0044249F">
            <w:pPr>
              <w:keepLines/>
              <w:spacing w:after="0"/>
              <w:jc w:val="center"/>
              <w:rPr>
                <w:sz w:val="20"/>
                <w:szCs w:val="20"/>
              </w:rPr>
            </w:pPr>
            <w:r w:rsidRPr="00F6205B">
              <w:rPr>
                <w:sz w:val="20"/>
                <w:szCs w:val="20"/>
              </w:rPr>
              <w:t>0.7%</w:t>
            </w:r>
          </w:p>
        </w:tc>
        <w:tc>
          <w:tcPr>
            <w:tcW w:w="1755" w:type="dxa"/>
            <w:vAlign w:val="center"/>
          </w:tcPr>
          <w:p w14:paraId="68D09D45" w14:textId="77777777" w:rsidR="00494699" w:rsidRPr="00F6205B" w:rsidRDefault="00494699" w:rsidP="0044249F">
            <w:pPr>
              <w:keepLines/>
              <w:spacing w:after="0"/>
              <w:jc w:val="center"/>
              <w:rPr>
                <w:sz w:val="20"/>
                <w:szCs w:val="20"/>
              </w:rPr>
            </w:pPr>
            <w:r w:rsidRPr="00F6205B">
              <w:rPr>
                <w:sz w:val="20"/>
                <w:szCs w:val="20"/>
              </w:rPr>
              <w:t>326.8</w:t>
            </w:r>
          </w:p>
        </w:tc>
        <w:tc>
          <w:tcPr>
            <w:tcW w:w="1755" w:type="dxa"/>
            <w:tcBorders>
              <w:right w:val="single" w:sz="4" w:space="0" w:color="auto"/>
            </w:tcBorders>
            <w:vAlign w:val="center"/>
          </w:tcPr>
          <w:p w14:paraId="262E44B2" w14:textId="77777777" w:rsidR="00494699" w:rsidRPr="00F6205B" w:rsidRDefault="00494699" w:rsidP="0044249F">
            <w:pPr>
              <w:keepLines/>
              <w:spacing w:after="0"/>
              <w:jc w:val="center"/>
              <w:rPr>
                <w:sz w:val="20"/>
                <w:szCs w:val="20"/>
              </w:rPr>
            </w:pPr>
            <w:r w:rsidRPr="00F6205B">
              <w:rPr>
                <w:sz w:val="20"/>
                <w:szCs w:val="20"/>
              </w:rPr>
              <w:t>348.0</w:t>
            </w:r>
          </w:p>
        </w:tc>
      </w:tr>
      <w:tr w:rsidR="00494699" w:rsidRPr="00F6205B" w14:paraId="26974625" w14:textId="77777777" w:rsidTr="002557BE">
        <w:trPr>
          <w:trHeight w:val="288"/>
          <w:jc w:val="center"/>
        </w:trPr>
        <w:tc>
          <w:tcPr>
            <w:tcW w:w="2842" w:type="dxa"/>
            <w:tcBorders>
              <w:left w:val="single" w:sz="4" w:space="0" w:color="auto"/>
              <w:bottom w:val="single" w:sz="4" w:space="0" w:color="auto"/>
            </w:tcBorders>
            <w:vAlign w:val="center"/>
          </w:tcPr>
          <w:p w14:paraId="3493DC49" w14:textId="77777777" w:rsidR="00494699" w:rsidRPr="00F6205B" w:rsidRDefault="00494699" w:rsidP="0044249F">
            <w:pPr>
              <w:keepLines/>
              <w:spacing w:after="0"/>
              <w:rPr>
                <w:sz w:val="20"/>
                <w:szCs w:val="20"/>
              </w:rPr>
            </w:pPr>
            <w:r w:rsidRPr="00F6205B">
              <w:rPr>
                <w:sz w:val="20"/>
                <w:szCs w:val="20"/>
              </w:rPr>
              <w:t>Electricity (million kWh)</w:t>
            </w:r>
          </w:p>
        </w:tc>
        <w:tc>
          <w:tcPr>
            <w:tcW w:w="1177" w:type="dxa"/>
            <w:tcBorders>
              <w:bottom w:val="single" w:sz="4" w:space="0" w:color="auto"/>
            </w:tcBorders>
            <w:vAlign w:val="center"/>
          </w:tcPr>
          <w:p w14:paraId="2776BA55" w14:textId="77777777" w:rsidR="00494699" w:rsidRPr="00F6205B" w:rsidRDefault="00494699" w:rsidP="0044249F">
            <w:pPr>
              <w:keepLines/>
              <w:spacing w:after="0"/>
              <w:jc w:val="center"/>
              <w:rPr>
                <w:sz w:val="20"/>
                <w:szCs w:val="20"/>
              </w:rPr>
            </w:pPr>
            <w:r w:rsidRPr="00F6205B">
              <w:rPr>
                <w:sz w:val="20"/>
                <w:szCs w:val="20"/>
              </w:rPr>
              <w:t>1.0%</w:t>
            </w:r>
          </w:p>
        </w:tc>
        <w:tc>
          <w:tcPr>
            <w:tcW w:w="1755" w:type="dxa"/>
            <w:tcBorders>
              <w:bottom w:val="single" w:sz="4" w:space="0" w:color="auto"/>
            </w:tcBorders>
            <w:vAlign w:val="center"/>
          </w:tcPr>
          <w:p w14:paraId="10D7123E" w14:textId="77777777" w:rsidR="00494699" w:rsidRPr="00F6205B" w:rsidRDefault="00494699" w:rsidP="0044249F">
            <w:pPr>
              <w:keepLines/>
              <w:spacing w:after="0"/>
              <w:jc w:val="center"/>
              <w:rPr>
                <w:sz w:val="20"/>
                <w:szCs w:val="20"/>
              </w:rPr>
            </w:pPr>
            <w:r w:rsidRPr="00F6205B">
              <w:rPr>
                <w:sz w:val="20"/>
                <w:szCs w:val="20"/>
              </w:rPr>
              <w:t>12,048.2</w:t>
            </w:r>
          </w:p>
        </w:tc>
        <w:tc>
          <w:tcPr>
            <w:tcW w:w="1755" w:type="dxa"/>
            <w:tcBorders>
              <w:bottom w:val="single" w:sz="4" w:space="0" w:color="auto"/>
              <w:right w:val="single" w:sz="4" w:space="0" w:color="auto"/>
            </w:tcBorders>
            <w:vAlign w:val="center"/>
          </w:tcPr>
          <w:p w14:paraId="25E39351" w14:textId="77777777" w:rsidR="00494699" w:rsidRPr="00F6205B" w:rsidRDefault="00494699" w:rsidP="0044249F">
            <w:pPr>
              <w:keepLines/>
              <w:spacing w:after="0"/>
              <w:jc w:val="center"/>
              <w:rPr>
                <w:sz w:val="20"/>
                <w:szCs w:val="20"/>
              </w:rPr>
            </w:pPr>
            <w:r w:rsidRPr="00F6205B">
              <w:rPr>
                <w:sz w:val="20"/>
                <w:szCs w:val="20"/>
              </w:rPr>
              <w:t>13,177.0</w:t>
            </w:r>
          </w:p>
        </w:tc>
      </w:tr>
    </w:tbl>
    <w:p w14:paraId="146ACA5E" w14:textId="77777777" w:rsidR="00494699" w:rsidRPr="00F6205B" w:rsidRDefault="00494699" w:rsidP="00494699"/>
    <w:p w14:paraId="3EB9986E" w14:textId="77777777" w:rsidR="003A6CD9" w:rsidRDefault="003A6CD9" w:rsidP="005A095F">
      <w:pPr>
        <w:spacing w:line="280" w:lineRule="exact"/>
        <w:ind w:right="540"/>
        <w:rPr>
          <w:szCs w:val="20"/>
        </w:rPr>
        <w:sectPr w:rsidR="003A6CD9" w:rsidSect="009B5AD3">
          <w:headerReference w:type="default" r:id="rId38"/>
          <w:footerReference w:type="default" r:id="rId39"/>
          <w:pgSz w:w="12240" w:h="15840"/>
          <w:pgMar w:top="1440" w:right="1872" w:bottom="1440" w:left="1440" w:header="0" w:footer="0" w:gutter="0"/>
          <w:cols w:space="720"/>
          <w:docGrid w:linePitch="272"/>
        </w:sectPr>
      </w:pPr>
    </w:p>
    <w:bookmarkStart w:id="140" w:name="_Toc439939399"/>
    <w:p w14:paraId="7E37ECAC" w14:textId="5C51A514" w:rsidR="00494699" w:rsidRPr="00F6205B" w:rsidRDefault="00494699" w:rsidP="00494699">
      <w:pPr>
        <w:pStyle w:val="Heading1"/>
      </w:pPr>
      <w:r w:rsidRPr="00F6205B">
        <w:lastRenderedPageBreak/>
        <mc:AlternateContent>
          <mc:Choice Requires="wps">
            <w:drawing>
              <wp:anchor distT="0" distB="0" distL="114300" distR="114300" simplePos="0" relativeHeight="251641856" behindDoc="0" locked="0" layoutInCell="1" allowOverlap="1" wp14:anchorId="2F107F58" wp14:editId="5CF72E73">
                <wp:simplePos x="0" y="0"/>
                <wp:positionH relativeFrom="column">
                  <wp:posOffset>12700</wp:posOffset>
                </wp:positionH>
                <wp:positionV relativeFrom="paragraph">
                  <wp:posOffset>53340</wp:posOffset>
                </wp:positionV>
                <wp:extent cx="1143000" cy="114300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C5C5BBA" w14:textId="495A1D34" w:rsidR="009027EC" w:rsidRPr="00691F20" w:rsidRDefault="009027EC" w:rsidP="00494699">
                            <w:pPr>
                              <w:spacing w:after="0"/>
                              <w:jc w:val="center"/>
                              <w:rPr>
                                <w:b/>
                                <w:color w:val="FFFFFF" w:themeColor="background1"/>
                                <w:sz w:val="134"/>
                                <w:szCs w:val="134"/>
                              </w:rPr>
                            </w:pPr>
                            <w:r>
                              <w:rPr>
                                <w:b/>
                                <w:color w:val="FFFFFF" w:themeColor="background1"/>
                                <w:sz w:val="134"/>
                                <w:szCs w:val="13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2F107F58" id="Text Box 13" o:spid="_x0000_s1030" type="#_x0000_t202" style="position:absolute;margin-left:1pt;margin-top:4.2pt;width:90pt;height:90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GfExwIAAPEFAAAOAAAAZHJzL2Uyb0RvYy54bWysVFtP2zAUfp+0/2D5vSQp4VaRolDUaVI1&#10;0GDi2XXsNsLx8Wy3DZv233fsJKWwvTDtJbF9vnP7zuXyqm0U2QrratAFzY5SSoTmUNV6VdBvD/PR&#10;OSXOM10xBVoU9Fk4ejX9+OFyZyZiDGtQlbAEjWg32ZmCrr03kyRxfC0a5o7ACI1CCbZhHq92lVSW&#10;7dB6o5Jxmp4mO7CVscCFc/h60wnpNNqXUnB/K6UTnqiCYmw+fm38LsM3mV6yycoys655Hwb7hyga&#10;Vmt0ujd1wzwjG1v/YaqpuQUH0h9xaBKQsuYi5oDZZOmbbO7XzIiYC5LjzJ4m9//M8i/bO0vqCmt3&#10;TIlmDdboQbSeXENL8An52Rk3Qdi9QaBv8R2xMVdnFsCfHEKSA0yn4BAd+GilbcIfMyWoiCV43tMe&#10;3PBgLcuP0xRFHGXDJVh9UTfW+U8CGhIOBbVY1xgC2y6c76ADJHhzoOpqXisVL3a1nClLtiz0wPz0&#10;7Pg6pIXWX8GUDmANQa0Tdy8idlHnhk0wZjwGZIg+Vvjn7ORsXJ6dXIxOy5NslGfp+ags0/HoZl6m&#10;ZZrPZxf59a/e5aAfGetICtw5/6xEsKr0VyGxHpGrGH2YBLGPn3EutM96axEdUBKDfo9ij495xPze&#10;o9wxghrRM2i/V25qDbbrjddhV09DyLLD9z3T5x0o8O2yjY2YD023hOoZe85CN7XO8HmN5V8w5++Y&#10;xTHFlsHV42/xIxXsCgr9iZI12B9/ew94nB6UUrLDsS+o+75hVlCiPmucq4ssz8OeiJccC4sXeyhZ&#10;Hkr0ppkBdlWGS87weAx4r4ajtNA84oYqg1cUMc3Rd0G5t8Nl5rt1hDuOi7KMMNwNhvmFvjd8GLbQ&#10;3g/tI7OmnwGPrfQFhhXBJm9GocOGCmkoNx5kHeckMN3x2lcA90qchX4HhsV1eI+ol009/Q0AAP//&#10;AwBQSwMEFAAGAAgAAAAhAHQKJGjZAAAABwEAAA8AAABkcnMvZG93bnJldi54bWxMjzFPwzAQhXck&#10;/oN1SN2o06pCUYhTIVrEwETLwHiJr0mEfU5tt0n/Pc4E2717p3ffK7eTNeJKPvSOFayWGQjixume&#10;WwVfx7fHHESIyBqNY1JwowDb6v6uxEK7kT/peoitSCEcClTQxTgUUoamI4th6Qbi5J2ctxiT9K3U&#10;HscUbo1cZ9mTtNhz+tDhQK8dNT+Hi1WAWb0LzHv9bk4fzW48fx/9aqPU4mF6eQYRaYp/xzDjJ3So&#10;ElPtLqyDMArWqUlUkG9AzG4+63oe0kZWpfzPX/0CAAD//wMAUEsBAi0AFAAGAAgAAAAhALaDOJL+&#10;AAAA4QEAABMAAAAAAAAAAAAAAAAAAAAAAFtDb250ZW50X1R5cGVzXS54bWxQSwECLQAUAAYACAAA&#10;ACEAOP0h/9YAAACUAQAACwAAAAAAAAAAAAAAAAAvAQAAX3JlbHMvLnJlbHNQSwECLQAUAAYACAAA&#10;ACEABshnxMcCAADxBQAADgAAAAAAAAAAAAAAAAAuAgAAZHJzL2Uyb0RvYy54bWxQSwECLQAUAAYA&#10;CAAAACEAdAokaNkAAAAHAQAADwAAAAAAAAAAAAAAAAAhBQAAZHJzL2Rvd25yZXYueG1sUEsFBgAA&#10;AAAEAAQA8wAAACcGAAAAAA==&#10;" fillcolor="#0f673b" stroked="f">
                <v:path arrowok="t"/>
                <v:textbox>
                  <w:txbxContent>
                    <w:p w14:paraId="7C5C5BBA" w14:textId="495A1D34" w:rsidR="009027EC" w:rsidRPr="00691F20" w:rsidRDefault="009027EC" w:rsidP="00494699">
                      <w:pPr>
                        <w:spacing w:after="0"/>
                        <w:jc w:val="center"/>
                        <w:rPr>
                          <w:b/>
                          <w:color w:val="FFFFFF" w:themeColor="background1"/>
                          <w:sz w:val="134"/>
                          <w:szCs w:val="134"/>
                        </w:rPr>
                      </w:pPr>
                      <w:r>
                        <w:rPr>
                          <w:b/>
                          <w:color w:val="FFFFFF" w:themeColor="background1"/>
                          <w:sz w:val="134"/>
                          <w:szCs w:val="134"/>
                        </w:rPr>
                        <w:t>3</w:t>
                      </w:r>
                    </w:p>
                  </w:txbxContent>
                </v:textbox>
                <w10:wrap type="square"/>
              </v:shape>
            </w:pict>
          </mc:Fallback>
        </mc:AlternateContent>
      </w:r>
      <w:r w:rsidRPr="00F6205B">
        <w:rPr>
          <w:szCs w:val="20"/>
        </w:rPr>
        <w:t>Sampling &amp; Weighting</w:t>
      </w:r>
      <w:bookmarkEnd w:id="140"/>
    </w:p>
    <w:p w14:paraId="10A5148B" w14:textId="6FB79E24" w:rsidR="00AE0B0E" w:rsidRPr="00F6205B" w:rsidRDefault="00494699" w:rsidP="00494699">
      <w:r w:rsidRPr="00F6205B">
        <w:t xml:space="preserve">The same 180 single-family homes which </w:t>
      </w:r>
      <w:r w:rsidR="00307437" w:rsidRPr="00F6205B">
        <w:t>were</w:t>
      </w:r>
      <w:r w:rsidRPr="00F6205B">
        <w:t xml:space="preserve"> audited for the Connecticut Weatherization Baseline Assessment</w:t>
      </w:r>
      <w:r w:rsidRPr="00F6205B">
        <w:rPr>
          <w:rStyle w:val="FootnoteReference"/>
        </w:rPr>
        <w:footnoteReference w:id="53"/>
      </w:r>
      <w:r w:rsidRPr="00F6205B">
        <w:t xml:space="preserve"> were used to model savings potential for </w:t>
      </w:r>
      <w:r w:rsidR="00AE0B0E" w:rsidRPr="00F6205B">
        <w:t>this study</w:t>
      </w:r>
      <w:r w:rsidRPr="00F6205B">
        <w:t xml:space="preserve">. The </w:t>
      </w:r>
      <w:r w:rsidR="00AE0B0E" w:rsidRPr="00F6205B">
        <w:t xml:space="preserve">Weatherization </w:t>
      </w:r>
      <w:r w:rsidRPr="00F6205B">
        <w:t xml:space="preserve">study focused exclusively on single-family homes, both detached (stand-alone homes) and attached (side-by-side duplexes and townhouses that have a wall dividing them from attic to basement and </w:t>
      </w:r>
      <w:r w:rsidR="00AE0B0E" w:rsidRPr="00F6205B">
        <w:t>that pay utilities separately).</w:t>
      </w:r>
    </w:p>
    <w:p w14:paraId="7AB3AC40" w14:textId="1934157B" w:rsidR="00AE0B0E" w:rsidRPr="00F6205B" w:rsidRDefault="00494699" w:rsidP="00494699">
      <w:r w:rsidRPr="00F6205B">
        <w:t xml:space="preserve">Multifamily units—even smaller ones with two to four units—were excluded from the study due to the complexity and concomitant added costs of including them in the evaluation. Specifically, multifamily units would be difficult to recruit for this study as these units have a higher proportion of renters; the need to secure landlord permission—and the difficulties in doing so—reduced the likelihood that </w:t>
      </w:r>
      <w:r w:rsidR="004C6F72" w:rsidRPr="00F6205B">
        <w:t>auditors</w:t>
      </w:r>
      <w:r w:rsidRPr="00F6205B">
        <w:t xml:space="preserve"> would have permission to enter such buildings to perfo</w:t>
      </w:r>
      <w:r w:rsidR="00AE0B0E" w:rsidRPr="00F6205B">
        <w:t xml:space="preserve">rm a weatherization assessment. </w:t>
      </w:r>
      <w:r w:rsidRPr="00F6205B">
        <w:t xml:space="preserve">Additionally, it can be challenging to assess the efficiency of the buildings without having access to all of the units. From a logistics perspective, it would be quite difficult to coordinate participation of multiple tenants (renters or condominium owners) within the same building in order to achieve the most reliable study results. All of these factors lend themselves to a more expensive study, and the EEB and DEEP </w:t>
      </w:r>
      <w:r w:rsidR="004C6F72" w:rsidRPr="00F6205B">
        <w:t>decided</w:t>
      </w:r>
      <w:r w:rsidRPr="00F6205B">
        <w:t xml:space="preserve"> t</w:t>
      </w:r>
      <w:r w:rsidR="00AE0B0E" w:rsidRPr="00F6205B">
        <w:t>o exclude them for this reason.</w:t>
      </w:r>
    </w:p>
    <w:p w14:paraId="724059EE" w14:textId="4C9435A3" w:rsidR="00494699" w:rsidRPr="00F6205B" w:rsidRDefault="00494699" w:rsidP="00494699">
      <w:r w:rsidRPr="00F6205B">
        <w:t>The evaluators relied on a disproportionately stratified design that aimed to achieve 10% sampling error or better at the 90% confidence level across all of Connecticut and also for several subgroups of interest (</w:t>
      </w:r>
      <w:r w:rsidR="0071566D">
        <w:fldChar w:fldCharType="begin"/>
      </w:r>
      <w:r w:rsidR="0071566D">
        <w:instrText xml:space="preserve"> REF _Ref439697135 \h </w:instrText>
      </w:r>
      <w:r w:rsidR="0071566D">
        <w:fldChar w:fldCharType="separate"/>
      </w:r>
      <w:r w:rsidR="00FA26A9" w:rsidRPr="00F6205B">
        <w:t xml:space="preserve">Table </w:t>
      </w:r>
      <w:r w:rsidR="00FA26A9">
        <w:rPr>
          <w:noProof/>
        </w:rPr>
        <w:t>10</w:t>
      </w:r>
      <w:r w:rsidR="0071566D">
        <w:fldChar w:fldCharType="end"/>
      </w:r>
      <w:r w:rsidRPr="00F6205B">
        <w:t>). This level of precision means that one can be 90% confident that the results are a reasonably (±10% or less) accurate description of all the single-family homes in Connecticut. All precisions are based on a coefficient of variation of 0.5.</w:t>
      </w:r>
      <w:r w:rsidRPr="00F6205B">
        <w:rPr>
          <w:rStyle w:val="FootnoteReference"/>
        </w:rPr>
        <w:footnoteReference w:id="54"/>
      </w:r>
      <w:r w:rsidRPr="00F6205B">
        <w:t xml:space="preserve">  </w:t>
      </w:r>
    </w:p>
    <w:p w14:paraId="29C6F82C" w14:textId="3D519263" w:rsidR="00494699" w:rsidRPr="00F6205B" w:rsidRDefault="00494699" w:rsidP="004F23CF">
      <w:pPr>
        <w:pStyle w:val="Caption"/>
      </w:pPr>
      <w:bookmarkStart w:id="141" w:name="_Ref390760019"/>
      <w:bookmarkStart w:id="142" w:name="_Ref439697135"/>
      <w:bookmarkStart w:id="143" w:name="_Toc391887346"/>
      <w:bookmarkStart w:id="144" w:name="_Toc439931841"/>
      <w:r w:rsidRPr="00F6205B">
        <w:lastRenderedPageBreak/>
        <w:t>Table</w:t>
      </w:r>
      <w:bookmarkEnd w:id="141"/>
      <w:r w:rsidR="004F23CF" w:rsidRPr="00F6205B">
        <w:t xml:space="preserve"> </w:t>
      </w:r>
      <w:fldSimple w:instr=" SEQ Table \* ARABIC ">
        <w:r w:rsidR="00FA26A9">
          <w:rPr>
            <w:noProof/>
          </w:rPr>
          <w:t>10</w:t>
        </w:r>
      </w:fldSimple>
      <w:bookmarkEnd w:id="142"/>
      <w:r w:rsidRPr="00F6205B">
        <w:t xml:space="preserve">: Sample </w:t>
      </w:r>
      <w:r w:rsidR="00971616" w:rsidRPr="00F6205B">
        <w:t>Design—</w:t>
      </w:r>
      <w:r w:rsidRPr="00F6205B">
        <w:t>Plan</w:t>
      </w:r>
      <w:r w:rsidR="00971616" w:rsidRPr="00F6205B">
        <w:t>ned &amp; Actual</w:t>
      </w:r>
      <w:r w:rsidRPr="00F6205B">
        <w:t xml:space="preserve"> with Sampling Error</w:t>
      </w:r>
      <w:bookmarkEnd w:id="143"/>
      <w:bookmarkEnd w:id="144"/>
    </w:p>
    <w:tbl>
      <w:tblPr>
        <w:tblW w:w="875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158"/>
        <w:gridCol w:w="1533"/>
        <w:gridCol w:w="1534"/>
        <w:gridCol w:w="1534"/>
      </w:tblGrid>
      <w:tr w:rsidR="00494699" w:rsidRPr="00F6205B" w14:paraId="5C92321C" w14:textId="77777777" w:rsidTr="00A660D6">
        <w:trPr>
          <w:trHeight w:val="828"/>
          <w:jc w:val="center"/>
        </w:trPr>
        <w:tc>
          <w:tcPr>
            <w:tcW w:w="4158" w:type="dxa"/>
            <w:tcBorders>
              <w:top w:val="single" w:sz="4" w:space="0" w:color="auto"/>
              <w:left w:val="single" w:sz="4" w:space="0" w:color="auto"/>
              <w:bottom w:val="single" w:sz="4" w:space="0" w:color="auto"/>
            </w:tcBorders>
            <w:shd w:val="clear" w:color="auto" w:fill="0B4D2C" w:themeFill="background2" w:themeFillShade="BF"/>
            <w:noWrap/>
            <w:vAlign w:val="center"/>
            <w:hideMark/>
          </w:tcPr>
          <w:p w14:paraId="512B7B70" w14:textId="77777777" w:rsidR="00494699" w:rsidRPr="00F6205B" w:rsidRDefault="00494699" w:rsidP="0044249F">
            <w:pPr>
              <w:keepNext/>
              <w:keepLines/>
              <w:spacing w:after="0" w:line="240" w:lineRule="auto"/>
              <w:jc w:val="center"/>
              <w:rPr>
                <w:rFonts w:eastAsia="Times New Roman"/>
                <w:b/>
                <w:sz w:val="20"/>
                <w:szCs w:val="20"/>
              </w:rPr>
            </w:pPr>
            <w:r w:rsidRPr="00F6205B">
              <w:rPr>
                <w:rFonts w:eastAsia="Times New Roman"/>
                <w:b/>
                <w:sz w:val="20"/>
                <w:szCs w:val="20"/>
              </w:rPr>
              <w:t>Single-family Segment</w:t>
            </w:r>
          </w:p>
        </w:tc>
        <w:tc>
          <w:tcPr>
            <w:tcW w:w="1533" w:type="dxa"/>
            <w:tcBorders>
              <w:top w:val="single" w:sz="4" w:space="0" w:color="auto"/>
              <w:bottom w:val="single" w:sz="4" w:space="0" w:color="auto"/>
            </w:tcBorders>
            <w:shd w:val="clear" w:color="auto" w:fill="0B4D2C" w:themeFill="background2" w:themeFillShade="BF"/>
            <w:noWrap/>
            <w:vAlign w:val="center"/>
            <w:hideMark/>
          </w:tcPr>
          <w:p w14:paraId="0C2B4E29" w14:textId="77777777" w:rsidR="00494699" w:rsidRPr="00F6205B" w:rsidRDefault="00494699" w:rsidP="0044249F">
            <w:pPr>
              <w:keepNext/>
              <w:keepLines/>
              <w:spacing w:after="0" w:line="240" w:lineRule="auto"/>
              <w:jc w:val="center"/>
              <w:rPr>
                <w:rFonts w:eastAsia="Times New Roman"/>
                <w:b/>
                <w:sz w:val="20"/>
                <w:szCs w:val="20"/>
              </w:rPr>
            </w:pPr>
            <w:r w:rsidRPr="00F6205B">
              <w:rPr>
                <w:rFonts w:eastAsia="Times New Roman"/>
                <w:b/>
                <w:sz w:val="20"/>
                <w:szCs w:val="20"/>
              </w:rPr>
              <w:t>Planned Sample Size</w:t>
            </w:r>
          </w:p>
        </w:tc>
        <w:tc>
          <w:tcPr>
            <w:tcW w:w="1534" w:type="dxa"/>
            <w:tcBorders>
              <w:top w:val="single" w:sz="4" w:space="0" w:color="auto"/>
              <w:bottom w:val="single" w:sz="4" w:space="0" w:color="auto"/>
            </w:tcBorders>
            <w:shd w:val="clear" w:color="auto" w:fill="0B4D2C" w:themeFill="background2" w:themeFillShade="BF"/>
            <w:vAlign w:val="center"/>
          </w:tcPr>
          <w:p w14:paraId="74621F88" w14:textId="77777777" w:rsidR="00494699" w:rsidRPr="00F6205B" w:rsidRDefault="00494699" w:rsidP="0044249F">
            <w:pPr>
              <w:keepNext/>
              <w:keepLines/>
              <w:spacing w:after="0" w:line="240" w:lineRule="auto"/>
              <w:jc w:val="center"/>
              <w:rPr>
                <w:rFonts w:eastAsia="Times New Roman"/>
                <w:b/>
                <w:sz w:val="20"/>
                <w:szCs w:val="20"/>
              </w:rPr>
            </w:pPr>
            <w:r w:rsidRPr="00F6205B">
              <w:rPr>
                <w:rFonts w:eastAsia="Times New Roman"/>
                <w:b/>
                <w:sz w:val="20"/>
                <w:szCs w:val="20"/>
              </w:rPr>
              <w:t>Actual Sample Size</w:t>
            </w:r>
          </w:p>
        </w:tc>
        <w:tc>
          <w:tcPr>
            <w:tcW w:w="1534" w:type="dxa"/>
            <w:tcBorders>
              <w:top w:val="single" w:sz="4" w:space="0" w:color="auto"/>
              <w:bottom w:val="single" w:sz="4" w:space="0" w:color="auto"/>
              <w:right w:val="single" w:sz="4" w:space="0" w:color="auto"/>
            </w:tcBorders>
            <w:shd w:val="clear" w:color="auto" w:fill="0B4D2C" w:themeFill="background2" w:themeFillShade="BF"/>
            <w:vAlign w:val="center"/>
            <w:hideMark/>
          </w:tcPr>
          <w:p w14:paraId="73609DCA" w14:textId="77777777" w:rsidR="00494699" w:rsidRPr="00F6205B" w:rsidRDefault="00494699" w:rsidP="0044249F">
            <w:pPr>
              <w:keepNext/>
              <w:keepLines/>
              <w:spacing w:after="0" w:line="240" w:lineRule="auto"/>
              <w:jc w:val="center"/>
              <w:rPr>
                <w:rFonts w:eastAsia="Times New Roman"/>
                <w:b/>
                <w:sz w:val="20"/>
                <w:szCs w:val="20"/>
              </w:rPr>
            </w:pPr>
            <w:r w:rsidRPr="00F6205B">
              <w:rPr>
                <w:rFonts w:eastAsia="Times New Roman"/>
                <w:b/>
                <w:sz w:val="20"/>
                <w:szCs w:val="20"/>
              </w:rPr>
              <w:t>Precision</w:t>
            </w:r>
          </w:p>
        </w:tc>
      </w:tr>
      <w:tr w:rsidR="00494699" w:rsidRPr="00F6205B" w14:paraId="6DDB3892" w14:textId="77777777" w:rsidTr="00A660D6">
        <w:trPr>
          <w:trHeight w:val="300"/>
          <w:jc w:val="center"/>
        </w:trPr>
        <w:tc>
          <w:tcPr>
            <w:tcW w:w="4158" w:type="dxa"/>
            <w:tcBorders>
              <w:top w:val="single" w:sz="4" w:space="0" w:color="auto"/>
              <w:left w:val="single" w:sz="4" w:space="0" w:color="auto"/>
              <w:bottom w:val="single" w:sz="4" w:space="0" w:color="auto"/>
            </w:tcBorders>
            <w:shd w:val="clear" w:color="auto" w:fill="auto"/>
            <w:noWrap/>
            <w:vAlign w:val="center"/>
            <w:hideMark/>
          </w:tcPr>
          <w:p w14:paraId="6F995361" w14:textId="77777777" w:rsidR="00494699" w:rsidRPr="00F6205B" w:rsidRDefault="00494699" w:rsidP="0044249F">
            <w:pPr>
              <w:keepNext/>
              <w:keepLines/>
              <w:spacing w:after="0" w:line="240" w:lineRule="auto"/>
              <w:jc w:val="right"/>
              <w:rPr>
                <w:rFonts w:eastAsia="Times New Roman"/>
                <w:sz w:val="20"/>
                <w:szCs w:val="20"/>
              </w:rPr>
            </w:pPr>
            <w:r w:rsidRPr="00F6205B">
              <w:rPr>
                <w:rFonts w:eastAsia="Times New Roman"/>
                <w:sz w:val="20"/>
                <w:szCs w:val="20"/>
              </w:rPr>
              <w:t xml:space="preserve">Overall </w:t>
            </w:r>
          </w:p>
        </w:tc>
        <w:tc>
          <w:tcPr>
            <w:tcW w:w="1533" w:type="dxa"/>
            <w:tcBorders>
              <w:top w:val="single" w:sz="4" w:space="0" w:color="auto"/>
              <w:bottom w:val="single" w:sz="4" w:space="0" w:color="auto"/>
            </w:tcBorders>
            <w:shd w:val="clear" w:color="auto" w:fill="auto"/>
            <w:noWrap/>
            <w:vAlign w:val="center"/>
            <w:hideMark/>
          </w:tcPr>
          <w:p w14:paraId="6820B010" w14:textId="77777777" w:rsidR="00494699" w:rsidRPr="00F6205B" w:rsidRDefault="00494699" w:rsidP="0044249F">
            <w:pPr>
              <w:keepNext/>
              <w:keepLines/>
              <w:tabs>
                <w:tab w:val="decimal" w:pos="744"/>
              </w:tabs>
              <w:spacing w:after="0" w:line="240" w:lineRule="auto"/>
              <w:rPr>
                <w:rFonts w:eastAsia="Times New Roman"/>
                <w:color w:val="000000"/>
                <w:sz w:val="20"/>
                <w:szCs w:val="20"/>
              </w:rPr>
            </w:pPr>
            <w:r w:rsidRPr="00F6205B">
              <w:rPr>
                <w:rFonts w:eastAsia="Times New Roman"/>
                <w:color w:val="000000"/>
                <w:sz w:val="20"/>
                <w:szCs w:val="20"/>
              </w:rPr>
              <w:t>180</w:t>
            </w:r>
          </w:p>
        </w:tc>
        <w:tc>
          <w:tcPr>
            <w:tcW w:w="1534" w:type="dxa"/>
            <w:tcBorders>
              <w:top w:val="single" w:sz="4" w:space="0" w:color="auto"/>
              <w:bottom w:val="single" w:sz="4" w:space="0" w:color="auto"/>
            </w:tcBorders>
            <w:vAlign w:val="center"/>
          </w:tcPr>
          <w:p w14:paraId="490F5185" w14:textId="77777777" w:rsidR="00494699" w:rsidRPr="00F6205B" w:rsidRDefault="00494699" w:rsidP="0044249F">
            <w:pPr>
              <w:keepNext/>
              <w:keepLines/>
              <w:tabs>
                <w:tab w:val="decimal" w:pos="744"/>
              </w:tabs>
              <w:spacing w:after="0" w:line="240" w:lineRule="auto"/>
              <w:rPr>
                <w:rFonts w:eastAsia="Times New Roman"/>
                <w:color w:val="000000"/>
                <w:sz w:val="20"/>
                <w:szCs w:val="20"/>
              </w:rPr>
            </w:pPr>
            <w:r w:rsidRPr="00F6205B">
              <w:rPr>
                <w:rFonts w:eastAsia="Times New Roman"/>
                <w:color w:val="000000"/>
                <w:sz w:val="20"/>
                <w:szCs w:val="20"/>
              </w:rPr>
              <w:t>180</w:t>
            </w:r>
          </w:p>
        </w:tc>
        <w:tc>
          <w:tcPr>
            <w:tcW w:w="1534" w:type="dxa"/>
            <w:tcBorders>
              <w:top w:val="single" w:sz="4" w:space="0" w:color="auto"/>
              <w:bottom w:val="single" w:sz="4" w:space="0" w:color="auto"/>
              <w:right w:val="single" w:sz="4" w:space="0" w:color="auto"/>
            </w:tcBorders>
            <w:shd w:val="clear" w:color="auto" w:fill="auto"/>
            <w:noWrap/>
            <w:vAlign w:val="center"/>
            <w:hideMark/>
          </w:tcPr>
          <w:p w14:paraId="6BB730E2" w14:textId="77777777" w:rsidR="00494699" w:rsidRPr="00F6205B" w:rsidRDefault="00494699" w:rsidP="0044249F">
            <w:pPr>
              <w:keepNext/>
              <w:keepLines/>
              <w:tabs>
                <w:tab w:val="decimal" w:pos="744"/>
              </w:tabs>
              <w:spacing w:after="0" w:line="240" w:lineRule="auto"/>
              <w:rPr>
                <w:rFonts w:eastAsia="Times New Roman"/>
                <w:color w:val="000000"/>
                <w:sz w:val="20"/>
                <w:szCs w:val="20"/>
              </w:rPr>
            </w:pPr>
            <w:r w:rsidRPr="00F6205B">
              <w:rPr>
                <w:rFonts w:eastAsia="Times New Roman"/>
                <w:color w:val="000000"/>
                <w:sz w:val="20"/>
                <w:szCs w:val="20"/>
              </w:rPr>
              <w:t>6%</w:t>
            </w:r>
          </w:p>
        </w:tc>
      </w:tr>
      <w:tr w:rsidR="00494699" w:rsidRPr="00F6205B" w14:paraId="2BFE17EC" w14:textId="77777777" w:rsidTr="00E30D4E">
        <w:trPr>
          <w:trHeight w:val="312"/>
          <w:jc w:val="center"/>
        </w:trPr>
        <w:tc>
          <w:tcPr>
            <w:tcW w:w="4158" w:type="dxa"/>
            <w:tcBorders>
              <w:top w:val="single" w:sz="4" w:space="0" w:color="auto"/>
              <w:left w:val="single" w:sz="4" w:space="0" w:color="auto"/>
              <w:bottom w:val="single" w:sz="6" w:space="0" w:color="auto"/>
            </w:tcBorders>
            <w:shd w:val="clear" w:color="auto" w:fill="BFBFBF" w:themeFill="background1" w:themeFillShade="BF"/>
            <w:noWrap/>
            <w:vAlign w:val="center"/>
            <w:hideMark/>
          </w:tcPr>
          <w:p w14:paraId="0E163D97" w14:textId="77777777" w:rsidR="00494699" w:rsidRPr="00F6205B" w:rsidRDefault="00494699" w:rsidP="0044249F">
            <w:pPr>
              <w:keepNext/>
              <w:keepLines/>
              <w:spacing w:after="0" w:line="240" w:lineRule="auto"/>
              <w:jc w:val="right"/>
              <w:rPr>
                <w:rFonts w:eastAsia="Times New Roman"/>
                <w:sz w:val="20"/>
                <w:szCs w:val="20"/>
              </w:rPr>
            </w:pPr>
            <w:r w:rsidRPr="00F6205B">
              <w:rPr>
                <w:rFonts w:eastAsia="Times New Roman"/>
                <w:sz w:val="20"/>
                <w:szCs w:val="20"/>
              </w:rPr>
              <w:t>Low-income</w:t>
            </w:r>
          </w:p>
        </w:tc>
        <w:tc>
          <w:tcPr>
            <w:tcW w:w="1533" w:type="dxa"/>
            <w:tcBorders>
              <w:top w:val="single" w:sz="4" w:space="0" w:color="auto"/>
              <w:bottom w:val="single" w:sz="6" w:space="0" w:color="auto"/>
            </w:tcBorders>
            <w:shd w:val="clear" w:color="auto" w:fill="BFBFBF" w:themeFill="background1" w:themeFillShade="BF"/>
            <w:noWrap/>
            <w:vAlign w:val="center"/>
            <w:hideMark/>
          </w:tcPr>
          <w:p w14:paraId="064589C6" w14:textId="77777777" w:rsidR="00494699" w:rsidRPr="00F6205B" w:rsidRDefault="00494699" w:rsidP="0044249F">
            <w:pPr>
              <w:keepNext/>
              <w:keepLines/>
              <w:tabs>
                <w:tab w:val="decimal" w:pos="744"/>
              </w:tabs>
              <w:spacing w:after="0" w:line="240" w:lineRule="auto"/>
              <w:rPr>
                <w:rFonts w:eastAsia="Times New Roman"/>
                <w:color w:val="000000"/>
                <w:sz w:val="20"/>
                <w:szCs w:val="20"/>
              </w:rPr>
            </w:pPr>
            <w:r w:rsidRPr="00F6205B">
              <w:rPr>
                <w:rFonts w:eastAsia="Times New Roman"/>
                <w:color w:val="000000"/>
                <w:sz w:val="20"/>
                <w:szCs w:val="20"/>
              </w:rPr>
              <w:t>68</w:t>
            </w:r>
          </w:p>
        </w:tc>
        <w:tc>
          <w:tcPr>
            <w:tcW w:w="1534" w:type="dxa"/>
            <w:tcBorders>
              <w:top w:val="single" w:sz="4" w:space="0" w:color="auto"/>
              <w:bottom w:val="single" w:sz="6" w:space="0" w:color="auto"/>
            </w:tcBorders>
            <w:shd w:val="clear" w:color="auto" w:fill="BFBFBF" w:themeFill="background1" w:themeFillShade="BF"/>
            <w:vAlign w:val="center"/>
          </w:tcPr>
          <w:p w14:paraId="34C32215" w14:textId="77777777" w:rsidR="00494699" w:rsidRPr="00F6205B" w:rsidRDefault="00494699" w:rsidP="0044249F">
            <w:pPr>
              <w:keepNext/>
              <w:keepLines/>
              <w:tabs>
                <w:tab w:val="decimal" w:pos="744"/>
              </w:tabs>
              <w:spacing w:after="0" w:line="240" w:lineRule="auto"/>
              <w:rPr>
                <w:rFonts w:eastAsia="Times New Roman"/>
                <w:color w:val="000000"/>
                <w:sz w:val="20"/>
                <w:szCs w:val="20"/>
              </w:rPr>
            </w:pPr>
            <w:r w:rsidRPr="00F6205B">
              <w:rPr>
                <w:rFonts w:eastAsia="Times New Roman"/>
                <w:color w:val="000000"/>
                <w:sz w:val="20"/>
                <w:szCs w:val="20"/>
              </w:rPr>
              <w:t>34</w:t>
            </w:r>
          </w:p>
        </w:tc>
        <w:tc>
          <w:tcPr>
            <w:tcW w:w="1534" w:type="dxa"/>
            <w:tcBorders>
              <w:top w:val="single" w:sz="4" w:space="0" w:color="auto"/>
              <w:bottom w:val="single" w:sz="6" w:space="0" w:color="auto"/>
              <w:right w:val="single" w:sz="4" w:space="0" w:color="auto"/>
            </w:tcBorders>
            <w:shd w:val="clear" w:color="auto" w:fill="BFBFBF" w:themeFill="background1" w:themeFillShade="BF"/>
            <w:noWrap/>
            <w:vAlign w:val="center"/>
            <w:hideMark/>
          </w:tcPr>
          <w:p w14:paraId="3CFF5F76" w14:textId="77777777" w:rsidR="00494699" w:rsidRPr="00F6205B" w:rsidRDefault="00494699" w:rsidP="0044249F">
            <w:pPr>
              <w:keepNext/>
              <w:keepLines/>
              <w:tabs>
                <w:tab w:val="decimal" w:pos="744"/>
              </w:tabs>
              <w:spacing w:after="0" w:line="240" w:lineRule="auto"/>
              <w:rPr>
                <w:rFonts w:eastAsia="Times New Roman"/>
                <w:color w:val="000000"/>
                <w:sz w:val="20"/>
                <w:szCs w:val="20"/>
              </w:rPr>
            </w:pPr>
            <w:r w:rsidRPr="00F6205B">
              <w:rPr>
                <w:rFonts w:eastAsia="Times New Roman"/>
                <w:color w:val="000000"/>
                <w:sz w:val="20"/>
                <w:szCs w:val="20"/>
              </w:rPr>
              <w:t>14%</w:t>
            </w:r>
          </w:p>
        </w:tc>
      </w:tr>
      <w:tr w:rsidR="00494699" w:rsidRPr="00F6205B" w14:paraId="2B4B3131" w14:textId="77777777" w:rsidTr="00E30D4E">
        <w:trPr>
          <w:trHeight w:val="312"/>
          <w:jc w:val="center"/>
        </w:trPr>
        <w:tc>
          <w:tcPr>
            <w:tcW w:w="4158" w:type="dxa"/>
            <w:tcBorders>
              <w:top w:val="single" w:sz="6" w:space="0" w:color="auto"/>
              <w:left w:val="single" w:sz="4" w:space="0" w:color="auto"/>
              <w:bottom w:val="single" w:sz="6" w:space="0" w:color="auto"/>
            </w:tcBorders>
            <w:shd w:val="clear" w:color="auto" w:fill="BFBFBF" w:themeFill="background1" w:themeFillShade="BF"/>
            <w:noWrap/>
            <w:vAlign w:val="center"/>
            <w:hideMark/>
          </w:tcPr>
          <w:p w14:paraId="4DE87B58" w14:textId="77777777" w:rsidR="00494699" w:rsidRPr="00F6205B" w:rsidRDefault="00494699" w:rsidP="0044249F">
            <w:pPr>
              <w:keepNext/>
              <w:keepLines/>
              <w:spacing w:after="0" w:line="240" w:lineRule="auto"/>
              <w:jc w:val="right"/>
              <w:rPr>
                <w:rFonts w:eastAsia="Times New Roman"/>
                <w:sz w:val="20"/>
                <w:szCs w:val="20"/>
              </w:rPr>
            </w:pPr>
            <w:r w:rsidRPr="00F6205B">
              <w:rPr>
                <w:rFonts w:eastAsia="Times New Roman"/>
                <w:sz w:val="20"/>
                <w:szCs w:val="20"/>
              </w:rPr>
              <w:t>Non-low-income</w:t>
            </w:r>
          </w:p>
        </w:tc>
        <w:tc>
          <w:tcPr>
            <w:tcW w:w="1533" w:type="dxa"/>
            <w:tcBorders>
              <w:top w:val="single" w:sz="6" w:space="0" w:color="auto"/>
              <w:bottom w:val="single" w:sz="6" w:space="0" w:color="auto"/>
            </w:tcBorders>
            <w:shd w:val="clear" w:color="auto" w:fill="BFBFBF" w:themeFill="background1" w:themeFillShade="BF"/>
            <w:noWrap/>
            <w:vAlign w:val="center"/>
            <w:hideMark/>
          </w:tcPr>
          <w:p w14:paraId="6AD0CB2A" w14:textId="77777777" w:rsidR="00494699" w:rsidRPr="00F6205B" w:rsidRDefault="00494699" w:rsidP="0044249F">
            <w:pPr>
              <w:keepNext/>
              <w:keepLines/>
              <w:tabs>
                <w:tab w:val="decimal" w:pos="744"/>
              </w:tabs>
              <w:spacing w:after="0" w:line="240" w:lineRule="auto"/>
              <w:rPr>
                <w:rFonts w:eastAsia="Times New Roman"/>
                <w:color w:val="000000"/>
                <w:sz w:val="20"/>
                <w:szCs w:val="20"/>
              </w:rPr>
            </w:pPr>
            <w:r w:rsidRPr="00F6205B">
              <w:rPr>
                <w:rFonts w:eastAsia="Times New Roman"/>
                <w:color w:val="000000"/>
                <w:sz w:val="20"/>
                <w:szCs w:val="20"/>
              </w:rPr>
              <w:t>76</w:t>
            </w:r>
          </w:p>
        </w:tc>
        <w:tc>
          <w:tcPr>
            <w:tcW w:w="1534" w:type="dxa"/>
            <w:tcBorders>
              <w:top w:val="single" w:sz="6" w:space="0" w:color="auto"/>
              <w:bottom w:val="single" w:sz="6" w:space="0" w:color="auto"/>
            </w:tcBorders>
            <w:shd w:val="clear" w:color="auto" w:fill="BFBFBF" w:themeFill="background1" w:themeFillShade="BF"/>
            <w:vAlign w:val="center"/>
          </w:tcPr>
          <w:p w14:paraId="670EEF2F" w14:textId="77777777" w:rsidR="00494699" w:rsidRPr="00F6205B" w:rsidRDefault="00494699" w:rsidP="0044249F">
            <w:pPr>
              <w:keepNext/>
              <w:keepLines/>
              <w:tabs>
                <w:tab w:val="decimal" w:pos="744"/>
              </w:tabs>
              <w:spacing w:after="0" w:line="240" w:lineRule="auto"/>
              <w:rPr>
                <w:rFonts w:eastAsia="Times New Roman"/>
                <w:color w:val="000000"/>
                <w:sz w:val="20"/>
                <w:szCs w:val="20"/>
              </w:rPr>
            </w:pPr>
            <w:r w:rsidRPr="00F6205B">
              <w:rPr>
                <w:rFonts w:eastAsia="Times New Roman"/>
                <w:color w:val="000000"/>
                <w:sz w:val="20"/>
                <w:szCs w:val="20"/>
              </w:rPr>
              <w:t>146</w:t>
            </w:r>
          </w:p>
        </w:tc>
        <w:tc>
          <w:tcPr>
            <w:tcW w:w="1534" w:type="dxa"/>
            <w:tcBorders>
              <w:top w:val="single" w:sz="6" w:space="0" w:color="auto"/>
              <w:bottom w:val="single" w:sz="6" w:space="0" w:color="auto"/>
              <w:right w:val="single" w:sz="4" w:space="0" w:color="auto"/>
            </w:tcBorders>
            <w:shd w:val="clear" w:color="auto" w:fill="BFBFBF" w:themeFill="background1" w:themeFillShade="BF"/>
            <w:noWrap/>
            <w:vAlign w:val="center"/>
            <w:hideMark/>
          </w:tcPr>
          <w:p w14:paraId="42FAD1B0" w14:textId="77777777" w:rsidR="00494699" w:rsidRPr="00F6205B" w:rsidRDefault="00494699" w:rsidP="0044249F">
            <w:pPr>
              <w:keepNext/>
              <w:keepLines/>
              <w:tabs>
                <w:tab w:val="decimal" w:pos="744"/>
              </w:tabs>
              <w:spacing w:after="0" w:line="240" w:lineRule="auto"/>
              <w:rPr>
                <w:rFonts w:eastAsia="Times New Roman"/>
                <w:color w:val="000000"/>
                <w:sz w:val="20"/>
                <w:szCs w:val="20"/>
              </w:rPr>
            </w:pPr>
            <w:r w:rsidRPr="00F6205B">
              <w:rPr>
                <w:rFonts w:eastAsia="Times New Roman"/>
                <w:color w:val="000000"/>
                <w:sz w:val="20"/>
                <w:szCs w:val="20"/>
              </w:rPr>
              <w:t>7%</w:t>
            </w:r>
          </w:p>
        </w:tc>
      </w:tr>
      <w:tr w:rsidR="00494699" w:rsidRPr="00F6205B" w14:paraId="54315EC5" w14:textId="77777777" w:rsidTr="00E30D4E">
        <w:trPr>
          <w:trHeight w:val="312"/>
          <w:jc w:val="center"/>
        </w:trPr>
        <w:tc>
          <w:tcPr>
            <w:tcW w:w="4158" w:type="dxa"/>
            <w:tcBorders>
              <w:top w:val="single" w:sz="6" w:space="0" w:color="auto"/>
              <w:left w:val="single" w:sz="4" w:space="0" w:color="auto"/>
              <w:bottom w:val="single" w:sz="4" w:space="0" w:color="auto"/>
            </w:tcBorders>
            <w:shd w:val="clear" w:color="auto" w:fill="BFBFBF" w:themeFill="background1" w:themeFillShade="BF"/>
            <w:noWrap/>
            <w:vAlign w:val="center"/>
            <w:hideMark/>
          </w:tcPr>
          <w:p w14:paraId="7EAAFFFC" w14:textId="77777777" w:rsidR="00494699" w:rsidRPr="00F6205B" w:rsidRDefault="00494699" w:rsidP="0044249F">
            <w:pPr>
              <w:keepNext/>
              <w:keepLines/>
              <w:spacing w:after="0" w:line="240" w:lineRule="auto"/>
              <w:jc w:val="right"/>
              <w:rPr>
                <w:rFonts w:eastAsia="Times New Roman"/>
                <w:sz w:val="20"/>
                <w:szCs w:val="20"/>
              </w:rPr>
            </w:pPr>
            <w:r w:rsidRPr="00F6205B">
              <w:rPr>
                <w:rFonts w:eastAsia="Times New Roman"/>
                <w:sz w:val="20"/>
                <w:szCs w:val="20"/>
              </w:rPr>
              <w:t>Income eligibility not identified</w:t>
            </w:r>
          </w:p>
        </w:tc>
        <w:tc>
          <w:tcPr>
            <w:tcW w:w="1533" w:type="dxa"/>
            <w:tcBorders>
              <w:top w:val="single" w:sz="6" w:space="0" w:color="auto"/>
              <w:bottom w:val="single" w:sz="4" w:space="0" w:color="auto"/>
            </w:tcBorders>
            <w:shd w:val="clear" w:color="auto" w:fill="BFBFBF" w:themeFill="background1" w:themeFillShade="BF"/>
            <w:noWrap/>
            <w:vAlign w:val="center"/>
            <w:hideMark/>
          </w:tcPr>
          <w:p w14:paraId="012B68ED" w14:textId="77777777" w:rsidR="00494699" w:rsidRPr="00F6205B" w:rsidRDefault="00494699" w:rsidP="0044249F">
            <w:pPr>
              <w:keepNext/>
              <w:keepLines/>
              <w:tabs>
                <w:tab w:val="decimal" w:pos="744"/>
              </w:tabs>
              <w:spacing w:after="0" w:line="240" w:lineRule="auto"/>
              <w:rPr>
                <w:rFonts w:eastAsia="Times New Roman"/>
                <w:color w:val="000000"/>
                <w:sz w:val="20"/>
                <w:szCs w:val="20"/>
              </w:rPr>
            </w:pPr>
            <w:r w:rsidRPr="00F6205B">
              <w:rPr>
                <w:rFonts w:eastAsia="Times New Roman"/>
                <w:color w:val="000000"/>
                <w:sz w:val="20"/>
                <w:szCs w:val="20"/>
              </w:rPr>
              <w:t>36*</w:t>
            </w:r>
          </w:p>
        </w:tc>
        <w:tc>
          <w:tcPr>
            <w:tcW w:w="1534" w:type="dxa"/>
            <w:tcBorders>
              <w:top w:val="single" w:sz="6" w:space="0" w:color="auto"/>
              <w:bottom w:val="single" w:sz="4" w:space="0" w:color="auto"/>
            </w:tcBorders>
            <w:shd w:val="clear" w:color="auto" w:fill="BFBFBF" w:themeFill="background1" w:themeFillShade="BF"/>
            <w:vAlign w:val="center"/>
          </w:tcPr>
          <w:p w14:paraId="796501AB" w14:textId="77777777" w:rsidR="00494699" w:rsidRPr="00F6205B" w:rsidRDefault="00494699" w:rsidP="0044249F">
            <w:pPr>
              <w:keepNext/>
              <w:keepLines/>
              <w:tabs>
                <w:tab w:val="decimal" w:pos="744"/>
              </w:tabs>
              <w:spacing w:after="0" w:line="240" w:lineRule="auto"/>
              <w:rPr>
                <w:rFonts w:eastAsia="Times New Roman"/>
                <w:color w:val="000000"/>
                <w:sz w:val="20"/>
                <w:szCs w:val="20"/>
              </w:rPr>
            </w:pPr>
            <w:r w:rsidRPr="00F6205B">
              <w:rPr>
                <w:rFonts w:eastAsia="Times New Roman"/>
                <w:color w:val="000000"/>
                <w:sz w:val="20"/>
                <w:szCs w:val="20"/>
              </w:rPr>
              <w:t>0*</w:t>
            </w:r>
          </w:p>
        </w:tc>
        <w:tc>
          <w:tcPr>
            <w:tcW w:w="1534" w:type="dxa"/>
            <w:tcBorders>
              <w:top w:val="single" w:sz="6" w:space="0" w:color="auto"/>
              <w:bottom w:val="single" w:sz="4" w:space="0" w:color="auto"/>
              <w:right w:val="single" w:sz="4" w:space="0" w:color="auto"/>
            </w:tcBorders>
            <w:shd w:val="clear" w:color="auto" w:fill="BFBFBF" w:themeFill="background1" w:themeFillShade="BF"/>
            <w:noWrap/>
            <w:vAlign w:val="center"/>
            <w:hideMark/>
          </w:tcPr>
          <w:p w14:paraId="32FDF875" w14:textId="77777777" w:rsidR="00494699" w:rsidRPr="00F6205B" w:rsidRDefault="00494699" w:rsidP="0044249F">
            <w:pPr>
              <w:keepNext/>
              <w:keepLines/>
              <w:tabs>
                <w:tab w:val="decimal" w:pos="744"/>
              </w:tabs>
              <w:spacing w:after="0" w:line="240" w:lineRule="auto"/>
              <w:rPr>
                <w:rFonts w:eastAsia="Times New Roman"/>
                <w:color w:val="000000"/>
                <w:sz w:val="20"/>
                <w:szCs w:val="20"/>
              </w:rPr>
            </w:pPr>
            <w:r w:rsidRPr="00F6205B">
              <w:rPr>
                <w:rFonts w:eastAsia="Times New Roman"/>
                <w:color w:val="000000"/>
                <w:sz w:val="20"/>
                <w:szCs w:val="20"/>
              </w:rPr>
              <w:t>n/a</w:t>
            </w:r>
          </w:p>
        </w:tc>
      </w:tr>
      <w:tr w:rsidR="00494699" w:rsidRPr="00F6205B" w14:paraId="11D2AAE8" w14:textId="77777777" w:rsidTr="00E30D4E">
        <w:trPr>
          <w:trHeight w:val="288"/>
          <w:jc w:val="center"/>
        </w:trPr>
        <w:tc>
          <w:tcPr>
            <w:tcW w:w="4158" w:type="dxa"/>
            <w:tcBorders>
              <w:top w:val="single" w:sz="4" w:space="0" w:color="auto"/>
              <w:left w:val="single" w:sz="4" w:space="0" w:color="auto"/>
              <w:bottom w:val="single" w:sz="6" w:space="0" w:color="auto"/>
            </w:tcBorders>
            <w:shd w:val="clear" w:color="auto" w:fill="auto"/>
            <w:noWrap/>
            <w:vAlign w:val="center"/>
            <w:hideMark/>
          </w:tcPr>
          <w:p w14:paraId="050D833D" w14:textId="77777777" w:rsidR="00494699" w:rsidRPr="00F6205B" w:rsidRDefault="00494699" w:rsidP="0044249F">
            <w:pPr>
              <w:keepNext/>
              <w:keepLines/>
              <w:spacing w:after="0" w:line="240" w:lineRule="auto"/>
              <w:jc w:val="right"/>
              <w:rPr>
                <w:rFonts w:eastAsia="Times New Roman"/>
                <w:sz w:val="20"/>
                <w:szCs w:val="20"/>
              </w:rPr>
            </w:pPr>
            <w:r w:rsidRPr="00F6205B">
              <w:rPr>
                <w:rFonts w:eastAsia="Times New Roman"/>
                <w:sz w:val="20"/>
                <w:szCs w:val="20"/>
              </w:rPr>
              <w:t>Fuel oil heat</w:t>
            </w:r>
          </w:p>
        </w:tc>
        <w:tc>
          <w:tcPr>
            <w:tcW w:w="1533" w:type="dxa"/>
            <w:tcBorders>
              <w:top w:val="single" w:sz="4" w:space="0" w:color="auto"/>
              <w:bottom w:val="single" w:sz="6" w:space="0" w:color="auto"/>
            </w:tcBorders>
            <w:shd w:val="clear" w:color="auto" w:fill="auto"/>
            <w:noWrap/>
            <w:vAlign w:val="center"/>
            <w:hideMark/>
          </w:tcPr>
          <w:p w14:paraId="72705C33" w14:textId="77777777" w:rsidR="00494699" w:rsidRPr="00F6205B" w:rsidRDefault="00494699" w:rsidP="0044249F">
            <w:pPr>
              <w:keepNext/>
              <w:keepLines/>
              <w:tabs>
                <w:tab w:val="decimal" w:pos="744"/>
              </w:tabs>
              <w:spacing w:after="0" w:line="240" w:lineRule="auto"/>
              <w:rPr>
                <w:rFonts w:eastAsia="Times New Roman"/>
                <w:color w:val="000000"/>
                <w:sz w:val="20"/>
                <w:szCs w:val="20"/>
              </w:rPr>
            </w:pPr>
            <w:r w:rsidRPr="00F6205B">
              <w:rPr>
                <w:rFonts w:eastAsia="Times New Roman"/>
                <w:color w:val="000000"/>
                <w:sz w:val="20"/>
                <w:szCs w:val="20"/>
              </w:rPr>
              <w:t>109</w:t>
            </w:r>
          </w:p>
        </w:tc>
        <w:tc>
          <w:tcPr>
            <w:tcW w:w="1534" w:type="dxa"/>
            <w:tcBorders>
              <w:top w:val="single" w:sz="4" w:space="0" w:color="auto"/>
              <w:bottom w:val="single" w:sz="6" w:space="0" w:color="auto"/>
            </w:tcBorders>
            <w:shd w:val="clear" w:color="auto" w:fill="auto"/>
            <w:vAlign w:val="center"/>
          </w:tcPr>
          <w:p w14:paraId="5B8E14B3" w14:textId="77777777" w:rsidR="00494699" w:rsidRPr="00F6205B" w:rsidRDefault="00494699" w:rsidP="0044249F">
            <w:pPr>
              <w:keepNext/>
              <w:keepLines/>
              <w:tabs>
                <w:tab w:val="decimal" w:pos="744"/>
              </w:tabs>
              <w:spacing w:after="0" w:line="240" w:lineRule="auto"/>
              <w:rPr>
                <w:rFonts w:eastAsia="Times New Roman"/>
                <w:color w:val="000000"/>
                <w:sz w:val="20"/>
                <w:szCs w:val="20"/>
              </w:rPr>
            </w:pPr>
            <w:r w:rsidRPr="00F6205B">
              <w:rPr>
                <w:rFonts w:eastAsia="Times New Roman"/>
                <w:color w:val="000000"/>
                <w:sz w:val="20"/>
                <w:szCs w:val="20"/>
              </w:rPr>
              <w:t>111</w:t>
            </w:r>
          </w:p>
        </w:tc>
        <w:tc>
          <w:tcPr>
            <w:tcW w:w="1534" w:type="dxa"/>
            <w:tcBorders>
              <w:top w:val="single" w:sz="4" w:space="0" w:color="auto"/>
              <w:bottom w:val="single" w:sz="6" w:space="0" w:color="auto"/>
              <w:right w:val="single" w:sz="4" w:space="0" w:color="auto"/>
            </w:tcBorders>
            <w:shd w:val="clear" w:color="auto" w:fill="auto"/>
            <w:noWrap/>
            <w:vAlign w:val="center"/>
            <w:hideMark/>
          </w:tcPr>
          <w:p w14:paraId="74BD00C0" w14:textId="77777777" w:rsidR="00494699" w:rsidRPr="00F6205B" w:rsidRDefault="00494699" w:rsidP="0044249F">
            <w:pPr>
              <w:keepNext/>
              <w:keepLines/>
              <w:tabs>
                <w:tab w:val="decimal" w:pos="744"/>
              </w:tabs>
              <w:spacing w:after="0" w:line="240" w:lineRule="auto"/>
              <w:rPr>
                <w:rFonts w:eastAsia="Times New Roman"/>
                <w:color w:val="000000"/>
                <w:sz w:val="20"/>
                <w:szCs w:val="20"/>
              </w:rPr>
            </w:pPr>
            <w:r w:rsidRPr="00F6205B">
              <w:rPr>
                <w:rFonts w:eastAsia="Times New Roman"/>
                <w:color w:val="000000"/>
                <w:sz w:val="20"/>
                <w:szCs w:val="20"/>
              </w:rPr>
              <w:t>8%</w:t>
            </w:r>
          </w:p>
        </w:tc>
      </w:tr>
      <w:tr w:rsidR="00494699" w:rsidRPr="00F6205B" w14:paraId="1BC1BD69" w14:textId="77777777" w:rsidTr="00E30D4E">
        <w:trPr>
          <w:trHeight w:val="288"/>
          <w:jc w:val="center"/>
        </w:trPr>
        <w:tc>
          <w:tcPr>
            <w:tcW w:w="4158" w:type="dxa"/>
            <w:tcBorders>
              <w:top w:val="single" w:sz="6" w:space="0" w:color="auto"/>
              <w:left w:val="single" w:sz="4" w:space="0" w:color="auto"/>
              <w:bottom w:val="single" w:sz="4" w:space="0" w:color="auto"/>
            </w:tcBorders>
            <w:shd w:val="clear" w:color="auto" w:fill="auto"/>
            <w:noWrap/>
            <w:vAlign w:val="center"/>
            <w:hideMark/>
          </w:tcPr>
          <w:p w14:paraId="59F34226" w14:textId="77777777" w:rsidR="00494699" w:rsidRPr="00F6205B" w:rsidRDefault="00494699" w:rsidP="0044249F">
            <w:pPr>
              <w:keepNext/>
              <w:keepLines/>
              <w:spacing w:after="0" w:line="240" w:lineRule="auto"/>
              <w:jc w:val="right"/>
              <w:rPr>
                <w:rFonts w:eastAsia="Times New Roman"/>
                <w:sz w:val="20"/>
                <w:szCs w:val="20"/>
              </w:rPr>
            </w:pPr>
            <w:r w:rsidRPr="00F6205B">
              <w:rPr>
                <w:rFonts w:eastAsia="Times New Roman"/>
                <w:sz w:val="20"/>
                <w:szCs w:val="20"/>
              </w:rPr>
              <w:t>All other heating fuels</w:t>
            </w:r>
          </w:p>
        </w:tc>
        <w:tc>
          <w:tcPr>
            <w:tcW w:w="1533" w:type="dxa"/>
            <w:tcBorders>
              <w:top w:val="single" w:sz="6" w:space="0" w:color="auto"/>
              <w:bottom w:val="single" w:sz="4" w:space="0" w:color="auto"/>
            </w:tcBorders>
            <w:shd w:val="clear" w:color="auto" w:fill="auto"/>
            <w:noWrap/>
            <w:vAlign w:val="center"/>
            <w:hideMark/>
          </w:tcPr>
          <w:p w14:paraId="643D8AA9" w14:textId="77777777" w:rsidR="00494699" w:rsidRPr="00F6205B" w:rsidRDefault="00494699" w:rsidP="0044249F">
            <w:pPr>
              <w:keepNext/>
              <w:keepLines/>
              <w:tabs>
                <w:tab w:val="decimal" w:pos="744"/>
              </w:tabs>
              <w:spacing w:after="0" w:line="240" w:lineRule="auto"/>
              <w:rPr>
                <w:rFonts w:eastAsia="Times New Roman"/>
                <w:color w:val="000000"/>
                <w:sz w:val="20"/>
                <w:szCs w:val="20"/>
              </w:rPr>
            </w:pPr>
            <w:r w:rsidRPr="00F6205B">
              <w:rPr>
                <w:rFonts w:eastAsia="Times New Roman"/>
                <w:color w:val="000000"/>
                <w:sz w:val="20"/>
                <w:szCs w:val="20"/>
              </w:rPr>
              <w:t>71**</w:t>
            </w:r>
          </w:p>
        </w:tc>
        <w:tc>
          <w:tcPr>
            <w:tcW w:w="1534" w:type="dxa"/>
            <w:tcBorders>
              <w:top w:val="single" w:sz="6" w:space="0" w:color="auto"/>
              <w:bottom w:val="single" w:sz="4" w:space="0" w:color="auto"/>
            </w:tcBorders>
            <w:shd w:val="clear" w:color="auto" w:fill="auto"/>
            <w:vAlign w:val="center"/>
          </w:tcPr>
          <w:p w14:paraId="27FD73F3" w14:textId="77777777" w:rsidR="00494699" w:rsidRPr="00F6205B" w:rsidRDefault="00494699" w:rsidP="0044249F">
            <w:pPr>
              <w:keepNext/>
              <w:keepLines/>
              <w:tabs>
                <w:tab w:val="decimal" w:pos="744"/>
              </w:tabs>
              <w:spacing w:after="0" w:line="240" w:lineRule="auto"/>
              <w:rPr>
                <w:rFonts w:eastAsia="Times New Roman"/>
                <w:color w:val="000000"/>
                <w:sz w:val="20"/>
                <w:szCs w:val="20"/>
              </w:rPr>
            </w:pPr>
            <w:r w:rsidRPr="00F6205B">
              <w:rPr>
                <w:rFonts w:eastAsia="Times New Roman"/>
                <w:color w:val="000000"/>
                <w:sz w:val="20"/>
                <w:szCs w:val="20"/>
              </w:rPr>
              <w:t>69**</w:t>
            </w:r>
          </w:p>
        </w:tc>
        <w:tc>
          <w:tcPr>
            <w:tcW w:w="1534" w:type="dxa"/>
            <w:tcBorders>
              <w:top w:val="single" w:sz="6" w:space="0" w:color="auto"/>
              <w:bottom w:val="single" w:sz="4" w:space="0" w:color="auto"/>
              <w:right w:val="single" w:sz="4" w:space="0" w:color="auto"/>
            </w:tcBorders>
            <w:shd w:val="clear" w:color="auto" w:fill="auto"/>
            <w:noWrap/>
            <w:vAlign w:val="center"/>
            <w:hideMark/>
          </w:tcPr>
          <w:p w14:paraId="41560319" w14:textId="77777777" w:rsidR="00494699" w:rsidRPr="00F6205B" w:rsidRDefault="00494699" w:rsidP="0044249F">
            <w:pPr>
              <w:keepNext/>
              <w:keepLines/>
              <w:tabs>
                <w:tab w:val="decimal" w:pos="744"/>
              </w:tabs>
              <w:spacing w:after="0" w:line="240" w:lineRule="auto"/>
              <w:rPr>
                <w:rFonts w:eastAsia="Times New Roman"/>
                <w:color w:val="000000"/>
                <w:sz w:val="20"/>
                <w:szCs w:val="20"/>
              </w:rPr>
            </w:pPr>
            <w:r w:rsidRPr="00F6205B">
              <w:rPr>
                <w:rFonts w:eastAsia="Times New Roman"/>
                <w:color w:val="000000"/>
                <w:sz w:val="20"/>
                <w:szCs w:val="20"/>
              </w:rPr>
              <w:t>10%</w:t>
            </w:r>
          </w:p>
        </w:tc>
      </w:tr>
      <w:tr w:rsidR="00494699" w:rsidRPr="00F6205B" w14:paraId="2172978B" w14:textId="77777777" w:rsidTr="00E30D4E">
        <w:trPr>
          <w:trHeight w:val="288"/>
          <w:jc w:val="center"/>
        </w:trPr>
        <w:tc>
          <w:tcPr>
            <w:tcW w:w="4158" w:type="dxa"/>
            <w:tcBorders>
              <w:top w:val="single" w:sz="4" w:space="0" w:color="auto"/>
              <w:left w:val="single" w:sz="4" w:space="0" w:color="auto"/>
            </w:tcBorders>
            <w:shd w:val="clear" w:color="auto" w:fill="BFBFBF" w:themeFill="background1" w:themeFillShade="BF"/>
            <w:noWrap/>
            <w:vAlign w:val="center"/>
            <w:hideMark/>
          </w:tcPr>
          <w:p w14:paraId="728C2B20" w14:textId="77777777" w:rsidR="00494699" w:rsidRPr="00F6205B" w:rsidRDefault="00494699" w:rsidP="0044249F">
            <w:pPr>
              <w:keepNext/>
              <w:keepLines/>
              <w:spacing w:after="0" w:line="240" w:lineRule="auto"/>
              <w:jc w:val="right"/>
              <w:rPr>
                <w:rFonts w:eastAsia="Times New Roman"/>
                <w:sz w:val="20"/>
                <w:szCs w:val="20"/>
              </w:rPr>
            </w:pPr>
            <w:r w:rsidRPr="00F6205B">
              <w:rPr>
                <w:rFonts w:eastAsia="Times New Roman"/>
                <w:sz w:val="20"/>
                <w:szCs w:val="20"/>
              </w:rPr>
              <w:t xml:space="preserve">Own </w:t>
            </w:r>
          </w:p>
        </w:tc>
        <w:tc>
          <w:tcPr>
            <w:tcW w:w="1533" w:type="dxa"/>
            <w:tcBorders>
              <w:top w:val="single" w:sz="4" w:space="0" w:color="auto"/>
            </w:tcBorders>
            <w:shd w:val="clear" w:color="auto" w:fill="BFBFBF" w:themeFill="background1" w:themeFillShade="BF"/>
            <w:noWrap/>
            <w:vAlign w:val="center"/>
            <w:hideMark/>
          </w:tcPr>
          <w:p w14:paraId="065F5D7E" w14:textId="77777777" w:rsidR="00494699" w:rsidRPr="00F6205B" w:rsidRDefault="00494699" w:rsidP="0044249F">
            <w:pPr>
              <w:keepNext/>
              <w:keepLines/>
              <w:tabs>
                <w:tab w:val="decimal" w:pos="744"/>
              </w:tabs>
              <w:spacing w:after="0" w:line="240" w:lineRule="auto"/>
              <w:rPr>
                <w:rFonts w:eastAsia="Times New Roman"/>
                <w:color w:val="000000"/>
                <w:sz w:val="20"/>
                <w:szCs w:val="20"/>
              </w:rPr>
            </w:pPr>
            <w:r w:rsidRPr="00F6205B">
              <w:rPr>
                <w:rFonts w:eastAsia="Times New Roman"/>
                <w:color w:val="000000"/>
                <w:sz w:val="20"/>
                <w:szCs w:val="20"/>
              </w:rPr>
              <w:t>159</w:t>
            </w:r>
          </w:p>
        </w:tc>
        <w:tc>
          <w:tcPr>
            <w:tcW w:w="1534" w:type="dxa"/>
            <w:tcBorders>
              <w:top w:val="single" w:sz="4" w:space="0" w:color="auto"/>
            </w:tcBorders>
            <w:shd w:val="clear" w:color="auto" w:fill="BFBFBF" w:themeFill="background1" w:themeFillShade="BF"/>
            <w:vAlign w:val="center"/>
          </w:tcPr>
          <w:p w14:paraId="13926FC9" w14:textId="77777777" w:rsidR="00494699" w:rsidRPr="00F6205B" w:rsidRDefault="00494699" w:rsidP="0044249F">
            <w:pPr>
              <w:keepNext/>
              <w:keepLines/>
              <w:tabs>
                <w:tab w:val="decimal" w:pos="744"/>
              </w:tabs>
              <w:spacing w:after="0" w:line="240" w:lineRule="auto"/>
              <w:rPr>
                <w:rFonts w:eastAsia="Times New Roman"/>
                <w:color w:val="000000"/>
                <w:sz w:val="20"/>
                <w:szCs w:val="20"/>
              </w:rPr>
            </w:pPr>
            <w:r w:rsidRPr="00F6205B">
              <w:rPr>
                <w:rFonts w:eastAsia="Times New Roman"/>
                <w:color w:val="000000"/>
                <w:sz w:val="20"/>
                <w:szCs w:val="20"/>
              </w:rPr>
              <w:t>177</w:t>
            </w:r>
          </w:p>
        </w:tc>
        <w:tc>
          <w:tcPr>
            <w:tcW w:w="1534" w:type="dxa"/>
            <w:tcBorders>
              <w:top w:val="single" w:sz="4" w:space="0" w:color="auto"/>
              <w:right w:val="single" w:sz="4" w:space="0" w:color="auto"/>
            </w:tcBorders>
            <w:shd w:val="clear" w:color="auto" w:fill="BFBFBF" w:themeFill="background1" w:themeFillShade="BF"/>
            <w:noWrap/>
            <w:vAlign w:val="center"/>
            <w:hideMark/>
          </w:tcPr>
          <w:p w14:paraId="73D730A8" w14:textId="77777777" w:rsidR="00494699" w:rsidRPr="00F6205B" w:rsidRDefault="00494699" w:rsidP="0044249F">
            <w:pPr>
              <w:keepNext/>
              <w:keepLines/>
              <w:tabs>
                <w:tab w:val="decimal" w:pos="744"/>
              </w:tabs>
              <w:spacing w:after="0" w:line="240" w:lineRule="auto"/>
              <w:rPr>
                <w:rFonts w:eastAsia="Times New Roman"/>
                <w:color w:val="000000"/>
                <w:sz w:val="20"/>
                <w:szCs w:val="20"/>
              </w:rPr>
            </w:pPr>
            <w:r w:rsidRPr="00F6205B">
              <w:rPr>
                <w:rFonts w:eastAsia="Times New Roman"/>
                <w:color w:val="000000"/>
                <w:sz w:val="20"/>
                <w:szCs w:val="20"/>
              </w:rPr>
              <w:t>6%</w:t>
            </w:r>
          </w:p>
        </w:tc>
      </w:tr>
      <w:tr w:rsidR="00494699" w:rsidRPr="00F6205B" w14:paraId="22FF6FE7" w14:textId="77777777" w:rsidTr="00E30D4E">
        <w:trPr>
          <w:trHeight w:val="288"/>
          <w:jc w:val="center"/>
        </w:trPr>
        <w:tc>
          <w:tcPr>
            <w:tcW w:w="4158" w:type="dxa"/>
            <w:tcBorders>
              <w:left w:val="single" w:sz="4" w:space="0" w:color="auto"/>
              <w:bottom w:val="single" w:sz="4" w:space="0" w:color="auto"/>
            </w:tcBorders>
            <w:shd w:val="clear" w:color="auto" w:fill="BFBFBF" w:themeFill="background1" w:themeFillShade="BF"/>
            <w:noWrap/>
            <w:vAlign w:val="center"/>
            <w:hideMark/>
          </w:tcPr>
          <w:p w14:paraId="442C625F" w14:textId="77777777" w:rsidR="00494699" w:rsidRPr="00F6205B" w:rsidRDefault="00494699" w:rsidP="0044249F">
            <w:pPr>
              <w:keepNext/>
              <w:keepLines/>
              <w:spacing w:after="0" w:line="240" w:lineRule="auto"/>
              <w:jc w:val="right"/>
              <w:rPr>
                <w:rFonts w:eastAsia="Times New Roman"/>
                <w:sz w:val="20"/>
                <w:szCs w:val="20"/>
              </w:rPr>
            </w:pPr>
            <w:r w:rsidRPr="00F6205B">
              <w:rPr>
                <w:rFonts w:eastAsia="Times New Roman"/>
                <w:sz w:val="20"/>
                <w:szCs w:val="20"/>
              </w:rPr>
              <w:t xml:space="preserve">Rent </w:t>
            </w:r>
          </w:p>
        </w:tc>
        <w:tc>
          <w:tcPr>
            <w:tcW w:w="1533" w:type="dxa"/>
            <w:tcBorders>
              <w:bottom w:val="single" w:sz="4" w:space="0" w:color="auto"/>
            </w:tcBorders>
            <w:shd w:val="clear" w:color="auto" w:fill="BFBFBF" w:themeFill="background1" w:themeFillShade="BF"/>
            <w:noWrap/>
            <w:vAlign w:val="center"/>
            <w:hideMark/>
          </w:tcPr>
          <w:p w14:paraId="75C6BD29" w14:textId="77777777" w:rsidR="00494699" w:rsidRPr="00F6205B" w:rsidRDefault="00494699" w:rsidP="0044249F">
            <w:pPr>
              <w:keepNext/>
              <w:keepLines/>
              <w:tabs>
                <w:tab w:val="decimal" w:pos="744"/>
              </w:tabs>
              <w:spacing w:after="0" w:line="240" w:lineRule="auto"/>
              <w:rPr>
                <w:rFonts w:eastAsia="Times New Roman"/>
                <w:color w:val="000000"/>
                <w:sz w:val="20"/>
                <w:szCs w:val="20"/>
              </w:rPr>
            </w:pPr>
            <w:r w:rsidRPr="00F6205B">
              <w:rPr>
                <w:rFonts w:eastAsia="Times New Roman"/>
                <w:color w:val="000000"/>
                <w:sz w:val="20"/>
                <w:szCs w:val="20"/>
              </w:rPr>
              <w:t>21</w:t>
            </w:r>
          </w:p>
        </w:tc>
        <w:tc>
          <w:tcPr>
            <w:tcW w:w="1534" w:type="dxa"/>
            <w:tcBorders>
              <w:bottom w:val="single" w:sz="4" w:space="0" w:color="auto"/>
            </w:tcBorders>
            <w:shd w:val="clear" w:color="auto" w:fill="BFBFBF" w:themeFill="background1" w:themeFillShade="BF"/>
            <w:vAlign w:val="center"/>
          </w:tcPr>
          <w:p w14:paraId="6453C840" w14:textId="77777777" w:rsidR="00494699" w:rsidRPr="00F6205B" w:rsidRDefault="00494699" w:rsidP="0044249F">
            <w:pPr>
              <w:keepNext/>
              <w:keepLines/>
              <w:tabs>
                <w:tab w:val="decimal" w:pos="744"/>
              </w:tabs>
              <w:spacing w:after="0" w:line="240" w:lineRule="auto"/>
              <w:rPr>
                <w:rFonts w:eastAsia="Times New Roman"/>
                <w:color w:val="000000"/>
                <w:sz w:val="20"/>
                <w:szCs w:val="20"/>
              </w:rPr>
            </w:pPr>
            <w:r w:rsidRPr="00F6205B">
              <w:rPr>
                <w:rFonts w:eastAsia="Times New Roman"/>
                <w:color w:val="000000"/>
                <w:sz w:val="20"/>
                <w:szCs w:val="20"/>
              </w:rPr>
              <w:t>3</w:t>
            </w:r>
          </w:p>
        </w:tc>
        <w:tc>
          <w:tcPr>
            <w:tcW w:w="1534" w:type="dxa"/>
            <w:tcBorders>
              <w:bottom w:val="single" w:sz="4" w:space="0" w:color="auto"/>
              <w:right w:val="single" w:sz="4" w:space="0" w:color="auto"/>
            </w:tcBorders>
            <w:shd w:val="clear" w:color="auto" w:fill="BFBFBF" w:themeFill="background1" w:themeFillShade="BF"/>
            <w:noWrap/>
            <w:vAlign w:val="center"/>
            <w:hideMark/>
          </w:tcPr>
          <w:p w14:paraId="7D3630EA" w14:textId="77777777" w:rsidR="00494699" w:rsidRPr="00F6205B" w:rsidRDefault="00494699" w:rsidP="0044249F">
            <w:pPr>
              <w:keepNext/>
              <w:keepLines/>
              <w:tabs>
                <w:tab w:val="decimal" w:pos="744"/>
              </w:tabs>
              <w:spacing w:after="0" w:line="240" w:lineRule="auto"/>
              <w:rPr>
                <w:rFonts w:eastAsia="Times New Roman"/>
                <w:color w:val="000000"/>
                <w:sz w:val="20"/>
                <w:szCs w:val="20"/>
              </w:rPr>
            </w:pPr>
            <w:r w:rsidRPr="00F6205B">
              <w:rPr>
                <w:rFonts w:eastAsia="Times New Roman"/>
                <w:color w:val="000000"/>
                <w:sz w:val="20"/>
                <w:szCs w:val="20"/>
              </w:rPr>
              <w:t>47%</w:t>
            </w:r>
          </w:p>
        </w:tc>
      </w:tr>
    </w:tbl>
    <w:p w14:paraId="3C74C42A" w14:textId="5C9A15DB" w:rsidR="00494699" w:rsidRPr="00F6205B" w:rsidRDefault="00D228F0" w:rsidP="00D228F0">
      <w:pPr>
        <w:keepNext/>
        <w:keepLines/>
        <w:spacing w:after="0"/>
        <w:ind w:left="274"/>
        <w:rPr>
          <w:rFonts w:cs="Times New Roman"/>
          <w:sz w:val="18"/>
          <w:szCs w:val="20"/>
        </w:rPr>
      </w:pPr>
      <w:r w:rsidRPr="00F6205B">
        <w:rPr>
          <w:rFonts w:cs="Times New Roman"/>
          <w:sz w:val="18"/>
          <w:szCs w:val="20"/>
        </w:rPr>
        <w:t xml:space="preserve">* </w:t>
      </w:r>
      <w:r w:rsidR="00494699" w:rsidRPr="00F6205B">
        <w:rPr>
          <w:rFonts w:cs="Times New Roman"/>
          <w:sz w:val="18"/>
          <w:szCs w:val="20"/>
        </w:rPr>
        <w:t xml:space="preserve">The survey approach for identifying household income asked respondents if their income was above or below a certain amount based on their family size. This unobtrusive approach meant that the evaluators were able to identify the income status for all participants in the onsite study. </w:t>
      </w:r>
    </w:p>
    <w:p w14:paraId="66965187" w14:textId="6BEBBD9F" w:rsidR="00494699" w:rsidRPr="00F6205B" w:rsidRDefault="00494699" w:rsidP="00494699">
      <w:pPr>
        <w:ind w:left="274"/>
        <w:rPr>
          <w:rFonts w:cs="Times New Roman"/>
          <w:sz w:val="18"/>
          <w:szCs w:val="20"/>
        </w:rPr>
      </w:pPr>
      <w:r w:rsidRPr="00F6205B">
        <w:rPr>
          <w:sz w:val="18"/>
          <w:szCs w:val="20"/>
        </w:rPr>
        <w:t>**</w:t>
      </w:r>
      <w:r w:rsidR="00D228F0" w:rsidRPr="00F6205B">
        <w:rPr>
          <w:sz w:val="18"/>
          <w:szCs w:val="20"/>
        </w:rPr>
        <w:t xml:space="preserve"> </w:t>
      </w:r>
      <w:r w:rsidRPr="00F6205B">
        <w:rPr>
          <w:sz w:val="18"/>
          <w:szCs w:val="20"/>
        </w:rPr>
        <w:t>The evaluators planned for 47 of these homes to heat with natural gas, and 46 of the homes in the final sample actually did so.</w:t>
      </w:r>
    </w:p>
    <w:p w14:paraId="2FC292D1" w14:textId="77777777" w:rsidR="00494699" w:rsidRPr="00F6205B" w:rsidRDefault="00494699" w:rsidP="00494699"/>
    <w:p w14:paraId="5958BB79" w14:textId="77777777" w:rsidR="00AE0B0E" w:rsidRPr="00F6205B" w:rsidRDefault="00494699" w:rsidP="00494699">
      <w:r w:rsidRPr="00F6205B">
        <w:t>The final sample, however, did not achieve 90/10 precision for low-income households—although the sampling error of 14% is close to the desired 10%—and sampled fewer than expected renters (although the evaluators had not expected to achieve 90/10 precision for renters). These are traditionally difficult groups to sample,</w:t>
      </w:r>
      <w:r w:rsidRPr="00F6205B">
        <w:rPr>
          <w:rStyle w:val="FootnoteReference"/>
        </w:rPr>
        <w:footnoteReference w:id="55"/>
      </w:r>
      <w:r w:rsidRPr="00F6205B">
        <w:t xml:space="preserve"> but three factors directly related to this study further limited the evaluators’ ability to achieve 90/10 precision for the low-income households and to visit the expected number of rental households. Two of these factors stem from the HES requirement that renters receive permission from their landlords</w:t>
      </w:r>
      <w:r w:rsidR="00AE0B0E" w:rsidRPr="00F6205B">
        <w:t xml:space="preserve"> before receiving HES services.</w:t>
      </w:r>
    </w:p>
    <w:p w14:paraId="657E1572" w14:textId="77777777" w:rsidR="00AE0B0E" w:rsidRPr="00F6205B" w:rsidRDefault="00494699" w:rsidP="00494699">
      <w:r w:rsidRPr="00F6205B">
        <w:t>First, when recruiting for the study, the evaluators informed possible participants that they would have to get landlord approval before taking part in the study; at that point, many renters indicated they did not want to take part in the study. Second, renters that did originally express interest in the study were ultimately unable or unwilling to secure landlord permission prior to the onsite visit. Because a disproportionately high number of households that rent single-family homes also qualify as low-income, the difficulty in securing participants who rent also limited the evaluators’ ability to sample as many low</w:t>
      </w:r>
      <w:r w:rsidR="00AE0B0E" w:rsidRPr="00F6205B">
        <w:t>-income households as designed.</w:t>
      </w:r>
    </w:p>
    <w:p w14:paraId="56872F8B" w14:textId="4FB4C889" w:rsidR="00494699" w:rsidRPr="00F6205B" w:rsidRDefault="00494699" w:rsidP="00494699">
      <w:r w:rsidRPr="00F6205B">
        <w:t xml:space="preserve">A third reason for the lower than expected renter and low-income participation relates to the structure of buildings: When scheduling onsite visits, the evaluators discovered that many interested survey respondents who had originally indicated that they lived in single-family attached homes actually lived in multifamily homes or attached homes that were not </w:t>
      </w:r>
      <w:r w:rsidRPr="00F6205B">
        <w:lastRenderedPageBreak/>
        <w:t xml:space="preserve">completely separate units (i.e., they were not separated from attic to basement or they shared utilities). </w:t>
      </w:r>
    </w:p>
    <w:p w14:paraId="1B37DC9D" w14:textId="56EE6802" w:rsidR="00494699" w:rsidRPr="00F6205B" w:rsidRDefault="00494699" w:rsidP="00494699">
      <w:r w:rsidRPr="00F6205B">
        <w:t xml:space="preserve">The </w:t>
      </w:r>
      <w:r w:rsidR="004C6F72" w:rsidRPr="00F6205B">
        <w:t>sample</w:t>
      </w:r>
      <w:r w:rsidRPr="00F6205B">
        <w:t xml:space="preserve"> achieved 90/10 precision for oil-heated households and for households of all other fuel types combined. This reflects the fact that about 62% of single-family homes in Connecticut are heated with oil</w:t>
      </w:r>
      <w:r w:rsidR="004C6F72" w:rsidRPr="00F6205B">
        <w:t>.</w:t>
      </w:r>
      <w:r w:rsidRPr="00F6205B">
        <w:t xml:space="preserve"> </w:t>
      </w:r>
      <w:r w:rsidR="004C6F72" w:rsidRPr="00F6205B">
        <w:t>The sample</w:t>
      </w:r>
      <w:r w:rsidRPr="00F6205B">
        <w:t xml:space="preserve"> did not achieve</w:t>
      </w:r>
      <w:r w:rsidR="004C6F72" w:rsidRPr="00F6205B">
        <w:t xml:space="preserve"> </w:t>
      </w:r>
      <w:r w:rsidRPr="00F6205B">
        <w:t xml:space="preserve">90/10 precision for any other single heating fuel type with a sample size of 180 (the size chosen by the EEB and DEEP from a list of options provided by the evaluators). </w:t>
      </w:r>
    </w:p>
    <w:p w14:paraId="491722D7" w14:textId="77777777" w:rsidR="00494699" w:rsidRPr="00F6205B" w:rsidRDefault="00494699" w:rsidP="007C4D27">
      <w:pPr>
        <w:pStyle w:val="Heading2"/>
        <w:numPr>
          <w:ilvl w:val="0"/>
          <w:numId w:val="0"/>
        </w:numPr>
        <w:jc w:val="both"/>
      </w:pPr>
      <w:bookmarkStart w:id="145" w:name="_Toc373322736"/>
      <w:bookmarkStart w:id="146" w:name="_Toc391887312"/>
      <w:bookmarkStart w:id="147" w:name="_Toc439939400"/>
      <w:r w:rsidRPr="00F6205B">
        <w:t>Weighting</w:t>
      </w:r>
      <w:bookmarkEnd w:id="145"/>
      <w:bookmarkEnd w:id="146"/>
      <w:bookmarkEnd w:id="147"/>
    </w:p>
    <w:p w14:paraId="17A0679A" w14:textId="77777777" w:rsidR="00494699" w:rsidRPr="00F6205B" w:rsidRDefault="00494699" w:rsidP="00494699">
      <w:r w:rsidRPr="00F6205B">
        <w:t>The weighting scheme utilized in this study is consistent with that of the Weatherization Baseline study.</w:t>
      </w:r>
      <w:r w:rsidRPr="00F6205B">
        <w:rPr>
          <w:rStyle w:val="FootnoteReference"/>
        </w:rPr>
        <w:footnoteReference w:id="56"/>
      </w:r>
      <w:r w:rsidRPr="00F6205B">
        <w:t xml:space="preserve"> The consumption data exported from REM/rate were weighted to the population based on each homes primary heating fuel type and income status. A count of Connecticut single-family households gathered from the American Community Survey 2008-2010 three-year estimates was used to determine the count within each weighting stratum. Two primary heating fuel type categories—one for gas and electricity and one for oil, propane, and other—were combined with income categories in order to establish the following four weighting categories:</w:t>
      </w:r>
    </w:p>
    <w:p w14:paraId="7FB33C15" w14:textId="77777777" w:rsidR="00494699" w:rsidRPr="00F6205B" w:rsidRDefault="00494699" w:rsidP="00F52E2F">
      <w:pPr>
        <w:pStyle w:val="ListParagraph"/>
        <w:numPr>
          <w:ilvl w:val="0"/>
          <w:numId w:val="20"/>
        </w:numPr>
        <w:jc w:val="both"/>
      </w:pPr>
      <w:r w:rsidRPr="00F6205B">
        <w:t>Low-income with oil, propane, or other heating fuel;</w:t>
      </w:r>
    </w:p>
    <w:p w14:paraId="1A14FA3A" w14:textId="77777777" w:rsidR="00494699" w:rsidRPr="00F6205B" w:rsidRDefault="00494699" w:rsidP="00F52E2F">
      <w:pPr>
        <w:pStyle w:val="ListParagraph"/>
        <w:numPr>
          <w:ilvl w:val="0"/>
          <w:numId w:val="20"/>
        </w:numPr>
        <w:jc w:val="both"/>
      </w:pPr>
      <w:r w:rsidRPr="00F6205B">
        <w:t>Low-income with gas or electric heating fuel;</w:t>
      </w:r>
    </w:p>
    <w:p w14:paraId="31D03BA4" w14:textId="77777777" w:rsidR="00494699" w:rsidRPr="00F6205B" w:rsidRDefault="00494699" w:rsidP="00F52E2F">
      <w:pPr>
        <w:pStyle w:val="ListParagraph"/>
        <w:numPr>
          <w:ilvl w:val="0"/>
          <w:numId w:val="20"/>
        </w:numPr>
        <w:jc w:val="both"/>
      </w:pPr>
      <w:r w:rsidRPr="00F6205B">
        <w:t>Not low-income with oil, propane, or other heating fuel;</w:t>
      </w:r>
    </w:p>
    <w:p w14:paraId="1C8CE1BD" w14:textId="77777777" w:rsidR="00494699" w:rsidRPr="00F6205B" w:rsidRDefault="00494699" w:rsidP="00F52E2F">
      <w:pPr>
        <w:pStyle w:val="ListParagraph"/>
        <w:numPr>
          <w:ilvl w:val="0"/>
          <w:numId w:val="20"/>
        </w:numPr>
        <w:jc w:val="both"/>
      </w:pPr>
      <w:r w:rsidRPr="00F6205B">
        <w:t>Not low-income with gas or electric heating fuel.</w:t>
      </w:r>
    </w:p>
    <w:p w14:paraId="63BCDD5C" w14:textId="5C7CD120" w:rsidR="00494699" w:rsidRPr="00F6205B" w:rsidRDefault="00AE0B0E" w:rsidP="00494699">
      <w:pPr>
        <w:keepNext/>
      </w:pPr>
      <w:r w:rsidRPr="00F6205B">
        <w:fldChar w:fldCharType="begin"/>
      </w:r>
      <w:r w:rsidRPr="00F6205B">
        <w:instrText xml:space="preserve"> REF _Ref439340854 \h </w:instrText>
      </w:r>
      <w:r w:rsidR="00F6205B">
        <w:instrText xml:space="preserve"> \* MERGEFORMAT </w:instrText>
      </w:r>
      <w:r w:rsidRPr="00F6205B">
        <w:fldChar w:fldCharType="separate"/>
      </w:r>
      <w:r w:rsidR="00FA26A9" w:rsidRPr="00F6205B">
        <w:t xml:space="preserve">Table </w:t>
      </w:r>
      <w:r w:rsidR="00FA26A9">
        <w:rPr>
          <w:noProof/>
        </w:rPr>
        <w:t>11</w:t>
      </w:r>
      <w:r w:rsidRPr="00F6205B">
        <w:fldChar w:fldCharType="end"/>
      </w:r>
      <w:r w:rsidRPr="00F6205B">
        <w:t xml:space="preserve"> </w:t>
      </w:r>
      <w:r w:rsidR="00494699" w:rsidRPr="00F6205B">
        <w:t>presents the population weights for these four categories.</w:t>
      </w:r>
    </w:p>
    <w:p w14:paraId="5F84FA1F" w14:textId="7FEF32A1" w:rsidR="00494699" w:rsidRPr="00F6205B" w:rsidRDefault="00494699" w:rsidP="004F23CF">
      <w:pPr>
        <w:pStyle w:val="Caption"/>
      </w:pPr>
      <w:bookmarkStart w:id="148" w:name="_Ref361911788"/>
      <w:bookmarkStart w:id="149" w:name="_Ref439340854"/>
      <w:bookmarkStart w:id="150" w:name="_Toc373324119"/>
      <w:bookmarkStart w:id="151" w:name="_Toc391887347"/>
      <w:bookmarkStart w:id="152" w:name="_Toc439931842"/>
      <w:r w:rsidRPr="00F6205B">
        <w:t>Tabl</w:t>
      </w:r>
      <w:bookmarkEnd w:id="148"/>
      <w:r w:rsidR="004F23CF" w:rsidRPr="00F6205B">
        <w:t xml:space="preserve">e </w:t>
      </w:r>
      <w:fldSimple w:instr=" SEQ Table \* ARABIC ">
        <w:r w:rsidR="00FA26A9">
          <w:rPr>
            <w:noProof/>
          </w:rPr>
          <w:t>11</w:t>
        </w:r>
      </w:fldSimple>
      <w:bookmarkEnd w:id="149"/>
      <w:r w:rsidRPr="00F6205B">
        <w:t>: Potential Study Population Weights</w:t>
      </w:r>
      <w:bookmarkEnd w:id="150"/>
      <w:bookmarkEnd w:id="151"/>
      <w:bookmarkEnd w:id="152"/>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4912"/>
        <w:gridCol w:w="1372"/>
        <w:gridCol w:w="1280"/>
        <w:gridCol w:w="1280"/>
      </w:tblGrid>
      <w:tr w:rsidR="00494699" w:rsidRPr="00F6205B" w14:paraId="1492675E" w14:textId="77777777" w:rsidTr="00EB7623">
        <w:trPr>
          <w:trHeight w:val="288"/>
          <w:jc w:val="center"/>
        </w:trPr>
        <w:tc>
          <w:tcPr>
            <w:tcW w:w="4912" w:type="dxa"/>
            <w:tcBorders>
              <w:top w:val="single" w:sz="4" w:space="0" w:color="auto"/>
              <w:left w:val="single" w:sz="4" w:space="0" w:color="auto"/>
              <w:bottom w:val="single" w:sz="4" w:space="0" w:color="auto"/>
              <w:right w:val="single" w:sz="4" w:space="0" w:color="000000" w:themeColor="text1"/>
            </w:tcBorders>
            <w:shd w:val="clear" w:color="auto" w:fill="0B4D2C" w:themeFill="background2" w:themeFillShade="BF"/>
            <w:vAlign w:val="center"/>
          </w:tcPr>
          <w:p w14:paraId="0B7C6017" w14:textId="77777777" w:rsidR="00494699" w:rsidRPr="00F6205B" w:rsidRDefault="00494699" w:rsidP="0044249F">
            <w:pPr>
              <w:keepLines/>
              <w:spacing w:after="0"/>
              <w:rPr>
                <w:b/>
                <w:sz w:val="20"/>
                <w:szCs w:val="20"/>
              </w:rPr>
            </w:pPr>
            <w:r w:rsidRPr="00F6205B">
              <w:rPr>
                <w:b/>
                <w:sz w:val="20"/>
                <w:szCs w:val="20"/>
              </w:rPr>
              <w:t>Weighting Category</w:t>
            </w:r>
          </w:p>
          <w:p w14:paraId="3D7F0A41" w14:textId="77777777" w:rsidR="00494699" w:rsidRPr="00F6205B" w:rsidRDefault="00494699" w:rsidP="0044249F">
            <w:pPr>
              <w:keepLines/>
              <w:spacing w:after="0"/>
              <w:rPr>
                <w:b/>
                <w:sz w:val="20"/>
                <w:szCs w:val="20"/>
              </w:rPr>
            </w:pPr>
            <w:r w:rsidRPr="00F6205B">
              <w:rPr>
                <w:b/>
                <w:sz w:val="20"/>
                <w:szCs w:val="20"/>
              </w:rPr>
              <w:t>(Income Level: Primary Heating Fuel)</w:t>
            </w:r>
          </w:p>
        </w:tc>
        <w:tc>
          <w:tcPr>
            <w:tcW w:w="1372" w:type="dxa"/>
            <w:tcBorders>
              <w:top w:val="single" w:sz="4" w:space="0" w:color="auto"/>
              <w:bottom w:val="single" w:sz="4" w:space="0" w:color="auto"/>
              <w:right w:val="single" w:sz="4" w:space="0" w:color="000000" w:themeColor="text1"/>
            </w:tcBorders>
            <w:shd w:val="clear" w:color="auto" w:fill="0B4D2C" w:themeFill="background2" w:themeFillShade="BF"/>
            <w:vAlign w:val="center"/>
          </w:tcPr>
          <w:p w14:paraId="4DB9266C" w14:textId="7B1607FC" w:rsidR="00494699" w:rsidRPr="00F6205B" w:rsidRDefault="00484B5C" w:rsidP="0044249F">
            <w:pPr>
              <w:keepLines/>
              <w:spacing w:after="0"/>
              <w:jc w:val="center"/>
              <w:rPr>
                <w:b/>
                <w:sz w:val="20"/>
                <w:szCs w:val="20"/>
              </w:rPr>
            </w:pPr>
            <w:r w:rsidRPr="00F6205B">
              <w:rPr>
                <w:b/>
                <w:sz w:val="20"/>
                <w:szCs w:val="20"/>
              </w:rPr>
              <w:t>Connecticut Population (</w:t>
            </w:r>
            <w:r w:rsidR="00494699" w:rsidRPr="00F6205B">
              <w:rPr>
                <w:b/>
                <w:sz w:val="20"/>
                <w:szCs w:val="20"/>
              </w:rPr>
              <w:t>ACS</w:t>
            </w:r>
            <w:r w:rsidRPr="00F6205B">
              <w:rPr>
                <w:b/>
                <w:sz w:val="20"/>
                <w:szCs w:val="20"/>
              </w:rPr>
              <w:t>)</w:t>
            </w:r>
          </w:p>
        </w:tc>
        <w:tc>
          <w:tcPr>
            <w:tcW w:w="1280" w:type="dxa"/>
            <w:tcBorders>
              <w:top w:val="single" w:sz="4" w:space="0" w:color="auto"/>
              <w:bottom w:val="single" w:sz="4" w:space="0" w:color="auto"/>
              <w:right w:val="single" w:sz="4" w:space="0" w:color="000000" w:themeColor="text1"/>
            </w:tcBorders>
            <w:shd w:val="clear" w:color="auto" w:fill="0B4D2C" w:themeFill="background2" w:themeFillShade="BF"/>
            <w:vAlign w:val="center"/>
          </w:tcPr>
          <w:p w14:paraId="5303C9A9" w14:textId="77777777" w:rsidR="00494699" w:rsidRPr="00F6205B" w:rsidRDefault="00494699" w:rsidP="0044249F">
            <w:pPr>
              <w:keepLines/>
              <w:spacing w:after="0"/>
              <w:jc w:val="center"/>
              <w:rPr>
                <w:b/>
                <w:sz w:val="20"/>
                <w:szCs w:val="20"/>
              </w:rPr>
            </w:pPr>
            <w:r w:rsidRPr="00F6205B">
              <w:rPr>
                <w:b/>
                <w:sz w:val="20"/>
                <w:szCs w:val="20"/>
              </w:rPr>
              <w:t>Sample</w:t>
            </w:r>
          </w:p>
        </w:tc>
        <w:tc>
          <w:tcPr>
            <w:tcW w:w="1280" w:type="dxa"/>
            <w:tcBorders>
              <w:top w:val="single" w:sz="4" w:space="0" w:color="auto"/>
              <w:left w:val="single" w:sz="4" w:space="0" w:color="000000" w:themeColor="text1"/>
              <w:bottom w:val="single" w:sz="4" w:space="0" w:color="auto"/>
              <w:right w:val="single" w:sz="4" w:space="0" w:color="auto"/>
            </w:tcBorders>
            <w:shd w:val="clear" w:color="auto" w:fill="0B4D2C" w:themeFill="background2" w:themeFillShade="BF"/>
            <w:vAlign w:val="center"/>
          </w:tcPr>
          <w:p w14:paraId="535C3CB9" w14:textId="77777777" w:rsidR="00494699" w:rsidRPr="00F6205B" w:rsidRDefault="00494699" w:rsidP="0044249F">
            <w:pPr>
              <w:keepLines/>
              <w:spacing w:after="0"/>
              <w:jc w:val="center"/>
              <w:rPr>
                <w:b/>
                <w:sz w:val="20"/>
                <w:szCs w:val="20"/>
              </w:rPr>
            </w:pPr>
            <w:r w:rsidRPr="00F6205B">
              <w:rPr>
                <w:b/>
                <w:sz w:val="20"/>
                <w:szCs w:val="20"/>
              </w:rPr>
              <w:t>Population Weight</w:t>
            </w:r>
          </w:p>
        </w:tc>
      </w:tr>
      <w:tr w:rsidR="00494699" w:rsidRPr="00F6205B" w14:paraId="7129C5E0" w14:textId="77777777" w:rsidTr="00EB7623">
        <w:trPr>
          <w:trHeight w:val="288"/>
          <w:jc w:val="center"/>
        </w:trPr>
        <w:tc>
          <w:tcPr>
            <w:tcW w:w="4912" w:type="dxa"/>
            <w:tcBorders>
              <w:top w:val="single" w:sz="4" w:space="0" w:color="auto"/>
              <w:left w:val="single" w:sz="4" w:space="0" w:color="auto"/>
              <w:right w:val="single" w:sz="4" w:space="0" w:color="000000" w:themeColor="text1"/>
            </w:tcBorders>
            <w:vAlign w:val="center"/>
          </w:tcPr>
          <w:p w14:paraId="4F9432AD" w14:textId="77777777" w:rsidR="00494699" w:rsidRPr="00F6205B" w:rsidRDefault="00494699" w:rsidP="0044249F">
            <w:pPr>
              <w:keepLines/>
              <w:spacing w:after="0"/>
              <w:rPr>
                <w:sz w:val="20"/>
                <w:szCs w:val="20"/>
              </w:rPr>
            </w:pPr>
            <w:r w:rsidRPr="00F6205B">
              <w:rPr>
                <w:sz w:val="20"/>
                <w:szCs w:val="20"/>
              </w:rPr>
              <w:t>Low Income: Oil, Propane, or Miscellaneous</w:t>
            </w:r>
          </w:p>
        </w:tc>
        <w:tc>
          <w:tcPr>
            <w:tcW w:w="1372" w:type="dxa"/>
            <w:tcBorders>
              <w:top w:val="single" w:sz="4" w:space="0" w:color="auto"/>
              <w:right w:val="single" w:sz="4" w:space="0" w:color="000000" w:themeColor="text1"/>
            </w:tcBorders>
            <w:vAlign w:val="center"/>
          </w:tcPr>
          <w:p w14:paraId="0368F32A" w14:textId="77777777" w:rsidR="00494699" w:rsidRPr="00F6205B" w:rsidRDefault="00494699" w:rsidP="0044249F">
            <w:pPr>
              <w:keepLines/>
              <w:spacing w:after="0"/>
              <w:jc w:val="center"/>
              <w:rPr>
                <w:sz w:val="20"/>
                <w:szCs w:val="20"/>
              </w:rPr>
            </w:pPr>
            <w:r w:rsidRPr="00F6205B">
              <w:rPr>
                <w:sz w:val="20"/>
                <w:szCs w:val="20"/>
              </w:rPr>
              <w:t>128,495</w:t>
            </w:r>
          </w:p>
        </w:tc>
        <w:tc>
          <w:tcPr>
            <w:tcW w:w="1280" w:type="dxa"/>
            <w:tcBorders>
              <w:top w:val="single" w:sz="4" w:space="0" w:color="auto"/>
              <w:right w:val="single" w:sz="4" w:space="0" w:color="000000" w:themeColor="text1"/>
            </w:tcBorders>
            <w:vAlign w:val="center"/>
          </w:tcPr>
          <w:p w14:paraId="6C453D57" w14:textId="77777777" w:rsidR="00494699" w:rsidRPr="00F6205B" w:rsidRDefault="00494699" w:rsidP="0044249F">
            <w:pPr>
              <w:keepLines/>
              <w:spacing w:after="0"/>
              <w:jc w:val="center"/>
              <w:rPr>
                <w:sz w:val="20"/>
                <w:szCs w:val="20"/>
              </w:rPr>
            </w:pPr>
            <w:r w:rsidRPr="00F6205B">
              <w:rPr>
                <w:sz w:val="20"/>
                <w:szCs w:val="20"/>
              </w:rPr>
              <w:t>20</w:t>
            </w:r>
          </w:p>
        </w:tc>
        <w:tc>
          <w:tcPr>
            <w:tcW w:w="1280" w:type="dxa"/>
            <w:tcBorders>
              <w:top w:val="single" w:sz="4" w:space="0" w:color="auto"/>
              <w:left w:val="single" w:sz="4" w:space="0" w:color="000000" w:themeColor="text1"/>
              <w:right w:val="single" w:sz="4" w:space="0" w:color="auto"/>
            </w:tcBorders>
            <w:vAlign w:val="center"/>
          </w:tcPr>
          <w:p w14:paraId="374F1D74" w14:textId="77777777" w:rsidR="00494699" w:rsidRPr="00F6205B" w:rsidRDefault="00494699" w:rsidP="0044249F">
            <w:pPr>
              <w:keepLines/>
              <w:spacing w:after="0"/>
              <w:jc w:val="center"/>
              <w:rPr>
                <w:sz w:val="20"/>
                <w:szCs w:val="20"/>
              </w:rPr>
            </w:pPr>
            <w:r w:rsidRPr="00F6205B">
              <w:rPr>
                <w:sz w:val="20"/>
                <w:szCs w:val="20"/>
              </w:rPr>
              <w:t>6,425</w:t>
            </w:r>
          </w:p>
        </w:tc>
      </w:tr>
      <w:tr w:rsidR="00494699" w:rsidRPr="00F6205B" w14:paraId="56AD68BB" w14:textId="77777777" w:rsidTr="00EB7623">
        <w:trPr>
          <w:trHeight w:val="288"/>
          <w:jc w:val="center"/>
        </w:trPr>
        <w:tc>
          <w:tcPr>
            <w:tcW w:w="4912" w:type="dxa"/>
            <w:tcBorders>
              <w:left w:val="single" w:sz="4" w:space="0" w:color="auto"/>
              <w:right w:val="single" w:sz="4" w:space="0" w:color="000000" w:themeColor="text1"/>
            </w:tcBorders>
            <w:vAlign w:val="center"/>
          </w:tcPr>
          <w:p w14:paraId="6A99214D" w14:textId="77777777" w:rsidR="00494699" w:rsidRPr="00F6205B" w:rsidRDefault="00494699" w:rsidP="0044249F">
            <w:pPr>
              <w:keepLines/>
              <w:spacing w:after="0"/>
              <w:rPr>
                <w:sz w:val="20"/>
                <w:szCs w:val="20"/>
              </w:rPr>
            </w:pPr>
            <w:r w:rsidRPr="00F6205B">
              <w:rPr>
                <w:sz w:val="20"/>
                <w:szCs w:val="20"/>
              </w:rPr>
              <w:t>Low Income: Gas or Electric</w:t>
            </w:r>
          </w:p>
        </w:tc>
        <w:tc>
          <w:tcPr>
            <w:tcW w:w="1372" w:type="dxa"/>
            <w:tcBorders>
              <w:right w:val="single" w:sz="4" w:space="0" w:color="000000" w:themeColor="text1"/>
            </w:tcBorders>
            <w:vAlign w:val="center"/>
          </w:tcPr>
          <w:p w14:paraId="0F9F7BCA" w14:textId="77777777" w:rsidR="00494699" w:rsidRPr="00F6205B" w:rsidRDefault="00494699" w:rsidP="0044249F">
            <w:pPr>
              <w:keepLines/>
              <w:spacing w:after="0"/>
              <w:jc w:val="center"/>
              <w:rPr>
                <w:sz w:val="20"/>
                <w:szCs w:val="20"/>
              </w:rPr>
            </w:pPr>
            <w:r w:rsidRPr="00F6205B">
              <w:rPr>
                <w:sz w:val="20"/>
                <w:szCs w:val="20"/>
              </w:rPr>
              <w:t>72,766</w:t>
            </w:r>
          </w:p>
        </w:tc>
        <w:tc>
          <w:tcPr>
            <w:tcW w:w="1280" w:type="dxa"/>
            <w:tcBorders>
              <w:right w:val="single" w:sz="4" w:space="0" w:color="000000" w:themeColor="text1"/>
            </w:tcBorders>
            <w:vAlign w:val="center"/>
          </w:tcPr>
          <w:p w14:paraId="745CAEAD" w14:textId="77777777" w:rsidR="00494699" w:rsidRPr="00F6205B" w:rsidRDefault="00494699" w:rsidP="0044249F">
            <w:pPr>
              <w:keepLines/>
              <w:spacing w:after="0"/>
              <w:jc w:val="center"/>
              <w:rPr>
                <w:sz w:val="20"/>
                <w:szCs w:val="20"/>
              </w:rPr>
            </w:pPr>
            <w:r w:rsidRPr="00F6205B">
              <w:rPr>
                <w:sz w:val="20"/>
                <w:szCs w:val="20"/>
              </w:rPr>
              <w:t>14</w:t>
            </w:r>
          </w:p>
        </w:tc>
        <w:tc>
          <w:tcPr>
            <w:tcW w:w="1280" w:type="dxa"/>
            <w:tcBorders>
              <w:left w:val="single" w:sz="4" w:space="0" w:color="000000" w:themeColor="text1"/>
              <w:right w:val="single" w:sz="4" w:space="0" w:color="auto"/>
            </w:tcBorders>
            <w:vAlign w:val="center"/>
          </w:tcPr>
          <w:p w14:paraId="22A608D4" w14:textId="77777777" w:rsidR="00494699" w:rsidRPr="00F6205B" w:rsidRDefault="00494699" w:rsidP="0044249F">
            <w:pPr>
              <w:keepLines/>
              <w:spacing w:after="0"/>
              <w:jc w:val="center"/>
              <w:rPr>
                <w:sz w:val="20"/>
                <w:szCs w:val="20"/>
              </w:rPr>
            </w:pPr>
            <w:r w:rsidRPr="00F6205B">
              <w:rPr>
                <w:sz w:val="20"/>
                <w:szCs w:val="20"/>
              </w:rPr>
              <w:t>5,198</w:t>
            </w:r>
          </w:p>
        </w:tc>
      </w:tr>
      <w:tr w:rsidR="00494699" w:rsidRPr="00F6205B" w14:paraId="1E4F915D" w14:textId="77777777" w:rsidTr="00EB7623">
        <w:trPr>
          <w:trHeight w:val="288"/>
          <w:jc w:val="center"/>
        </w:trPr>
        <w:tc>
          <w:tcPr>
            <w:tcW w:w="4912" w:type="dxa"/>
            <w:tcBorders>
              <w:left w:val="single" w:sz="4" w:space="0" w:color="auto"/>
              <w:right w:val="single" w:sz="4" w:space="0" w:color="000000" w:themeColor="text1"/>
            </w:tcBorders>
            <w:vAlign w:val="center"/>
          </w:tcPr>
          <w:p w14:paraId="5597C538" w14:textId="77777777" w:rsidR="00494699" w:rsidRPr="00F6205B" w:rsidRDefault="00494699" w:rsidP="0044249F">
            <w:pPr>
              <w:keepLines/>
              <w:spacing w:after="0"/>
              <w:rPr>
                <w:sz w:val="20"/>
                <w:szCs w:val="20"/>
              </w:rPr>
            </w:pPr>
            <w:r w:rsidRPr="00F6205B">
              <w:rPr>
                <w:sz w:val="20"/>
                <w:szCs w:val="20"/>
              </w:rPr>
              <w:t>Not Low Income: Oil, Propane, or Miscellaneous</w:t>
            </w:r>
          </w:p>
        </w:tc>
        <w:tc>
          <w:tcPr>
            <w:tcW w:w="1372" w:type="dxa"/>
            <w:tcBorders>
              <w:right w:val="single" w:sz="4" w:space="0" w:color="000000" w:themeColor="text1"/>
            </w:tcBorders>
            <w:vAlign w:val="center"/>
          </w:tcPr>
          <w:p w14:paraId="3A75D5C7" w14:textId="77777777" w:rsidR="00494699" w:rsidRPr="00F6205B" w:rsidRDefault="00494699" w:rsidP="0044249F">
            <w:pPr>
              <w:keepLines/>
              <w:spacing w:after="0"/>
              <w:jc w:val="center"/>
              <w:rPr>
                <w:sz w:val="20"/>
                <w:szCs w:val="20"/>
              </w:rPr>
            </w:pPr>
            <w:r w:rsidRPr="00F6205B">
              <w:rPr>
                <w:sz w:val="20"/>
                <w:szCs w:val="20"/>
              </w:rPr>
              <w:t>475,295</w:t>
            </w:r>
          </w:p>
        </w:tc>
        <w:tc>
          <w:tcPr>
            <w:tcW w:w="1280" w:type="dxa"/>
            <w:tcBorders>
              <w:right w:val="single" w:sz="4" w:space="0" w:color="000000" w:themeColor="text1"/>
            </w:tcBorders>
            <w:vAlign w:val="center"/>
          </w:tcPr>
          <w:p w14:paraId="5597045D" w14:textId="77777777" w:rsidR="00494699" w:rsidRPr="00F6205B" w:rsidRDefault="00494699" w:rsidP="0044249F">
            <w:pPr>
              <w:keepLines/>
              <w:spacing w:after="0"/>
              <w:jc w:val="center"/>
              <w:rPr>
                <w:sz w:val="20"/>
                <w:szCs w:val="20"/>
              </w:rPr>
            </w:pPr>
            <w:r w:rsidRPr="00F6205B">
              <w:rPr>
                <w:sz w:val="20"/>
                <w:szCs w:val="20"/>
              </w:rPr>
              <w:t>98</w:t>
            </w:r>
          </w:p>
        </w:tc>
        <w:tc>
          <w:tcPr>
            <w:tcW w:w="1280" w:type="dxa"/>
            <w:tcBorders>
              <w:left w:val="single" w:sz="4" w:space="0" w:color="000000" w:themeColor="text1"/>
              <w:right w:val="single" w:sz="4" w:space="0" w:color="auto"/>
            </w:tcBorders>
            <w:vAlign w:val="center"/>
          </w:tcPr>
          <w:p w14:paraId="1D8F5228" w14:textId="77777777" w:rsidR="00494699" w:rsidRPr="00F6205B" w:rsidRDefault="00494699" w:rsidP="0044249F">
            <w:pPr>
              <w:keepLines/>
              <w:spacing w:after="0"/>
              <w:jc w:val="center"/>
              <w:rPr>
                <w:sz w:val="20"/>
                <w:szCs w:val="20"/>
              </w:rPr>
            </w:pPr>
            <w:r w:rsidRPr="00F6205B">
              <w:rPr>
                <w:sz w:val="20"/>
                <w:szCs w:val="20"/>
              </w:rPr>
              <w:t>4,850</w:t>
            </w:r>
          </w:p>
        </w:tc>
      </w:tr>
      <w:tr w:rsidR="00494699" w:rsidRPr="00F6205B" w14:paraId="0DC48AFA" w14:textId="77777777" w:rsidTr="00EB7623">
        <w:trPr>
          <w:trHeight w:val="288"/>
          <w:jc w:val="center"/>
        </w:trPr>
        <w:tc>
          <w:tcPr>
            <w:tcW w:w="4912" w:type="dxa"/>
            <w:tcBorders>
              <w:left w:val="single" w:sz="4" w:space="0" w:color="auto"/>
              <w:bottom w:val="single" w:sz="4" w:space="0" w:color="auto"/>
              <w:right w:val="single" w:sz="4" w:space="0" w:color="000000" w:themeColor="text1"/>
            </w:tcBorders>
            <w:vAlign w:val="center"/>
          </w:tcPr>
          <w:p w14:paraId="6D88658A" w14:textId="77777777" w:rsidR="00494699" w:rsidRPr="00F6205B" w:rsidRDefault="00494699" w:rsidP="0044249F">
            <w:pPr>
              <w:keepLines/>
              <w:spacing w:after="0"/>
              <w:rPr>
                <w:sz w:val="20"/>
                <w:szCs w:val="20"/>
              </w:rPr>
            </w:pPr>
            <w:r w:rsidRPr="00F6205B">
              <w:rPr>
                <w:sz w:val="20"/>
                <w:szCs w:val="20"/>
              </w:rPr>
              <w:t xml:space="preserve">Not Low Income: Gas or Electric </w:t>
            </w:r>
          </w:p>
        </w:tc>
        <w:tc>
          <w:tcPr>
            <w:tcW w:w="1372" w:type="dxa"/>
            <w:tcBorders>
              <w:bottom w:val="single" w:sz="4" w:space="0" w:color="auto"/>
              <w:right w:val="single" w:sz="4" w:space="0" w:color="000000" w:themeColor="text1"/>
            </w:tcBorders>
            <w:vAlign w:val="center"/>
          </w:tcPr>
          <w:p w14:paraId="24AC4749" w14:textId="77777777" w:rsidR="00494699" w:rsidRPr="00F6205B" w:rsidRDefault="00494699" w:rsidP="0044249F">
            <w:pPr>
              <w:keepLines/>
              <w:spacing w:after="0"/>
              <w:jc w:val="center"/>
              <w:rPr>
                <w:sz w:val="20"/>
                <w:szCs w:val="20"/>
              </w:rPr>
            </w:pPr>
            <w:r w:rsidRPr="00F6205B">
              <w:rPr>
                <w:sz w:val="20"/>
                <w:szCs w:val="20"/>
              </w:rPr>
              <w:t>216,042</w:t>
            </w:r>
          </w:p>
        </w:tc>
        <w:tc>
          <w:tcPr>
            <w:tcW w:w="1280" w:type="dxa"/>
            <w:tcBorders>
              <w:bottom w:val="single" w:sz="4" w:space="0" w:color="auto"/>
              <w:right w:val="single" w:sz="4" w:space="0" w:color="000000" w:themeColor="text1"/>
            </w:tcBorders>
            <w:vAlign w:val="center"/>
          </w:tcPr>
          <w:p w14:paraId="00378195" w14:textId="77777777" w:rsidR="00494699" w:rsidRPr="00F6205B" w:rsidRDefault="00494699" w:rsidP="0044249F">
            <w:pPr>
              <w:keepLines/>
              <w:spacing w:after="0"/>
              <w:jc w:val="center"/>
              <w:rPr>
                <w:sz w:val="20"/>
                <w:szCs w:val="20"/>
              </w:rPr>
            </w:pPr>
            <w:r w:rsidRPr="00F6205B">
              <w:rPr>
                <w:sz w:val="20"/>
                <w:szCs w:val="20"/>
              </w:rPr>
              <w:t>48</w:t>
            </w:r>
          </w:p>
        </w:tc>
        <w:tc>
          <w:tcPr>
            <w:tcW w:w="1280" w:type="dxa"/>
            <w:tcBorders>
              <w:left w:val="single" w:sz="4" w:space="0" w:color="000000" w:themeColor="text1"/>
              <w:bottom w:val="single" w:sz="4" w:space="0" w:color="auto"/>
              <w:right w:val="single" w:sz="4" w:space="0" w:color="auto"/>
            </w:tcBorders>
            <w:vAlign w:val="center"/>
          </w:tcPr>
          <w:p w14:paraId="6C72DE3C" w14:textId="77777777" w:rsidR="00494699" w:rsidRPr="00F6205B" w:rsidRDefault="00494699" w:rsidP="0044249F">
            <w:pPr>
              <w:keepLines/>
              <w:spacing w:after="0"/>
              <w:jc w:val="center"/>
              <w:rPr>
                <w:sz w:val="20"/>
                <w:szCs w:val="20"/>
              </w:rPr>
            </w:pPr>
            <w:r w:rsidRPr="00F6205B">
              <w:rPr>
                <w:sz w:val="20"/>
                <w:szCs w:val="20"/>
              </w:rPr>
              <w:t>4,501</w:t>
            </w:r>
          </w:p>
        </w:tc>
      </w:tr>
    </w:tbl>
    <w:p w14:paraId="49D6D34B" w14:textId="77777777" w:rsidR="003A6CD9" w:rsidRDefault="003A6CD9" w:rsidP="00494699">
      <w:pPr>
        <w:sectPr w:rsidR="003A6CD9" w:rsidSect="009B5AD3">
          <w:pgSz w:w="12240" w:h="15840"/>
          <w:pgMar w:top="1440" w:right="1872" w:bottom="1440" w:left="1440" w:header="0" w:footer="0" w:gutter="0"/>
          <w:cols w:space="720"/>
          <w:docGrid w:linePitch="272"/>
        </w:sectPr>
      </w:pPr>
    </w:p>
    <w:bookmarkStart w:id="153" w:name="_Toc439939401"/>
    <w:p w14:paraId="04EE6D5F" w14:textId="679095AE" w:rsidR="00436707" w:rsidRPr="00F6205B" w:rsidRDefault="00436707" w:rsidP="00436707">
      <w:pPr>
        <w:pStyle w:val="Heading1"/>
        <w:rPr>
          <w:szCs w:val="20"/>
        </w:rPr>
      </w:pPr>
      <w:r w:rsidRPr="00F6205B">
        <w:lastRenderedPageBreak/>
        <mc:AlternateContent>
          <mc:Choice Requires="wps">
            <w:drawing>
              <wp:anchor distT="0" distB="0" distL="114300" distR="114300" simplePos="0" relativeHeight="251655168" behindDoc="0" locked="0" layoutInCell="1" allowOverlap="1" wp14:anchorId="131609B2" wp14:editId="5B5E9FFA">
                <wp:simplePos x="0" y="0"/>
                <wp:positionH relativeFrom="column">
                  <wp:posOffset>12700</wp:posOffset>
                </wp:positionH>
                <wp:positionV relativeFrom="paragraph">
                  <wp:posOffset>53340</wp:posOffset>
                </wp:positionV>
                <wp:extent cx="1143000" cy="1143000"/>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F84AD22" w14:textId="73E245E3" w:rsidR="009027EC" w:rsidRPr="00691F20" w:rsidRDefault="009027EC" w:rsidP="00436707">
                            <w:pPr>
                              <w:spacing w:after="0"/>
                              <w:jc w:val="center"/>
                              <w:rPr>
                                <w:b/>
                                <w:color w:val="FFFFFF" w:themeColor="background1"/>
                                <w:sz w:val="134"/>
                                <w:szCs w:val="134"/>
                              </w:rPr>
                            </w:pPr>
                            <w:r>
                              <w:rPr>
                                <w:b/>
                                <w:color w:val="FFFFFF" w:themeColor="background1"/>
                                <w:sz w:val="134"/>
                                <w:szCs w:val="13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131609B2" id="Text Box 19" o:spid="_x0000_s1031" type="#_x0000_t202" style="position:absolute;margin-left:1pt;margin-top:4.2pt;width:90pt;height:9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X0yAIAAPEFAAAOAAAAZHJzL2Uyb0RvYy54bWysVFtP2zAUfp+0/2D5vSQpLdCKFIWiTpOq&#10;gQYTz65jtxGOj2e7bdi0/75jJymF7YVpL4nt853bdy6XV02tyE5YV4HOaXaSUiI0h7LS65x+e1gM&#10;LihxnumSKdAip8/C0avZxw+XezMVQ9iAKoUlaES76d7kdOO9mSaJ4xtRM3cCRmgUSrA183i166S0&#10;bI/Wa5UM0/Qs2YMtjQUunMPXm1ZIZ9G+lIL7Wymd8ETlFGPz8WvjdxW+yeySTdeWmU3FuzDYP0RR&#10;s0qj04OpG+YZ2drqD1N1xS04kP6EQ52AlBUXMQfMJkvfZHO/YUbEXJAcZw40uf9nln/Z3VlSlVi7&#10;CSWa1VijB9F4cg0NwSfkZ2/cFGH3BoG+wXfExlydWQJ/cghJjjCtgkN04KORtg5/zJSgIpbg+UB7&#10;cMODtWx0mqYo4ijrL8Hqi7qxzn8SUJNwyKnFusYQ2G7pfAvtIcGbA1WVi0qpeLHr1VxZsmOhBxZn&#10;56fXIS20/gqmdABrCGqtuH0RsYtaN2yKMeMxIEP0scI/5+PzYXE+ngzOinE2GGXpxaAo0uHgZlGk&#10;RTpazCej61+dy14/MtaSFLhz/lmJYFXpr0JiPSJXMfowCeIQP+NcaJ911iI6oCQG/R7FDh/ziPm9&#10;R7llBDWiZ9D+oFxXGmzbG6/DLp/6kGWL73qmyztQ4JtVExtx3DfdCspn7DkL7dQ6wxcVln/JnL9j&#10;FscUWwZXj7/Fj1Swzyl0J0o2YH/87T3gcXpQSskexz6n7vuWWUGJ+qxxribZaBT2RLyMsLB4sceS&#10;1bFEb+s5YFdluOQMj8eA96o/Sgv1I26oInhFEdMcfeeUe9tf5r5dR7jjuCiKCMPdYJhf6nvD+2EL&#10;7f3QPDJruhnw2EpfoF8RbPpmFFpsqJCGYutBVnFOAtMtr10FcK/EWeh2YFhcx/eIetnUs98AAAD/&#10;/wMAUEsDBBQABgAIAAAAIQB0CiRo2QAAAAcBAAAPAAAAZHJzL2Rvd25yZXYueG1sTI8xT8MwEIV3&#10;JP6DdUjdqNOqQlGIUyFaxMBEy8B4ia9JhH1ObbdJ/z3OBNu9e6d33yu3kzXiSj70jhWslhkI4sbp&#10;nlsFX8e3xxxEiMgajWNScKMA2+r+rsRCu5E/6XqIrUghHApU0MU4FFKGpiOLYekG4uSdnLcYk/St&#10;1B7HFG6NXGfZk7TYc/rQ4UCvHTU/h4tVgFm9C8x7/W5OH81uPH8f/Wqj1OJhenkGEWmKf8cw4yd0&#10;qBJT7S6sgzAK1qlJVJBvQMxuPut6HtJGVqX8z1/9AgAA//8DAFBLAQItABQABgAIAAAAIQC2gziS&#10;/gAAAOEBAAATAAAAAAAAAAAAAAAAAAAAAABbQ29udGVudF9UeXBlc10ueG1sUEsBAi0AFAAGAAgA&#10;AAAhADj9If/WAAAAlAEAAAsAAAAAAAAAAAAAAAAALwEAAF9yZWxzLy5yZWxzUEsBAi0AFAAGAAgA&#10;AAAhAHGJxfTIAgAA8QUAAA4AAAAAAAAAAAAAAAAALgIAAGRycy9lMm9Eb2MueG1sUEsBAi0AFAAG&#10;AAgAAAAhAHQKJGjZAAAABwEAAA8AAAAAAAAAAAAAAAAAIgUAAGRycy9kb3ducmV2LnhtbFBLBQYA&#10;AAAABAAEAPMAAAAoBgAAAAA=&#10;" fillcolor="#0f673b" stroked="f">
                <v:path arrowok="t"/>
                <v:textbox>
                  <w:txbxContent>
                    <w:p w14:paraId="4F84AD22" w14:textId="73E245E3" w:rsidR="009027EC" w:rsidRPr="00691F20" w:rsidRDefault="009027EC" w:rsidP="00436707">
                      <w:pPr>
                        <w:spacing w:after="0"/>
                        <w:jc w:val="center"/>
                        <w:rPr>
                          <w:b/>
                          <w:color w:val="FFFFFF" w:themeColor="background1"/>
                          <w:sz w:val="134"/>
                          <w:szCs w:val="134"/>
                        </w:rPr>
                      </w:pPr>
                      <w:r>
                        <w:rPr>
                          <w:b/>
                          <w:color w:val="FFFFFF" w:themeColor="background1"/>
                          <w:sz w:val="134"/>
                          <w:szCs w:val="134"/>
                        </w:rPr>
                        <w:t>4</w:t>
                      </w:r>
                    </w:p>
                  </w:txbxContent>
                </v:textbox>
                <w10:wrap type="square"/>
              </v:shape>
            </w:pict>
          </mc:Fallback>
        </mc:AlternateContent>
      </w:r>
      <w:r w:rsidRPr="00F6205B">
        <w:rPr>
          <w:szCs w:val="20"/>
        </w:rPr>
        <w:t>Technical Potential</w:t>
      </w:r>
      <w:bookmarkEnd w:id="153"/>
    </w:p>
    <w:p w14:paraId="27B5EDC3" w14:textId="77777777" w:rsidR="00436707" w:rsidRPr="00F6205B" w:rsidRDefault="00436707" w:rsidP="00436707">
      <w:r w:rsidRPr="00F6205B">
        <w:t>Technical potential, as defined by the United States Environmental Protection Agency,</w:t>
      </w:r>
      <w:r w:rsidRPr="00F6205B">
        <w:rPr>
          <w:rStyle w:val="FootnoteReference"/>
        </w:rPr>
        <w:footnoteReference w:id="57"/>
      </w:r>
      <w:r w:rsidRPr="00F6205B">
        <w:t xml:space="preserve"> is an estimate of what energy and capacity savings would be achieved if all technically feasible measures were implemented immediately for all customers. The term “all customers” is limited to single-family homes in Connecticut in this study.</w:t>
      </w:r>
    </w:p>
    <w:p w14:paraId="096F271D" w14:textId="77777777" w:rsidR="00436707" w:rsidRPr="00F6205B" w:rsidRDefault="00436707" w:rsidP="00436707">
      <w:r w:rsidRPr="00F6205B">
        <w:t>The upgrade measures included as part of the technical potential study component were reviewed by the EEB consultants prior to the analysis. These upgrades consist of the following measure categories:</w:t>
      </w:r>
    </w:p>
    <w:p w14:paraId="083C2BC6" w14:textId="77777777" w:rsidR="00436707" w:rsidRPr="00F6205B" w:rsidRDefault="00436707" w:rsidP="00F52E2F">
      <w:pPr>
        <w:pStyle w:val="ListParagraph"/>
        <w:numPr>
          <w:ilvl w:val="0"/>
          <w:numId w:val="21"/>
        </w:numPr>
        <w:jc w:val="both"/>
      </w:pPr>
      <w:r w:rsidRPr="00F6205B">
        <w:t>Building shell upgrades</w:t>
      </w:r>
    </w:p>
    <w:p w14:paraId="0768132A" w14:textId="77777777" w:rsidR="00436707" w:rsidRPr="00F6205B" w:rsidRDefault="00436707" w:rsidP="00F52E2F">
      <w:pPr>
        <w:pStyle w:val="ListParagraph"/>
        <w:numPr>
          <w:ilvl w:val="0"/>
          <w:numId w:val="21"/>
        </w:numPr>
        <w:jc w:val="both"/>
      </w:pPr>
      <w:r w:rsidRPr="00F6205B">
        <w:t>Heating, cooling, and water heating upgrades</w:t>
      </w:r>
    </w:p>
    <w:p w14:paraId="3EB3E9A1" w14:textId="77777777" w:rsidR="00436707" w:rsidRPr="00F6205B" w:rsidRDefault="00436707" w:rsidP="00F52E2F">
      <w:pPr>
        <w:pStyle w:val="ListParagraph"/>
        <w:numPr>
          <w:ilvl w:val="0"/>
          <w:numId w:val="21"/>
        </w:numPr>
        <w:jc w:val="both"/>
      </w:pPr>
      <w:r w:rsidRPr="00F6205B">
        <w:t>Solar technology upgrades</w:t>
      </w:r>
    </w:p>
    <w:p w14:paraId="1716A83F" w14:textId="77777777" w:rsidR="00436707" w:rsidRPr="00F6205B" w:rsidRDefault="00436707" w:rsidP="00F52E2F">
      <w:pPr>
        <w:pStyle w:val="ListParagraph"/>
        <w:numPr>
          <w:ilvl w:val="0"/>
          <w:numId w:val="21"/>
        </w:numPr>
        <w:jc w:val="both"/>
      </w:pPr>
      <w:r w:rsidRPr="00F6205B">
        <w:t>Heat pump upgrades</w:t>
      </w:r>
    </w:p>
    <w:p w14:paraId="5B413BCC" w14:textId="77777777" w:rsidR="00436707" w:rsidRPr="00F6205B" w:rsidRDefault="00436707" w:rsidP="00F52E2F">
      <w:pPr>
        <w:pStyle w:val="ListParagraph"/>
        <w:numPr>
          <w:ilvl w:val="0"/>
          <w:numId w:val="21"/>
        </w:numPr>
        <w:jc w:val="both"/>
      </w:pPr>
      <w:r w:rsidRPr="00F6205B">
        <w:t>Lighting upgrades</w:t>
      </w:r>
    </w:p>
    <w:p w14:paraId="709FE2D0" w14:textId="503ACB00" w:rsidR="00436707" w:rsidRPr="00F6205B" w:rsidRDefault="0071566D" w:rsidP="00F52E2F">
      <w:pPr>
        <w:pStyle w:val="ListParagraph"/>
        <w:numPr>
          <w:ilvl w:val="0"/>
          <w:numId w:val="21"/>
        </w:numPr>
        <w:jc w:val="both"/>
      </w:pPr>
      <w:r>
        <w:t>Appliance</w:t>
      </w:r>
      <w:r w:rsidR="00436707" w:rsidRPr="00F6205B">
        <w:t xml:space="preserve"> upgrades</w:t>
      </w:r>
    </w:p>
    <w:p w14:paraId="40CD405F" w14:textId="77777777" w:rsidR="00436707" w:rsidRPr="00F6205B" w:rsidRDefault="00436707" w:rsidP="00436707">
      <w:r w:rsidRPr="00F6205B">
        <w:t>This study excludes plug load measure upgrades.</w:t>
      </w:r>
    </w:p>
    <w:p w14:paraId="1D2B4B44" w14:textId="77777777" w:rsidR="00436707" w:rsidRPr="00F6205B" w:rsidRDefault="00436707" w:rsidP="007334C8">
      <w:pPr>
        <w:pStyle w:val="Heading2"/>
        <w:numPr>
          <w:ilvl w:val="0"/>
          <w:numId w:val="0"/>
        </w:numPr>
        <w:jc w:val="both"/>
      </w:pPr>
      <w:bookmarkStart w:id="154" w:name="_Toc373322739"/>
      <w:bookmarkStart w:id="155" w:name="_Toc391887314"/>
      <w:bookmarkStart w:id="156" w:name="_Toc439939402"/>
      <w:r w:rsidRPr="00F6205B">
        <w:t>Results</w:t>
      </w:r>
      <w:bookmarkEnd w:id="154"/>
      <w:bookmarkEnd w:id="155"/>
      <w:bookmarkEnd w:id="156"/>
    </w:p>
    <w:p w14:paraId="20F31F82" w14:textId="77777777" w:rsidR="00436707" w:rsidRPr="00F6205B" w:rsidRDefault="00436707" w:rsidP="00436707">
      <w:r w:rsidRPr="00F6205B">
        <w:t xml:space="preserve">This section first details the results derived from analyses of the comprehensive models that include all applicable upgrades, then provides context by examining potential savings from individual measure upgrades. Overall, the analyses reveal that there is substantial technical potential for energy savings among single-family homes in Connecticut. </w:t>
      </w:r>
    </w:p>
    <w:p w14:paraId="2A0C93B9" w14:textId="33EA7AD1" w:rsidR="00436707" w:rsidRPr="00F6205B" w:rsidRDefault="00436707" w:rsidP="00436707">
      <w:r w:rsidRPr="00F6205B">
        <w:t>To put the results of this section into perspective</w:t>
      </w:r>
      <w:r w:rsidR="007334C8" w:rsidRPr="00F6205B">
        <w:t>,</w:t>
      </w:r>
      <w:r w:rsidRPr="00F6205B">
        <w:t xml:space="preserve"> the </w:t>
      </w:r>
      <w:r w:rsidR="007334C8" w:rsidRPr="00F6205B">
        <w:t>analysis</w:t>
      </w:r>
      <w:r w:rsidRPr="00F6205B">
        <w:t xml:space="preserve"> assessed the share of overall energy consumption by fuel type</w:t>
      </w:r>
      <w:r w:rsidRPr="00F6205B">
        <w:rPr>
          <w:rStyle w:val="FootnoteReference"/>
        </w:rPr>
        <w:footnoteReference w:id="58"/>
      </w:r>
      <w:r w:rsidRPr="00F6205B">
        <w:t xml:space="preserve"> that is attributable to single-family homes in the Connecticut. According to the 2009 Residential Energy Consumption Survey</w:t>
      </w:r>
      <w:r w:rsidRPr="00F6205B">
        <w:rPr>
          <w:rStyle w:val="FootnoteReference"/>
        </w:rPr>
        <w:footnoteReference w:id="59"/>
      </w:r>
      <w:r w:rsidRPr="00F6205B">
        <w:t xml:space="preserve"> (RECS) data, single-family homes in the northeast represent the following shares of residential energy consumption: </w:t>
      </w:r>
    </w:p>
    <w:p w14:paraId="3F8BDD59" w14:textId="77777777" w:rsidR="00436707" w:rsidRPr="00F6205B" w:rsidRDefault="00436707" w:rsidP="00F52E2F">
      <w:pPr>
        <w:pStyle w:val="ListParagraph"/>
        <w:numPr>
          <w:ilvl w:val="0"/>
          <w:numId w:val="22"/>
        </w:numPr>
        <w:jc w:val="both"/>
      </w:pPr>
      <w:r w:rsidRPr="00F6205B">
        <w:t>75% of electric consumption</w:t>
      </w:r>
    </w:p>
    <w:p w14:paraId="73B7818F" w14:textId="77777777" w:rsidR="00436707" w:rsidRPr="00F6205B" w:rsidRDefault="00436707" w:rsidP="00F52E2F">
      <w:pPr>
        <w:pStyle w:val="ListParagraph"/>
        <w:numPr>
          <w:ilvl w:val="0"/>
          <w:numId w:val="22"/>
        </w:numPr>
        <w:jc w:val="both"/>
      </w:pPr>
      <w:r w:rsidRPr="00F6205B">
        <w:t>67% of natural gas consumption</w:t>
      </w:r>
    </w:p>
    <w:p w14:paraId="61F2502C" w14:textId="77777777" w:rsidR="00436707" w:rsidRPr="00F6205B" w:rsidRDefault="00436707" w:rsidP="00F52E2F">
      <w:pPr>
        <w:pStyle w:val="ListParagraph"/>
        <w:numPr>
          <w:ilvl w:val="0"/>
          <w:numId w:val="22"/>
        </w:numPr>
        <w:jc w:val="both"/>
      </w:pPr>
      <w:r w:rsidRPr="00F6205B">
        <w:t>79% of fuel oil consumption</w:t>
      </w:r>
    </w:p>
    <w:p w14:paraId="27FA8054" w14:textId="77777777" w:rsidR="00436707" w:rsidRPr="00F6205B" w:rsidRDefault="00436707" w:rsidP="00436707">
      <w:r w:rsidRPr="00F6205B">
        <w:t>Additionally, according to Energy Information Administration (EIA), in 2011 the residential sector was responsible for the following shares of energy consumption in Connecticut:</w:t>
      </w:r>
    </w:p>
    <w:p w14:paraId="5019CFE9" w14:textId="77777777" w:rsidR="00436707" w:rsidRPr="00F6205B" w:rsidRDefault="00436707" w:rsidP="00F52E2F">
      <w:pPr>
        <w:pStyle w:val="ListParagraph"/>
        <w:numPr>
          <w:ilvl w:val="0"/>
          <w:numId w:val="23"/>
        </w:numPr>
        <w:jc w:val="both"/>
      </w:pPr>
      <w:r w:rsidRPr="00F6205B">
        <w:t>43% of all electric consumption statewide</w:t>
      </w:r>
    </w:p>
    <w:p w14:paraId="0949FCBB" w14:textId="77777777" w:rsidR="00436707" w:rsidRPr="00F6205B" w:rsidRDefault="00436707" w:rsidP="00F52E2F">
      <w:pPr>
        <w:pStyle w:val="ListParagraph"/>
        <w:numPr>
          <w:ilvl w:val="0"/>
          <w:numId w:val="23"/>
        </w:numPr>
        <w:jc w:val="both"/>
      </w:pPr>
      <w:r w:rsidRPr="00F6205B">
        <w:t>20% of all natural gas consumption statewide</w:t>
      </w:r>
    </w:p>
    <w:p w14:paraId="767158AA" w14:textId="77777777" w:rsidR="00436707" w:rsidRPr="00F6205B" w:rsidRDefault="00436707" w:rsidP="00F52E2F">
      <w:pPr>
        <w:pStyle w:val="ListParagraph"/>
        <w:numPr>
          <w:ilvl w:val="0"/>
          <w:numId w:val="23"/>
        </w:numPr>
        <w:jc w:val="both"/>
      </w:pPr>
      <w:r w:rsidRPr="00F6205B">
        <w:lastRenderedPageBreak/>
        <w:t>51% of all distillate fuel oil consumption</w:t>
      </w:r>
    </w:p>
    <w:p w14:paraId="75635D94" w14:textId="3547381A" w:rsidR="00436707" w:rsidRPr="00F6205B" w:rsidRDefault="00436707" w:rsidP="00436707">
      <w:r w:rsidRPr="00F6205B">
        <w:t xml:space="preserve">Combining these two </w:t>
      </w:r>
      <w:r w:rsidR="007334C8" w:rsidRPr="00F6205B">
        <w:t xml:space="preserve">sets of data, </w:t>
      </w:r>
      <w:r w:rsidRPr="00F6205B">
        <w:t>the study captures the following p</w:t>
      </w:r>
      <w:r w:rsidR="003B615E" w:rsidRPr="00F6205B">
        <w:t>rop</w:t>
      </w:r>
      <w:r w:rsidRPr="00F6205B">
        <w:t>ortion of baseline energy consumption in Connecticut:</w:t>
      </w:r>
    </w:p>
    <w:p w14:paraId="0009DF4B" w14:textId="77777777" w:rsidR="00436707" w:rsidRPr="00F6205B" w:rsidRDefault="00436707" w:rsidP="00F52E2F">
      <w:pPr>
        <w:pStyle w:val="ListParagraph"/>
        <w:numPr>
          <w:ilvl w:val="0"/>
          <w:numId w:val="24"/>
        </w:numPr>
        <w:jc w:val="both"/>
      </w:pPr>
      <w:r w:rsidRPr="00F6205B">
        <w:t>32% of all electric consumption statewide</w:t>
      </w:r>
    </w:p>
    <w:p w14:paraId="15C802B6" w14:textId="77777777" w:rsidR="00436707" w:rsidRPr="00F6205B" w:rsidRDefault="00436707" w:rsidP="00F52E2F">
      <w:pPr>
        <w:pStyle w:val="ListParagraph"/>
        <w:numPr>
          <w:ilvl w:val="0"/>
          <w:numId w:val="24"/>
        </w:numPr>
        <w:jc w:val="both"/>
      </w:pPr>
      <w:r w:rsidRPr="00F6205B">
        <w:t>13% of natural gas consumption statewide</w:t>
      </w:r>
    </w:p>
    <w:p w14:paraId="351CB804" w14:textId="77777777" w:rsidR="00436707" w:rsidRPr="00F6205B" w:rsidRDefault="00436707" w:rsidP="00F52E2F">
      <w:pPr>
        <w:pStyle w:val="ListParagraph"/>
        <w:numPr>
          <w:ilvl w:val="0"/>
          <w:numId w:val="24"/>
        </w:numPr>
        <w:jc w:val="both"/>
      </w:pPr>
      <w:r w:rsidRPr="00F6205B">
        <w:t>43% of all distillate fuel oil consumption statewide</w:t>
      </w:r>
    </w:p>
    <w:p w14:paraId="29CC45EB" w14:textId="77777777" w:rsidR="00436707" w:rsidRPr="00F6205B" w:rsidRDefault="00436707" w:rsidP="00436707">
      <w:r w:rsidRPr="00F6205B">
        <w:t>Throughout this section some tables indicate negative savings. Some measures may offer savings opportunities for one fuel type, but actually increase consumption of another fuel. For example, a ductless heat pump that is used for heating may decrease fossil fuel consumption, but it will simultaneously increase electric consumption; however, it will result in a net decrease in energy consumption.</w:t>
      </w:r>
    </w:p>
    <w:p w14:paraId="1CA30F2E" w14:textId="77777777" w:rsidR="00436707" w:rsidRPr="00F6205B" w:rsidRDefault="00436707" w:rsidP="00436707">
      <w:r w:rsidRPr="00F6205B">
        <w:t xml:space="preserve">Unless a table indicates otherwise, all of the results in this section present first-year savings opportunities, not accounting for growth rates. </w:t>
      </w:r>
    </w:p>
    <w:p w14:paraId="368A2424" w14:textId="77777777" w:rsidR="00436707" w:rsidRPr="00F6205B" w:rsidRDefault="00436707" w:rsidP="007C4D27">
      <w:pPr>
        <w:pStyle w:val="Heading3"/>
        <w:keepNext w:val="0"/>
        <w:numPr>
          <w:ilvl w:val="0"/>
          <w:numId w:val="0"/>
        </w:numPr>
        <w:jc w:val="both"/>
      </w:pPr>
      <w:bookmarkStart w:id="157" w:name="_Toc373322740"/>
      <w:bookmarkStart w:id="158" w:name="_Toc391887315"/>
      <w:bookmarkStart w:id="159" w:name="_Toc439939403"/>
      <w:r w:rsidRPr="00F6205B">
        <w:t>Comprehensive Model Results (All Applicable Upgrades)</w:t>
      </w:r>
      <w:bookmarkEnd w:id="157"/>
      <w:bookmarkEnd w:id="158"/>
      <w:bookmarkEnd w:id="159"/>
    </w:p>
    <w:p w14:paraId="6C99370B" w14:textId="619D2867" w:rsidR="00436707" w:rsidRPr="00F6205B" w:rsidRDefault="00436707" w:rsidP="00436707">
      <w:r w:rsidRPr="00F6205B">
        <w:t>The consumption figures in this section were calculated by subtracting the consumption of the home when modeled with all applicable energy upgrades (the comprehensive model) from the consumption of the home as it was found on-site (the baseline model). These results provide an estimate of total technical potential savings in MMBtus,</w:t>
      </w:r>
      <w:r w:rsidRPr="00F6205B">
        <w:rPr>
          <w:rStyle w:val="FootnoteReference"/>
        </w:rPr>
        <w:footnoteReference w:id="60"/>
      </w:r>
      <w:r w:rsidRPr="00F6205B">
        <w:t xml:space="preserve"> as well as by fuel type. For reference, </w:t>
      </w:r>
      <w:r w:rsidR="00BD5430">
        <w:fldChar w:fldCharType="begin"/>
      </w:r>
      <w:r w:rsidR="00BD5430">
        <w:instrText xml:space="preserve"> REF _Ref439936627 \h </w:instrText>
      </w:r>
      <w:r w:rsidR="00BD5430">
        <w:fldChar w:fldCharType="separate"/>
      </w:r>
      <w:r w:rsidR="00BD5430" w:rsidRPr="00F6205B">
        <w:t xml:space="preserve">Figure </w:t>
      </w:r>
      <w:r w:rsidR="00BD5430">
        <w:rPr>
          <w:noProof/>
        </w:rPr>
        <w:t>10</w:t>
      </w:r>
      <w:r w:rsidR="00BD5430">
        <w:fldChar w:fldCharType="end"/>
      </w:r>
      <w:r w:rsidR="00BD5430">
        <w:t xml:space="preserve"> </w:t>
      </w:r>
      <w:r w:rsidRPr="00F6205B">
        <w:t xml:space="preserve">shows overall baseline consumption, in MMBtus, by fuel type and end use. </w:t>
      </w:r>
    </w:p>
    <w:p w14:paraId="5DAAFFE2" w14:textId="16364CC4" w:rsidR="00346A82" w:rsidRPr="00F6205B" w:rsidRDefault="00436707" w:rsidP="00B06A9C">
      <w:pPr>
        <w:pStyle w:val="Caption"/>
        <w:spacing w:before="0" w:after="120"/>
        <w:rPr>
          <w:b w:val="0"/>
          <w:bCs w:val="0"/>
          <w:sz w:val="18"/>
        </w:rPr>
      </w:pPr>
      <w:bookmarkStart w:id="160" w:name="_Ref362865524"/>
      <w:bookmarkStart w:id="161" w:name="_Ref439936627"/>
      <w:bookmarkStart w:id="162" w:name="_Toc373318446"/>
      <w:bookmarkStart w:id="163" w:name="_Toc391887396"/>
      <w:bookmarkStart w:id="164" w:name="_Toc439931803"/>
      <w:r w:rsidRPr="00F6205B">
        <w:lastRenderedPageBreak/>
        <w:t>Figure</w:t>
      </w:r>
      <w:bookmarkEnd w:id="160"/>
      <w:r w:rsidR="004F23CF" w:rsidRPr="00F6205B">
        <w:t xml:space="preserve"> </w:t>
      </w:r>
      <w:fldSimple w:instr=" SEQ Figure \* ARABIC ">
        <w:r w:rsidR="00FA26A9">
          <w:rPr>
            <w:noProof/>
          </w:rPr>
          <w:t>10</w:t>
        </w:r>
      </w:fldSimple>
      <w:bookmarkEnd w:id="161"/>
      <w:r w:rsidRPr="00F6205B">
        <w:t xml:space="preserve">: </w:t>
      </w:r>
      <w:r w:rsidR="001F7334" w:rsidRPr="00F6205B">
        <w:t xml:space="preserve">Baseline Consumption </w:t>
      </w:r>
      <w:r w:rsidRPr="00F6205B">
        <w:t>by Fuel Type and End Use</w:t>
      </w:r>
      <w:r w:rsidR="001F7334" w:rsidRPr="00F6205B">
        <w:t>*</w:t>
      </w:r>
      <w:r w:rsidRPr="00F6205B">
        <w:br/>
      </w:r>
      <w:bookmarkEnd w:id="162"/>
      <w:bookmarkEnd w:id="163"/>
      <w:r w:rsidR="00346A82" w:rsidRPr="00F6205B">
        <w:rPr>
          <w:b w:val="0"/>
          <w:bCs w:val="0"/>
          <w:sz w:val="18"/>
        </w:rPr>
        <w:t>Base: all single-family homes (population-weighted)</w:t>
      </w:r>
      <w:bookmarkEnd w:id="164"/>
    </w:p>
    <w:p w14:paraId="16A091BA" w14:textId="7623B718" w:rsidR="00B06A9C" w:rsidRPr="00F6205B" w:rsidRDefault="00B06A9C" w:rsidP="00CA7F5E">
      <w:pPr>
        <w:keepNext/>
        <w:spacing w:after="0"/>
        <w:jc w:val="center"/>
      </w:pPr>
      <w:r w:rsidRPr="00F6205B">
        <w:rPr>
          <w:noProof/>
          <w:lang w:bidi="ar-SA"/>
        </w:rPr>
        <w:drawing>
          <wp:inline distT="0" distB="0" distL="0" distR="0" wp14:anchorId="0E9A9CBA" wp14:editId="582C24BE">
            <wp:extent cx="3054350" cy="2755900"/>
            <wp:effectExtent l="0" t="0" r="0"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54350" cy="2755900"/>
                    </a:xfrm>
                    <a:prstGeom prst="rect">
                      <a:avLst/>
                    </a:prstGeom>
                    <a:noFill/>
                  </pic:spPr>
                </pic:pic>
              </a:graphicData>
            </a:graphic>
          </wp:inline>
        </w:drawing>
      </w:r>
      <w:r w:rsidR="0085551B" w:rsidRPr="00F6205B">
        <w:rPr>
          <w:noProof/>
          <w:lang w:bidi="ar-SA"/>
        </w:rPr>
        <w:drawing>
          <wp:inline distT="0" distB="0" distL="0" distR="0" wp14:anchorId="1B72CF98" wp14:editId="308A6E95">
            <wp:extent cx="3060700" cy="2755900"/>
            <wp:effectExtent l="0" t="0" r="6350" b="63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60700" cy="2755900"/>
                    </a:xfrm>
                    <a:prstGeom prst="rect">
                      <a:avLst/>
                    </a:prstGeom>
                    <a:noFill/>
                  </pic:spPr>
                </pic:pic>
              </a:graphicData>
            </a:graphic>
          </wp:inline>
        </w:drawing>
      </w:r>
    </w:p>
    <w:p w14:paraId="4EC5A680" w14:textId="7DBA469A" w:rsidR="00436707" w:rsidRPr="00F6205B" w:rsidRDefault="001F7334" w:rsidP="001F7334">
      <w:pPr>
        <w:ind w:left="2070"/>
        <w:rPr>
          <w:sz w:val="18"/>
        </w:rPr>
      </w:pPr>
      <w:r w:rsidRPr="00F6205B">
        <w:rPr>
          <w:sz w:val="18"/>
        </w:rPr>
        <w:t>* Rendered in MMBtu to facilitate direct comparison.</w:t>
      </w:r>
    </w:p>
    <w:p w14:paraId="0F916C13" w14:textId="62A4E4C3" w:rsidR="00436707" w:rsidRPr="00F6205B" w:rsidRDefault="00436707" w:rsidP="00436707">
      <w:pPr>
        <w:keepNext/>
        <w:keepLines/>
      </w:pPr>
      <w:r w:rsidRPr="00F6205B">
        <w:lastRenderedPageBreak/>
        <w:t>A substantial portion of the overall technical potential savings can be attributed to photovoltaics and solar hot water, which were each modeled at 60%</w:t>
      </w:r>
      <w:r w:rsidRPr="00F6205B">
        <w:rPr>
          <w:rStyle w:val="FootnoteReference"/>
        </w:rPr>
        <w:footnoteReference w:id="61"/>
      </w:r>
      <w:r w:rsidRPr="00F6205B">
        <w:t xml:space="preserve"> of the sites in the sample. Specifically, these technologies account for 13% of overall savings in MMBtus and 42% of the overall savin</w:t>
      </w:r>
      <w:r w:rsidR="0065478D" w:rsidRPr="00F6205B">
        <w:t>gs for electricity over the ten-</w:t>
      </w:r>
      <w:r w:rsidR="00C44244">
        <w:t>year period (2016</w:t>
      </w:r>
      <w:r w:rsidR="0071566D">
        <w:t xml:space="preserve"> to </w:t>
      </w:r>
      <w:r w:rsidR="00C44244">
        <w:t>2025</w:t>
      </w:r>
      <w:r w:rsidRPr="00F6205B">
        <w:t xml:space="preserve">) assessed in this report. </w:t>
      </w:r>
      <w:r w:rsidR="0071566D">
        <w:fldChar w:fldCharType="begin"/>
      </w:r>
      <w:r w:rsidR="0071566D">
        <w:instrText xml:space="preserve"> REF _Ref439697196 \h </w:instrText>
      </w:r>
      <w:r w:rsidR="0071566D">
        <w:fldChar w:fldCharType="separate"/>
      </w:r>
      <w:r w:rsidR="00FA26A9" w:rsidRPr="00F6205B">
        <w:t xml:space="preserve">Table </w:t>
      </w:r>
      <w:r w:rsidR="00FA26A9">
        <w:rPr>
          <w:noProof/>
        </w:rPr>
        <w:t>12</w:t>
      </w:r>
      <w:r w:rsidR="0071566D">
        <w:fldChar w:fldCharType="end"/>
      </w:r>
      <w:r w:rsidR="0071566D">
        <w:t xml:space="preserve"> </w:t>
      </w:r>
      <w:r w:rsidRPr="00F6205B">
        <w:t>provides aggregate techni</w:t>
      </w:r>
      <w:r w:rsidR="00C44244">
        <w:t>cal potential savings, from 2016 to 2025</w:t>
      </w:r>
      <w:r w:rsidRPr="00F6205B">
        <w:t xml:space="preserve">, both with and without the inclusion of solar technologies (photovoltaics and solar hot water) in the models. As shown: </w:t>
      </w:r>
    </w:p>
    <w:p w14:paraId="58EBCAC6" w14:textId="77777777" w:rsidR="00436707" w:rsidRPr="00F6205B" w:rsidRDefault="00436707" w:rsidP="00F52E2F">
      <w:pPr>
        <w:pStyle w:val="ListParagraph"/>
        <w:keepNext/>
        <w:keepLines/>
        <w:numPr>
          <w:ilvl w:val="0"/>
          <w:numId w:val="26"/>
        </w:numPr>
        <w:jc w:val="both"/>
      </w:pPr>
      <w:r w:rsidRPr="00F6205B">
        <w:t>Technical potential savings in fuel oil exceed 4 billion gallons of fuel oil when including solar technologies.</w:t>
      </w:r>
    </w:p>
    <w:p w14:paraId="68CEFEC5" w14:textId="77777777" w:rsidR="00436707" w:rsidRPr="00F6205B" w:rsidRDefault="00436707" w:rsidP="00F52E2F">
      <w:pPr>
        <w:pStyle w:val="ListParagraph"/>
        <w:keepNext/>
        <w:keepLines/>
        <w:numPr>
          <w:ilvl w:val="0"/>
          <w:numId w:val="26"/>
        </w:numPr>
        <w:jc w:val="both"/>
      </w:pPr>
      <w:r w:rsidRPr="00F6205B">
        <w:t>Savings in natural gas exceed 2.7 billion ccf of natural gas when including solar technologies.</w:t>
      </w:r>
    </w:p>
    <w:p w14:paraId="6810BA88" w14:textId="31E00AF8" w:rsidR="00436707" w:rsidRPr="00F6205B" w:rsidRDefault="00436707" w:rsidP="00F52E2F">
      <w:pPr>
        <w:pStyle w:val="ListParagraph"/>
        <w:keepNext/>
        <w:keepLines/>
        <w:numPr>
          <w:ilvl w:val="0"/>
          <w:numId w:val="26"/>
        </w:numPr>
        <w:jc w:val="both"/>
      </w:pPr>
      <w:r w:rsidRPr="00F6205B">
        <w:t>Removing the photovoltaics upgrade decreases the technical potential fo</w:t>
      </w:r>
      <w:r w:rsidR="0071566D">
        <w:t>r electric savings considerably, from 59% of baseline consumption to 17%.</w:t>
      </w:r>
    </w:p>
    <w:p w14:paraId="64D0F3FB" w14:textId="748DDD15" w:rsidR="00436707" w:rsidRPr="00F6205B" w:rsidRDefault="00436707" w:rsidP="004F23CF">
      <w:pPr>
        <w:pStyle w:val="Caption"/>
      </w:pPr>
      <w:bookmarkStart w:id="165" w:name="_Ref361999027"/>
      <w:bookmarkStart w:id="166" w:name="_Ref439697196"/>
      <w:bookmarkStart w:id="167" w:name="_Ref362612878"/>
      <w:bookmarkStart w:id="168" w:name="_Toc373324120"/>
      <w:bookmarkStart w:id="169" w:name="_Toc391887348"/>
      <w:bookmarkStart w:id="170" w:name="_Toc439931843"/>
      <w:r w:rsidRPr="00F6205B">
        <w:t>Table</w:t>
      </w:r>
      <w:bookmarkEnd w:id="165"/>
      <w:r w:rsidR="004F23CF" w:rsidRPr="00F6205B">
        <w:t xml:space="preserve"> </w:t>
      </w:r>
      <w:fldSimple w:instr=" SEQ Table \* ARABIC ">
        <w:r w:rsidR="00FA26A9">
          <w:rPr>
            <w:noProof/>
          </w:rPr>
          <w:t>12</w:t>
        </w:r>
      </w:fldSimple>
      <w:bookmarkEnd w:id="166"/>
      <w:r w:rsidRPr="00F6205B">
        <w:t xml:space="preserve">: </w:t>
      </w:r>
      <w:bookmarkStart w:id="171" w:name="_Ref362612892"/>
      <w:r w:rsidRPr="00F6205B">
        <w:t>Savings from All Applicable Measures—</w:t>
      </w:r>
      <w:bookmarkEnd w:id="167"/>
      <w:bookmarkEnd w:id="168"/>
      <w:bookmarkEnd w:id="171"/>
      <w:r w:rsidR="00AB63A7" w:rsidRPr="00F6205B">
        <w:t>Ten-Year Aggregate</w:t>
      </w:r>
      <w:r w:rsidRPr="00F6205B">
        <w:br/>
      </w:r>
      <w:r w:rsidR="00AB63A7" w:rsidRPr="00F6205B">
        <w:t>(2016 to 2025</w:t>
      </w:r>
      <w:r w:rsidRPr="00F6205B">
        <w:t>)*</w:t>
      </w:r>
      <w:bookmarkEnd w:id="169"/>
      <w:bookmarkEnd w:id="170"/>
    </w:p>
    <w:p w14:paraId="61728045" w14:textId="77777777" w:rsidR="00346A82" w:rsidRPr="00F6205B" w:rsidRDefault="00346A82" w:rsidP="00346A82">
      <w:pPr>
        <w:pStyle w:val="Caption"/>
        <w:spacing w:before="0" w:after="120"/>
        <w:rPr>
          <w:b w:val="0"/>
          <w:bCs w:val="0"/>
          <w:sz w:val="18"/>
        </w:rPr>
      </w:pPr>
      <w:r w:rsidRPr="00F6205B">
        <w:rPr>
          <w:b w:val="0"/>
          <w:bCs w:val="0"/>
          <w:sz w:val="18"/>
        </w:rPr>
        <w:t>Base: all single-family homes (population-weighted)</w:t>
      </w:r>
    </w:p>
    <w:tbl>
      <w:tblPr>
        <w:tblStyle w:val="TableGrid"/>
        <w:tblW w:w="9524"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2795"/>
        <w:gridCol w:w="1099"/>
        <w:gridCol w:w="1099"/>
        <w:gridCol w:w="1099"/>
        <w:gridCol w:w="1144"/>
        <w:gridCol w:w="1144"/>
        <w:gridCol w:w="1144"/>
      </w:tblGrid>
      <w:tr w:rsidR="0071566D" w:rsidRPr="00F6205B" w14:paraId="320C1686" w14:textId="77777777" w:rsidTr="0071566D">
        <w:trPr>
          <w:trHeight w:val="288"/>
          <w:jc w:val="center"/>
        </w:trPr>
        <w:tc>
          <w:tcPr>
            <w:tcW w:w="2795" w:type="dxa"/>
            <w:tcBorders>
              <w:top w:val="single" w:sz="4" w:space="0" w:color="auto"/>
              <w:left w:val="single" w:sz="4" w:space="0" w:color="auto"/>
              <w:bottom w:val="single" w:sz="4" w:space="0" w:color="auto"/>
              <w:right w:val="single" w:sz="4" w:space="0" w:color="000000" w:themeColor="text1"/>
            </w:tcBorders>
            <w:shd w:val="clear" w:color="auto" w:fill="0B4D2C" w:themeFill="background2" w:themeFillShade="BF"/>
            <w:vAlign w:val="center"/>
          </w:tcPr>
          <w:p w14:paraId="36820FD0" w14:textId="77777777" w:rsidR="0071566D" w:rsidRPr="00F6205B" w:rsidRDefault="0071566D" w:rsidP="0044249F">
            <w:pPr>
              <w:keepNext/>
              <w:keepLines/>
              <w:spacing w:after="0"/>
              <w:contextualSpacing/>
              <w:rPr>
                <w:b/>
                <w:color w:val="FFFFFF" w:themeColor="background1"/>
                <w:sz w:val="20"/>
                <w:szCs w:val="20"/>
              </w:rPr>
            </w:pPr>
          </w:p>
        </w:tc>
        <w:tc>
          <w:tcPr>
            <w:tcW w:w="1099" w:type="dxa"/>
            <w:tcBorders>
              <w:top w:val="single" w:sz="4" w:space="0" w:color="auto"/>
              <w:bottom w:val="single" w:sz="4" w:space="0" w:color="auto"/>
              <w:right w:val="single" w:sz="4" w:space="0" w:color="000000" w:themeColor="text1"/>
            </w:tcBorders>
            <w:shd w:val="clear" w:color="auto" w:fill="0B4D2C" w:themeFill="background2" w:themeFillShade="BF"/>
            <w:vAlign w:val="center"/>
          </w:tcPr>
          <w:p w14:paraId="36A56EA9" w14:textId="106E4B78" w:rsidR="0071566D" w:rsidRPr="00F6205B" w:rsidRDefault="0071566D" w:rsidP="0044249F">
            <w:pPr>
              <w:keepNext/>
              <w:keepLines/>
              <w:spacing w:after="0"/>
              <w:contextualSpacing/>
              <w:jc w:val="center"/>
              <w:rPr>
                <w:b/>
                <w:color w:val="FFFFFF" w:themeColor="background1"/>
                <w:sz w:val="20"/>
                <w:szCs w:val="20"/>
              </w:rPr>
            </w:pPr>
            <w:r w:rsidRPr="00F6205B">
              <w:rPr>
                <w:b/>
                <w:color w:val="FFFFFF" w:themeColor="background1"/>
                <w:sz w:val="20"/>
                <w:szCs w:val="20"/>
              </w:rPr>
              <w:t>Fuel Oil (gal)</w:t>
            </w:r>
          </w:p>
        </w:tc>
        <w:tc>
          <w:tcPr>
            <w:tcW w:w="1099" w:type="dxa"/>
            <w:tcBorders>
              <w:top w:val="single" w:sz="4" w:space="0" w:color="auto"/>
              <w:bottom w:val="single" w:sz="4" w:space="0" w:color="auto"/>
              <w:right w:val="single" w:sz="4" w:space="0" w:color="000000" w:themeColor="text1"/>
            </w:tcBorders>
            <w:shd w:val="clear" w:color="auto" w:fill="0B4D2C" w:themeFill="background2" w:themeFillShade="BF"/>
            <w:vAlign w:val="center"/>
          </w:tcPr>
          <w:p w14:paraId="039329E8" w14:textId="260CAD34" w:rsidR="0071566D" w:rsidRPr="00F6205B" w:rsidRDefault="0071566D" w:rsidP="0044249F">
            <w:pPr>
              <w:keepNext/>
              <w:keepLines/>
              <w:spacing w:after="0"/>
              <w:contextualSpacing/>
              <w:jc w:val="center"/>
              <w:rPr>
                <w:b/>
                <w:color w:val="FFFFFF" w:themeColor="background1"/>
                <w:sz w:val="20"/>
                <w:szCs w:val="20"/>
              </w:rPr>
            </w:pPr>
            <w:r w:rsidRPr="00F6205B">
              <w:rPr>
                <w:b/>
                <w:color w:val="FFFFFF" w:themeColor="background1"/>
                <w:sz w:val="20"/>
                <w:szCs w:val="20"/>
              </w:rPr>
              <w:t>Nat. Gas (ccf)</w:t>
            </w:r>
          </w:p>
        </w:tc>
        <w:tc>
          <w:tcPr>
            <w:tcW w:w="1099" w:type="dxa"/>
            <w:tcBorders>
              <w:top w:val="single" w:sz="4" w:space="0" w:color="auto"/>
              <w:bottom w:val="single" w:sz="4" w:space="0" w:color="auto"/>
              <w:right w:val="single" w:sz="4" w:space="0" w:color="000000" w:themeColor="text1"/>
            </w:tcBorders>
            <w:shd w:val="clear" w:color="auto" w:fill="0B4D2C" w:themeFill="background2" w:themeFillShade="BF"/>
            <w:vAlign w:val="center"/>
          </w:tcPr>
          <w:p w14:paraId="3FBB5AF6" w14:textId="054C80B3" w:rsidR="0071566D" w:rsidRPr="00F6205B" w:rsidRDefault="0071566D" w:rsidP="0044249F">
            <w:pPr>
              <w:keepNext/>
              <w:keepLines/>
              <w:spacing w:after="0"/>
              <w:contextualSpacing/>
              <w:jc w:val="center"/>
              <w:rPr>
                <w:b/>
                <w:color w:val="FFFFFF" w:themeColor="background1"/>
                <w:sz w:val="20"/>
                <w:szCs w:val="20"/>
              </w:rPr>
            </w:pPr>
            <w:r w:rsidRPr="00F6205B">
              <w:rPr>
                <w:b/>
                <w:color w:val="FFFFFF" w:themeColor="background1"/>
                <w:sz w:val="20"/>
                <w:szCs w:val="20"/>
              </w:rPr>
              <w:t>Propane (gal)</w:t>
            </w:r>
          </w:p>
        </w:tc>
        <w:tc>
          <w:tcPr>
            <w:tcW w:w="1144" w:type="dxa"/>
            <w:tcBorders>
              <w:top w:val="single" w:sz="4" w:space="0" w:color="auto"/>
              <w:bottom w:val="single" w:sz="4" w:space="0" w:color="auto"/>
              <w:right w:val="single" w:sz="4" w:space="0" w:color="000000" w:themeColor="text1"/>
            </w:tcBorders>
            <w:shd w:val="clear" w:color="auto" w:fill="0B4D2C" w:themeFill="background2" w:themeFillShade="BF"/>
            <w:vAlign w:val="center"/>
          </w:tcPr>
          <w:p w14:paraId="119D5341" w14:textId="2F1D4379" w:rsidR="0071566D" w:rsidRPr="00F6205B" w:rsidRDefault="0071566D" w:rsidP="0075085F">
            <w:pPr>
              <w:keepNext/>
              <w:keepLines/>
              <w:spacing w:after="0"/>
              <w:contextualSpacing/>
              <w:jc w:val="center"/>
              <w:rPr>
                <w:b/>
                <w:color w:val="FFFFFF" w:themeColor="background1"/>
                <w:sz w:val="20"/>
                <w:szCs w:val="20"/>
              </w:rPr>
            </w:pPr>
            <w:r w:rsidRPr="00F6205B">
              <w:rPr>
                <w:b/>
                <w:color w:val="FFFFFF" w:themeColor="background1"/>
                <w:sz w:val="20"/>
                <w:szCs w:val="20"/>
              </w:rPr>
              <w:t>Electric (kWh)</w:t>
            </w:r>
          </w:p>
        </w:tc>
        <w:tc>
          <w:tcPr>
            <w:tcW w:w="1144" w:type="dxa"/>
            <w:tcBorders>
              <w:top w:val="single" w:sz="4" w:space="0" w:color="auto"/>
              <w:bottom w:val="single" w:sz="4" w:space="0" w:color="auto"/>
              <w:right w:val="single" w:sz="4" w:space="0" w:color="000000" w:themeColor="text1"/>
            </w:tcBorders>
            <w:shd w:val="clear" w:color="auto" w:fill="0B4D2C" w:themeFill="background2" w:themeFillShade="BF"/>
            <w:vAlign w:val="center"/>
          </w:tcPr>
          <w:p w14:paraId="344A3573" w14:textId="2E0A2ABB" w:rsidR="0071566D" w:rsidRPr="00F6205B" w:rsidRDefault="0071566D" w:rsidP="0044249F">
            <w:pPr>
              <w:keepNext/>
              <w:keepLines/>
              <w:spacing w:after="0"/>
              <w:contextualSpacing/>
              <w:jc w:val="center"/>
              <w:rPr>
                <w:b/>
                <w:color w:val="FFFFFF" w:themeColor="background1"/>
                <w:sz w:val="20"/>
                <w:szCs w:val="20"/>
              </w:rPr>
            </w:pPr>
            <w:r>
              <w:rPr>
                <w:b/>
                <w:color w:val="FFFFFF" w:themeColor="background1"/>
                <w:sz w:val="20"/>
                <w:szCs w:val="20"/>
              </w:rPr>
              <w:t>Fossil Fuels (MMBtu)</w:t>
            </w:r>
          </w:p>
        </w:tc>
        <w:tc>
          <w:tcPr>
            <w:tcW w:w="1144" w:type="dxa"/>
            <w:tcBorders>
              <w:top w:val="single" w:sz="4" w:space="0" w:color="auto"/>
              <w:left w:val="single" w:sz="4" w:space="0" w:color="000000" w:themeColor="text1"/>
              <w:bottom w:val="single" w:sz="4" w:space="0" w:color="auto"/>
              <w:right w:val="single" w:sz="4" w:space="0" w:color="auto"/>
            </w:tcBorders>
            <w:shd w:val="clear" w:color="auto" w:fill="0B4D2C" w:themeFill="background2" w:themeFillShade="BF"/>
            <w:vAlign w:val="center"/>
          </w:tcPr>
          <w:p w14:paraId="5B8FADD1" w14:textId="6E7DDD3A" w:rsidR="0071566D" w:rsidRPr="00F6205B" w:rsidRDefault="0071566D" w:rsidP="0044249F">
            <w:pPr>
              <w:keepNext/>
              <w:keepLines/>
              <w:spacing w:after="0"/>
              <w:contextualSpacing/>
              <w:jc w:val="center"/>
              <w:rPr>
                <w:b/>
                <w:color w:val="FFFFFF" w:themeColor="background1"/>
                <w:sz w:val="20"/>
                <w:szCs w:val="20"/>
              </w:rPr>
            </w:pPr>
            <w:r>
              <w:rPr>
                <w:b/>
                <w:color w:val="FFFFFF" w:themeColor="background1"/>
                <w:sz w:val="20"/>
                <w:szCs w:val="20"/>
              </w:rPr>
              <w:t>All Fuels (MMBtu)</w:t>
            </w:r>
          </w:p>
        </w:tc>
      </w:tr>
      <w:tr w:rsidR="0071566D" w:rsidRPr="00F6205B" w14:paraId="7A3506D9" w14:textId="77777777" w:rsidTr="0071566D">
        <w:trPr>
          <w:trHeight w:val="288"/>
          <w:jc w:val="center"/>
        </w:trPr>
        <w:tc>
          <w:tcPr>
            <w:tcW w:w="9524" w:type="dxa"/>
            <w:gridSpan w:val="7"/>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14C8E63A" w14:textId="1DF149BB" w:rsidR="0071566D" w:rsidRPr="00F6205B" w:rsidRDefault="0071566D" w:rsidP="0044249F">
            <w:pPr>
              <w:keepNext/>
              <w:keepLines/>
              <w:tabs>
                <w:tab w:val="decimal" w:pos="488"/>
              </w:tabs>
              <w:spacing w:after="0"/>
              <w:contextualSpacing/>
              <w:jc w:val="center"/>
              <w:rPr>
                <w:color w:val="FFFFFF" w:themeColor="background1"/>
                <w:sz w:val="20"/>
                <w:szCs w:val="20"/>
              </w:rPr>
            </w:pPr>
            <w:r w:rsidRPr="00F6205B">
              <w:rPr>
                <w:b/>
                <w:color w:val="FFFFFF" w:themeColor="background1"/>
                <w:sz w:val="20"/>
                <w:szCs w:val="20"/>
              </w:rPr>
              <w:t>Technical Potential Including Solar Technologies</w:t>
            </w:r>
          </w:p>
        </w:tc>
      </w:tr>
      <w:tr w:rsidR="0071566D" w:rsidRPr="00F6205B" w14:paraId="271F9809" w14:textId="77777777" w:rsidTr="0071566D">
        <w:trPr>
          <w:trHeight w:val="288"/>
          <w:jc w:val="center"/>
        </w:trPr>
        <w:tc>
          <w:tcPr>
            <w:tcW w:w="2795" w:type="dxa"/>
            <w:tcBorders>
              <w:top w:val="single" w:sz="4" w:space="0" w:color="auto"/>
              <w:left w:val="single" w:sz="4" w:space="0" w:color="auto"/>
              <w:right w:val="single" w:sz="4" w:space="0" w:color="000000" w:themeColor="text1"/>
            </w:tcBorders>
            <w:vAlign w:val="center"/>
          </w:tcPr>
          <w:p w14:paraId="5F54B37B" w14:textId="037438DB" w:rsidR="0071566D" w:rsidRPr="00F6205B" w:rsidRDefault="0071566D" w:rsidP="0044249F">
            <w:pPr>
              <w:keepNext/>
              <w:keepLines/>
              <w:spacing w:after="0"/>
              <w:contextualSpacing/>
              <w:rPr>
                <w:sz w:val="20"/>
                <w:szCs w:val="20"/>
              </w:rPr>
            </w:pPr>
            <w:r w:rsidRPr="00F6205B">
              <w:rPr>
                <w:sz w:val="20"/>
                <w:szCs w:val="20"/>
              </w:rPr>
              <w:t>Baseline aggregate consumption (2016-2025)</w:t>
            </w:r>
          </w:p>
        </w:tc>
        <w:tc>
          <w:tcPr>
            <w:tcW w:w="1099" w:type="dxa"/>
            <w:tcBorders>
              <w:top w:val="single" w:sz="4" w:space="0" w:color="auto"/>
              <w:right w:val="single" w:sz="4" w:space="0" w:color="000000" w:themeColor="text1"/>
            </w:tcBorders>
            <w:vAlign w:val="center"/>
          </w:tcPr>
          <w:p w14:paraId="4F76713D" w14:textId="6B1CA3FE" w:rsidR="0071566D" w:rsidRPr="00F6205B" w:rsidRDefault="0071566D" w:rsidP="0071566D">
            <w:pPr>
              <w:keepNext/>
              <w:keepLines/>
              <w:tabs>
                <w:tab w:val="decimal" w:pos="579"/>
              </w:tabs>
              <w:spacing w:after="0"/>
              <w:contextualSpacing/>
              <w:rPr>
                <w:sz w:val="20"/>
                <w:szCs w:val="20"/>
              </w:rPr>
            </w:pPr>
            <w:r w:rsidRPr="00F6205B">
              <w:rPr>
                <w:sz w:val="20"/>
                <w:szCs w:val="20"/>
              </w:rPr>
              <w:t>4,</w:t>
            </w:r>
            <w:r>
              <w:rPr>
                <w:sz w:val="20"/>
                <w:szCs w:val="20"/>
              </w:rPr>
              <w:t>795.2</w:t>
            </w:r>
          </w:p>
        </w:tc>
        <w:tc>
          <w:tcPr>
            <w:tcW w:w="1099" w:type="dxa"/>
            <w:tcBorders>
              <w:top w:val="single" w:sz="4" w:space="0" w:color="auto"/>
              <w:right w:val="single" w:sz="4" w:space="0" w:color="000000" w:themeColor="text1"/>
            </w:tcBorders>
            <w:vAlign w:val="center"/>
          </w:tcPr>
          <w:p w14:paraId="0DE31F29" w14:textId="6A459A1B" w:rsidR="0071566D" w:rsidRPr="00F6205B" w:rsidRDefault="0071566D" w:rsidP="0071566D">
            <w:pPr>
              <w:keepNext/>
              <w:keepLines/>
              <w:tabs>
                <w:tab w:val="decimal" w:pos="575"/>
              </w:tabs>
              <w:spacing w:after="0"/>
              <w:contextualSpacing/>
              <w:rPr>
                <w:sz w:val="20"/>
                <w:szCs w:val="20"/>
              </w:rPr>
            </w:pPr>
            <w:r w:rsidRPr="00F6205B">
              <w:rPr>
                <w:sz w:val="20"/>
                <w:szCs w:val="20"/>
              </w:rPr>
              <w:t>3</w:t>
            </w:r>
            <w:r>
              <w:rPr>
                <w:sz w:val="20"/>
                <w:szCs w:val="20"/>
              </w:rPr>
              <w:t>,372</w:t>
            </w:r>
            <w:r w:rsidRPr="00F6205B">
              <w:rPr>
                <w:sz w:val="20"/>
                <w:szCs w:val="20"/>
              </w:rPr>
              <w:t>.</w:t>
            </w:r>
            <w:r>
              <w:rPr>
                <w:sz w:val="20"/>
                <w:szCs w:val="20"/>
              </w:rPr>
              <w:t>9</w:t>
            </w:r>
          </w:p>
        </w:tc>
        <w:tc>
          <w:tcPr>
            <w:tcW w:w="1099" w:type="dxa"/>
            <w:tcBorders>
              <w:top w:val="single" w:sz="4" w:space="0" w:color="auto"/>
              <w:right w:val="single" w:sz="4" w:space="0" w:color="000000" w:themeColor="text1"/>
            </w:tcBorders>
            <w:vAlign w:val="center"/>
          </w:tcPr>
          <w:p w14:paraId="5D2F0DE2" w14:textId="6D6D8D38" w:rsidR="0071566D" w:rsidRPr="00F6205B" w:rsidRDefault="0071566D" w:rsidP="0071566D">
            <w:pPr>
              <w:keepNext/>
              <w:keepLines/>
              <w:tabs>
                <w:tab w:val="decimal" w:pos="451"/>
              </w:tabs>
              <w:spacing w:after="0"/>
              <w:contextualSpacing/>
              <w:rPr>
                <w:sz w:val="20"/>
                <w:szCs w:val="20"/>
              </w:rPr>
            </w:pPr>
            <w:r w:rsidRPr="00F6205B">
              <w:rPr>
                <w:sz w:val="20"/>
                <w:szCs w:val="20"/>
              </w:rPr>
              <w:t>35</w:t>
            </w:r>
            <w:r>
              <w:rPr>
                <w:sz w:val="20"/>
                <w:szCs w:val="20"/>
              </w:rPr>
              <w:t>0</w:t>
            </w:r>
            <w:r w:rsidRPr="00F6205B">
              <w:rPr>
                <w:sz w:val="20"/>
                <w:szCs w:val="20"/>
              </w:rPr>
              <w:t>.3</w:t>
            </w:r>
          </w:p>
        </w:tc>
        <w:tc>
          <w:tcPr>
            <w:tcW w:w="1144" w:type="dxa"/>
            <w:tcBorders>
              <w:top w:val="single" w:sz="4" w:space="0" w:color="auto"/>
              <w:right w:val="single" w:sz="4" w:space="0" w:color="000000" w:themeColor="text1"/>
            </w:tcBorders>
            <w:vAlign w:val="center"/>
          </w:tcPr>
          <w:p w14:paraId="71347476" w14:textId="0892C649" w:rsidR="0071566D" w:rsidRPr="00F6205B" w:rsidRDefault="0071566D" w:rsidP="0044249F">
            <w:pPr>
              <w:keepNext/>
              <w:keepLines/>
              <w:tabs>
                <w:tab w:val="decimal" w:pos="702"/>
              </w:tabs>
              <w:spacing w:after="0"/>
              <w:contextualSpacing/>
              <w:rPr>
                <w:sz w:val="20"/>
                <w:szCs w:val="20"/>
              </w:rPr>
            </w:pPr>
            <w:r>
              <w:rPr>
                <w:sz w:val="20"/>
                <w:szCs w:val="20"/>
              </w:rPr>
              <w:t>126,040.4</w:t>
            </w:r>
          </w:p>
        </w:tc>
        <w:tc>
          <w:tcPr>
            <w:tcW w:w="1144" w:type="dxa"/>
            <w:tcBorders>
              <w:top w:val="single" w:sz="4" w:space="0" w:color="auto"/>
              <w:right w:val="single" w:sz="4" w:space="0" w:color="000000" w:themeColor="text1"/>
            </w:tcBorders>
            <w:vAlign w:val="center"/>
          </w:tcPr>
          <w:p w14:paraId="0C8379D0" w14:textId="6DAF9C8E" w:rsidR="0071566D" w:rsidRPr="00F6205B" w:rsidRDefault="0071566D" w:rsidP="0044249F">
            <w:pPr>
              <w:keepNext/>
              <w:keepLines/>
              <w:tabs>
                <w:tab w:val="decimal" w:pos="488"/>
              </w:tabs>
              <w:spacing w:after="0"/>
              <w:contextualSpacing/>
              <w:rPr>
                <w:sz w:val="20"/>
                <w:szCs w:val="20"/>
              </w:rPr>
            </w:pPr>
            <w:r>
              <w:rPr>
                <w:sz w:val="20"/>
                <w:szCs w:val="20"/>
              </w:rPr>
              <w:t>1,034.3</w:t>
            </w:r>
          </w:p>
        </w:tc>
        <w:tc>
          <w:tcPr>
            <w:tcW w:w="1144" w:type="dxa"/>
            <w:tcBorders>
              <w:top w:val="single" w:sz="4" w:space="0" w:color="auto"/>
              <w:left w:val="single" w:sz="4" w:space="0" w:color="000000" w:themeColor="text1"/>
              <w:right w:val="single" w:sz="4" w:space="0" w:color="auto"/>
            </w:tcBorders>
            <w:vAlign w:val="center"/>
          </w:tcPr>
          <w:p w14:paraId="0464B926" w14:textId="29275CBA" w:rsidR="0071566D" w:rsidRPr="00F6205B" w:rsidRDefault="0071566D" w:rsidP="0044249F">
            <w:pPr>
              <w:keepNext/>
              <w:keepLines/>
              <w:tabs>
                <w:tab w:val="decimal" w:pos="488"/>
              </w:tabs>
              <w:spacing w:after="0"/>
              <w:contextualSpacing/>
              <w:rPr>
                <w:sz w:val="20"/>
                <w:szCs w:val="20"/>
              </w:rPr>
            </w:pPr>
            <w:r>
              <w:rPr>
                <w:sz w:val="20"/>
                <w:szCs w:val="20"/>
              </w:rPr>
              <w:t>1,464.4</w:t>
            </w:r>
          </w:p>
        </w:tc>
      </w:tr>
      <w:tr w:rsidR="0071566D" w:rsidRPr="00F6205B" w14:paraId="1664B1F7" w14:textId="77777777" w:rsidTr="0071566D">
        <w:trPr>
          <w:trHeight w:val="288"/>
          <w:jc w:val="center"/>
        </w:trPr>
        <w:tc>
          <w:tcPr>
            <w:tcW w:w="2795" w:type="dxa"/>
            <w:tcBorders>
              <w:left w:val="single" w:sz="4" w:space="0" w:color="auto"/>
              <w:right w:val="single" w:sz="4" w:space="0" w:color="000000" w:themeColor="text1"/>
            </w:tcBorders>
            <w:vAlign w:val="center"/>
          </w:tcPr>
          <w:p w14:paraId="021851B6" w14:textId="2F29A779" w:rsidR="0071566D" w:rsidRPr="00F6205B" w:rsidRDefault="0071566D" w:rsidP="0044249F">
            <w:pPr>
              <w:keepNext/>
              <w:keepLines/>
              <w:spacing w:after="0"/>
              <w:contextualSpacing/>
              <w:rPr>
                <w:sz w:val="20"/>
                <w:szCs w:val="20"/>
              </w:rPr>
            </w:pPr>
            <w:r w:rsidRPr="00F6205B">
              <w:rPr>
                <w:sz w:val="20"/>
                <w:szCs w:val="20"/>
              </w:rPr>
              <w:t>Ten-year aggregate savings (2016-2025)</w:t>
            </w:r>
          </w:p>
        </w:tc>
        <w:tc>
          <w:tcPr>
            <w:tcW w:w="1099" w:type="dxa"/>
            <w:tcBorders>
              <w:right w:val="single" w:sz="4" w:space="0" w:color="000000" w:themeColor="text1"/>
            </w:tcBorders>
            <w:vAlign w:val="center"/>
          </w:tcPr>
          <w:p w14:paraId="7A036EAF" w14:textId="77777777" w:rsidR="0071566D" w:rsidRPr="00F6205B" w:rsidRDefault="0071566D" w:rsidP="0044249F">
            <w:pPr>
              <w:keepNext/>
              <w:keepLines/>
              <w:tabs>
                <w:tab w:val="decimal" w:pos="579"/>
              </w:tabs>
              <w:spacing w:after="0"/>
              <w:contextualSpacing/>
              <w:rPr>
                <w:sz w:val="20"/>
                <w:szCs w:val="20"/>
              </w:rPr>
            </w:pPr>
            <w:r w:rsidRPr="00F6205B">
              <w:rPr>
                <w:sz w:val="20"/>
                <w:szCs w:val="20"/>
              </w:rPr>
              <w:t>4,081.7</w:t>
            </w:r>
          </w:p>
        </w:tc>
        <w:tc>
          <w:tcPr>
            <w:tcW w:w="1099" w:type="dxa"/>
            <w:tcBorders>
              <w:right w:val="single" w:sz="4" w:space="0" w:color="000000" w:themeColor="text1"/>
            </w:tcBorders>
            <w:vAlign w:val="center"/>
          </w:tcPr>
          <w:p w14:paraId="70BA18EC" w14:textId="77777777" w:rsidR="0071566D" w:rsidRPr="00F6205B" w:rsidRDefault="0071566D" w:rsidP="0044249F">
            <w:pPr>
              <w:keepNext/>
              <w:keepLines/>
              <w:tabs>
                <w:tab w:val="decimal" w:pos="560"/>
              </w:tabs>
              <w:spacing w:after="0"/>
              <w:contextualSpacing/>
              <w:rPr>
                <w:sz w:val="20"/>
                <w:szCs w:val="20"/>
              </w:rPr>
            </w:pPr>
            <w:r w:rsidRPr="00F6205B">
              <w:rPr>
                <w:sz w:val="20"/>
                <w:szCs w:val="20"/>
              </w:rPr>
              <w:t>2,729.2</w:t>
            </w:r>
          </w:p>
        </w:tc>
        <w:tc>
          <w:tcPr>
            <w:tcW w:w="1099" w:type="dxa"/>
            <w:tcBorders>
              <w:right w:val="single" w:sz="4" w:space="0" w:color="000000" w:themeColor="text1"/>
            </w:tcBorders>
            <w:vAlign w:val="center"/>
          </w:tcPr>
          <w:p w14:paraId="2E5B157D" w14:textId="77777777" w:rsidR="0071566D" w:rsidRPr="00F6205B" w:rsidRDefault="0071566D" w:rsidP="0044249F">
            <w:pPr>
              <w:keepNext/>
              <w:keepLines/>
              <w:tabs>
                <w:tab w:val="decimal" w:pos="451"/>
              </w:tabs>
              <w:spacing w:after="0"/>
              <w:contextualSpacing/>
              <w:rPr>
                <w:sz w:val="20"/>
                <w:szCs w:val="20"/>
              </w:rPr>
            </w:pPr>
            <w:r w:rsidRPr="00F6205B">
              <w:rPr>
                <w:sz w:val="20"/>
                <w:szCs w:val="20"/>
              </w:rPr>
              <w:t>234.5</w:t>
            </w:r>
          </w:p>
        </w:tc>
        <w:tc>
          <w:tcPr>
            <w:tcW w:w="1144" w:type="dxa"/>
            <w:tcBorders>
              <w:right w:val="single" w:sz="4" w:space="0" w:color="000000" w:themeColor="text1"/>
            </w:tcBorders>
            <w:vAlign w:val="center"/>
          </w:tcPr>
          <w:p w14:paraId="77542AB5" w14:textId="77777777" w:rsidR="0071566D" w:rsidRPr="00F6205B" w:rsidRDefault="0071566D" w:rsidP="0044249F">
            <w:pPr>
              <w:keepNext/>
              <w:keepLines/>
              <w:tabs>
                <w:tab w:val="decimal" w:pos="612"/>
              </w:tabs>
              <w:spacing w:after="0"/>
              <w:contextualSpacing/>
              <w:rPr>
                <w:sz w:val="20"/>
                <w:szCs w:val="20"/>
              </w:rPr>
            </w:pPr>
            <w:r w:rsidRPr="00F6205B">
              <w:rPr>
                <w:sz w:val="20"/>
                <w:szCs w:val="20"/>
              </w:rPr>
              <w:t>74,022.4</w:t>
            </w:r>
          </w:p>
        </w:tc>
        <w:tc>
          <w:tcPr>
            <w:tcW w:w="1144" w:type="dxa"/>
            <w:tcBorders>
              <w:right w:val="single" w:sz="4" w:space="0" w:color="000000" w:themeColor="text1"/>
            </w:tcBorders>
            <w:vAlign w:val="center"/>
          </w:tcPr>
          <w:p w14:paraId="2A14395F" w14:textId="530993B9" w:rsidR="0071566D" w:rsidRPr="00F6205B" w:rsidRDefault="0071566D" w:rsidP="0044249F">
            <w:pPr>
              <w:keepNext/>
              <w:keepLines/>
              <w:tabs>
                <w:tab w:val="decimal" w:pos="488"/>
              </w:tabs>
              <w:spacing w:after="0"/>
              <w:contextualSpacing/>
              <w:rPr>
                <w:sz w:val="20"/>
                <w:szCs w:val="20"/>
              </w:rPr>
            </w:pPr>
            <w:r>
              <w:rPr>
                <w:sz w:val="20"/>
                <w:szCs w:val="20"/>
              </w:rPr>
              <w:t>860.4</w:t>
            </w:r>
          </w:p>
        </w:tc>
        <w:tc>
          <w:tcPr>
            <w:tcW w:w="1144" w:type="dxa"/>
            <w:tcBorders>
              <w:left w:val="single" w:sz="4" w:space="0" w:color="000000" w:themeColor="text1"/>
              <w:right w:val="single" w:sz="4" w:space="0" w:color="auto"/>
            </w:tcBorders>
            <w:vAlign w:val="center"/>
          </w:tcPr>
          <w:p w14:paraId="72F75AD6" w14:textId="03B1F039" w:rsidR="0071566D" w:rsidRPr="00F6205B" w:rsidRDefault="0071566D" w:rsidP="0044249F">
            <w:pPr>
              <w:keepNext/>
              <w:keepLines/>
              <w:tabs>
                <w:tab w:val="decimal" w:pos="488"/>
              </w:tabs>
              <w:spacing w:after="0"/>
              <w:contextualSpacing/>
              <w:rPr>
                <w:sz w:val="20"/>
                <w:szCs w:val="20"/>
              </w:rPr>
            </w:pPr>
            <w:r>
              <w:rPr>
                <w:sz w:val="20"/>
                <w:szCs w:val="20"/>
              </w:rPr>
              <w:t>1,113.0</w:t>
            </w:r>
          </w:p>
        </w:tc>
      </w:tr>
      <w:tr w:rsidR="0071566D" w:rsidRPr="00F6205B" w14:paraId="200E90DF" w14:textId="77777777" w:rsidTr="0071566D">
        <w:trPr>
          <w:trHeight w:val="288"/>
          <w:jc w:val="center"/>
        </w:trPr>
        <w:tc>
          <w:tcPr>
            <w:tcW w:w="2795" w:type="dxa"/>
            <w:tcBorders>
              <w:top w:val="single" w:sz="4" w:space="0" w:color="000000" w:themeColor="text1"/>
              <w:left w:val="single" w:sz="4" w:space="0" w:color="auto"/>
              <w:bottom w:val="single" w:sz="4" w:space="0" w:color="auto"/>
              <w:right w:val="single" w:sz="4" w:space="0" w:color="000000" w:themeColor="text1"/>
            </w:tcBorders>
            <w:vAlign w:val="center"/>
          </w:tcPr>
          <w:p w14:paraId="300C0BB3" w14:textId="1AC8FBE6" w:rsidR="0071566D" w:rsidRPr="00F6205B" w:rsidRDefault="0071566D" w:rsidP="0044249F">
            <w:pPr>
              <w:keepNext/>
              <w:keepLines/>
              <w:spacing w:after="0"/>
              <w:contextualSpacing/>
              <w:rPr>
                <w:sz w:val="20"/>
                <w:szCs w:val="20"/>
              </w:rPr>
            </w:pPr>
            <w:r w:rsidRPr="00F6205B">
              <w:rPr>
                <w:sz w:val="20"/>
                <w:szCs w:val="20"/>
              </w:rPr>
              <w:t>Percent savings from baseline</w:t>
            </w:r>
          </w:p>
        </w:tc>
        <w:tc>
          <w:tcPr>
            <w:tcW w:w="1099" w:type="dxa"/>
            <w:tcBorders>
              <w:top w:val="single" w:sz="4" w:space="0" w:color="000000" w:themeColor="text1"/>
              <w:bottom w:val="single" w:sz="4" w:space="0" w:color="auto"/>
              <w:right w:val="single" w:sz="4" w:space="0" w:color="000000" w:themeColor="text1"/>
            </w:tcBorders>
            <w:vAlign w:val="center"/>
          </w:tcPr>
          <w:p w14:paraId="5929A9FE" w14:textId="77777777" w:rsidR="0071566D" w:rsidRPr="00F6205B" w:rsidRDefault="0071566D" w:rsidP="0044249F">
            <w:pPr>
              <w:tabs>
                <w:tab w:val="decimal" w:pos="489"/>
              </w:tabs>
              <w:contextualSpacing/>
              <w:rPr>
                <w:color w:val="000000"/>
                <w:sz w:val="20"/>
                <w:szCs w:val="20"/>
              </w:rPr>
            </w:pPr>
            <w:r w:rsidRPr="00F6205B">
              <w:rPr>
                <w:color w:val="000000"/>
                <w:sz w:val="20"/>
                <w:szCs w:val="20"/>
              </w:rPr>
              <w:t>84%</w:t>
            </w:r>
          </w:p>
        </w:tc>
        <w:tc>
          <w:tcPr>
            <w:tcW w:w="1099" w:type="dxa"/>
            <w:tcBorders>
              <w:top w:val="single" w:sz="4" w:space="0" w:color="000000" w:themeColor="text1"/>
              <w:bottom w:val="single" w:sz="4" w:space="0" w:color="auto"/>
              <w:right w:val="single" w:sz="4" w:space="0" w:color="000000" w:themeColor="text1"/>
            </w:tcBorders>
            <w:vAlign w:val="center"/>
          </w:tcPr>
          <w:p w14:paraId="2E6B588E" w14:textId="55149EF6" w:rsidR="0071566D" w:rsidRPr="00F6205B" w:rsidRDefault="0071566D" w:rsidP="0044249F">
            <w:pPr>
              <w:tabs>
                <w:tab w:val="decimal" w:pos="489"/>
              </w:tabs>
              <w:contextualSpacing/>
              <w:rPr>
                <w:color w:val="000000"/>
                <w:sz w:val="20"/>
                <w:szCs w:val="20"/>
              </w:rPr>
            </w:pPr>
            <w:r>
              <w:rPr>
                <w:color w:val="000000"/>
                <w:sz w:val="20"/>
                <w:szCs w:val="20"/>
              </w:rPr>
              <w:t>81</w:t>
            </w:r>
            <w:r w:rsidRPr="00F6205B">
              <w:rPr>
                <w:color w:val="000000"/>
                <w:sz w:val="20"/>
                <w:szCs w:val="20"/>
              </w:rPr>
              <w:t>%</w:t>
            </w:r>
          </w:p>
        </w:tc>
        <w:tc>
          <w:tcPr>
            <w:tcW w:w="1099" w:type="dxa"/>
            <w:tcBorders>
              <w:top w:val="single" w:sz="4" w:space="0" w:color="000000" w:themeColor="text1"/>
              <w:bottom w:val="single" w:sz="4" w:space="0" w:color="auto"/>
              <w:right w:val="single" w:sz="4" w:space="0" w:color="000000" w:themeColor="text1"/>
            </w:tcBorders>
            <w:vAlign w:val="center"/>
          </w:tcPr>
          <w:p w14:paraId="67310CE9" w14:textId="538502D5" w:rsidR="0071566D" w:rsidRPr="00F6205B" w:rsidRDefault="0071566D" w:rsidP="0044249F">
            <w:pPr>
              <w:tabs>
                <w:tab w:val="decimal" w:pos="489"/>
              </w:tabs>
              <w:contextualSpacing/>
              <w:rPr>
                <w:color w:val="000000"/>
                <w:sz w:val="20"/>
                <w:szCs w:val="20"/>
              </w:rPr>
            </w:pPr>
            <w:r>
              <w:rPr>
                <w:color w:val="000000"/>
                <w:sz w:val="20"/>
                <w:szCs w:val="20"/>
              </w:rPr>
              <w:t>70</w:t>
            </w:r>
            <w:r w:rsidRPr="00F6205B">
              <w:rPr>
                <w:color w:val="000000"/>
                <w:sz w:val="20"/>
                <w:szCs w:val="20"/>
              </w:rPr>
              <w:t>%</w:t>
            </w:r>
          </w:p>
        </w:tc>
        <w:tc>
          <w:tcPr>
            <w:tcW w:w="1144" w:type="dxa"/>
            <w:tcBorders>
              <w:top w:val="single" w:sz="4" w:space="0" w:color="000000" w:themeColor="text1"/>
              <w:bottom w:val="single" w:sz="4" w:space="0" w:color="auto"/>
              <w:right w:val="single" w:sz="4" w:space="0" w:color="000000" w:themeColor="text1"/>
            </w:tcBorders>
            <w:vAlign w:val="center"/>
          </w:tcPr>
          <w:p w14:paraId="5FC931DE" w14:textId="77777777" w:rsidR="0071566D" w:rsidRPr="00F6205B" w:rsidRDefault="0071566D" w:rsidP="0044249F">
            <w:pPr>
              <w:tabs>
                <w:tab w:val="decimal" w:pos="489"/>
              </w:tabs>
              <w:contextualSpacing/>
              <w:rPr>
                <w:color w:val="000000"/>
                <w:sz w:val="20"/>
                <w:szCs w:val="20"/>
              </w:rPr>
            </w:pPr>
            <w:r w:rsidRPr="00F6205B">
              <w:rPr>
                <w:color w:val="000000"/>
                <w:sz w:val="20"/>
                <w:szCs w:val="20"/>
              </w:rPr>
              <w:t>59%</w:t>
            </w:r>
          </w:p>
        </w:tc>
        <w:tc>
          <w:tcPr>
            <w:tcW w:w="1144" w:type="dxa"/>
            <w:tcBorders>
              <w:top w:val="single" w:sz="4" w:space="0" w:color="000000" w:themeColor="text1"/>
              <w:bottom w:val="single" w:sz="4" w:space="0" w:color="auto"/>
              <w:right w:val="single" w:sz="4" w:space="0" w:color="000000" w:themeColor="text1"/>
            </w:tcBorders>
            <w:vAlign w:val="center"/>
          </w:tcPr>
          <w:p w14:paraId="76EEDB97" w14:textId="7DB06A84" w:rsidR="0071566D" w:rsidRPr="00F6205B" w:rsidRDefault="0071566D" w:rsidP="0044249F">
            <w:pPr>
              <w:tabs>
                <w:tab w:val="decimal" w:pos="489"/>
              </w:tabs>
              <w:contextualSpacing/>
              <w:rPr>
                <w:color w:val="000000"/>
                <w:sz w:val="20"/>
                <w:szCs w:val="20"/>
              </w:rPr>
            </w:pPr>
            <w:r>
              <w:rPr>
                <w:color w:val="000000"/>
                <w:sz w:val="20"/>
                <w:szCs w:val="20"/>
              </w:rPr>
              <w:t>83%</w:t>
            </w:r>
          </w:p>
        </w:tc>
        <w:tc>
          <w:tcPr>
            <w:tcW w:w="1144" w:type="dxa"/>
            <w:tcBorders>
              <w:top w:val="single" w:sz="4" w:space="0" w:color="000000" w:themeColor="text1"/>
              <w:left w:val="single" w:sz="4" w:space="0" w:color="000000" w:themeColor="text1"/>
              <w:bottom w:val="single" w:sz="4" w:space="0" w:color="auto"/>
              <w:right w:val="single" w:sz="4" w:space="0" w:color="auto"/>
            </w:tcBorders>
            <w:vAlign w:val="center"/>
          </w:tcPr>
          <w:p w14:paraId="448AE8B7" w14:textId="76EB5E35" w:rsidR="0071566D" w:rsidRPr="00F6205B" w:rsidRDefault="0071566D" w:rsidP="0044249F">
            <w:pPr>
              <w:tabs>
                <w:tab w:val="decimal" w:pos="489"/>
              </w:tabs>
              <w:contextualSpacing/>
              <w:rPr>
                <w:color w:val="000000"/>
                <w:sz w:val="20"/>
                <w:szCs w:val="20"/>
              </w:rPr>
            </w:pPr>
            <w:r>
              <w:rPr>
                <w:color w:val="000000"/>
                <w:sz w:val="20"/>
                <w:szCs w:val="20"/>
              </w:rPr>
              <w:t>76</w:t>
            </w:r>
            <w:r w:rsidRPr="00F6205B">
              <w:rPr>
                <w:color w:val="000000"/>
                <w:sz w:val="20"/>
                <w:szCs w:val="20"/>
              </w:rPr>
              <w:t>%</w:t>
            </w:r>
          </w:p>
        </w:tc>
      </w:tr>
      <w:tr w:rsidR="0071566D" w:rsidRPr="00F6205B" w14:paraId="2EDCE58A" w14:textId="77777777" w:rsidTr="0071566D">
        <w:trPr>
          <w:trHeight w:val="288"/>
          <w:jc w:val="center"/>
        </w:trPr>
        <w:tc>
          <w:tcPr>
            <w:tcW w:w="9524" w:type="dxa"/>
            <w:gridSpan w:val="7"/>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69D86D10" w14:textId="446B2891" w:rsidR="0071566D" w:rsidRPr="00F6205B" w:rsidRDefault="0071566D" w:rsidP="0044249F">
            <w:pPr>
              <w:tabs>
                <w:tab w:val="decimal" w:pos="489"/>
              </w:tabs>
              <w:contextualSpacing/>
              <w:jc w:val="center"/>
              <w:rPr>
                <w:color w:val="FFFFFF" w:themeColor="background1"/>
                <w:sz w:val="20"/>
                <w:szCs w:val="20"/>
              </w:rPr>
            </w:pPr>
            <w:r w:rsidRPr="00F6205B">
              <w:rPr>
                <w:b/>
                <w:color w:val="FFFFFF" w:themeColor="background1"/>
                <w:sz w:val="20"/>
                <w:szCs w:val="20"/>
              </w:rPr>
              <w:t>Technical Potential Excluding Solar Technologies</w:t>
            </w:r>
          </w:p>
        </w:tc>
      </w:tr>
      <w:tr w:rsidR="0071566D" w:rsidRPr="00F6205B" w14:paraId="6092823F" w14:textId="77777777" w:rsidTr="0071566D">
        <w:trPr>
          <w:trHeight w:val="288"/>
          <w:jc w:val="center"/>
        </w:trPr>
        <w:tc>
          <w:tcPr>
            <w:tcW w:w="2795" w:type="dxa"/>
            <w:tcBorders>
              <w:top w:val="single" w:sz="4" w:space="0" w:color="auto"/>
              <w:left w:val="single" w:sz="4" w:space="0" w:color="auto"/>
              <w:bottom w:val="single" w:sz="4" w:space="0" w:color="000000" w:themeColor="text1"/>
              <w:right w:val="single" w:sz="4" w:space="0" w:color="000000" w:themeColor="text1"/>
            </w:tcBorders>
            <w:vAlign w:val="center"/>
          </w:tcPr>
          <w:p w14:paraId="6B5EBA18" w14:textId="3ABB4680" w:rsidR="0071566D" w:rsidRPr="00F6205B" w:rsidRDefault="0071566D" w:rsidP="0071566D">
            <w:pPr>
              <w:keepNext/>
              <w:keepLines/>
              <w:spacing w:after="0"/>
              <w:contextualSpacing/>
              <w:rPr>
                <w:sz w:val="20"/>
                <w:szCs w:val="20"/>
              </w:rPr>
            </w:pPr>
            <w:r w:rsidRPr="00F6205B">
              <w:rPr>
                <w:sz w:val="20"/>
                <w:szCs w:val="20"/>
              </w:rPr>
              <w:t>Baseline aggregate consumption (2016-2025)</w:t>
            </w:r>
          </w:p>
        </w:tc>
        <w:tc>
          <w:tcPr>
            <w:tcW w:w="1099" w:type="dxa"/>
            <w:tcBorders>
              <w:top w:val="single" w:sz="4" w:space="0" w:color="auto"/>
              <w:bottom w:val="single" w:sz="4" w:space="0" w:color="000000" w:themeColor="text1"/>
              <w:right w:val="single" w:sz="4" w:space="0" w:color="000000" w:themeColor="text1"/>
            </w:tcBorders>
            <w:vAlign w:val="center"/>
          </w:tcPr>
          <w:p w14:paraId="2C161831" w14:textId="10C27E44" w:rsidR="0071566D" w:rsidRPr="00F6205B" w:rsidRDefault="0071566D" w:rsidP="0071566D">
            <w:pPr>
              <w:keepNext/>
              <w:keepLines/>
              <w:tabs>
                <w:tab w:val="decimal" w:pos="579"/>
              </w:tabs>
              <w:spacing w:after="0"/>
              <w:contextualSpacing/>
              <w:rPr>
                <w:sz w:val="20"/>
                <w:szCs w:val="20"/>
              </w:rPr>
            </w:pPr>
            <w:r w:rsidRPr="00F6205B">
              <w:rPr>
                <w:sz w:val="20"/>
                <w:szCs w:val="20"/>
              </w:rPr>
              <w:t>4,</w:t>
            </w:r>
            <w:r>
              <w:rPr>
                <w:sz w:val="20"/>
                <w:szCs w:val="20"/>
              </w:rPr>
              <w:t>795.2</w:t>
            </w:r>
          </w:p>
        </w:tc>
        <w:tc>
          <w:tcPr>
            <w:tcW w:w="1099" w:type="dxa"/>
            <w:tcBorders>
              <w:top w:val="single" w:sz="4" w:space="0" w:color="auto"/>
              <w:bottom w:val="single" w:sz="4" w:space="0" w:color="000000" w:themeColor="text1"/>
              <w:right w:val="single" w:sz="4" w:space="0" w:color="000000" w:themeColor="text1"/>
            </w:tcBorders>
            <w:vAlign w:val="center"/>
          </w:tcPr>
          <w:p w14:paraId="66AAD1D0" w14:textId="18ACE742" w:rsidR="0071566D" w:rsidRPr="00F6205B" w:rsidRDefault="0071566D" w:rsidP="0071566D">
            <w:pPr>
              <w:keepNext/>
              <w:keepLines/>
              <w:tabs>
                <w:tab w:val="decimal" w:pos="575"/>
              </w:tabs>
              <w:spacing w:after="0"/>
              <w:contextualSpacing/>
              <w:rPr>
                <w:sz w:val="20"/>
                <w:szCs w:val="20"/>
              </w:rPr>
            </w:pPr>
            <w:r w:rsidRPr="00F6205B">
              <w:rPr>
                <w:sz w:val="20"/>
                <w:szCs w:val="20"/>
              </w:rPr>
              <w:t>3</w:t>
            </w:r>
            <w:r>
              <w:rPr>
                <w:sz w:val="20"/>
                <w:szCs w:val="20"/>
              </w:rPr>
              <w:t>,372</w:t>
            </w:r>
            <w:r w:rsidRPr="00F6205B">
              <w:rPr>
                <w:sz w:val="20"/>
                <w:szCs w:val="20"/>
              </w:rPr>
              <w:t>.</w:t>
            </w:r>
            <w:r>
              <w:rPr>
                <w:sz w:val="20"/>
                <w:szCs w:val="20"/>
              </w:rPr>
              <w:t>9</w:t>
            </w:r>
          </w:p>
        </w:tc>
        <w:tc>
          <w:tcPr>
            <w:tcW w:w="1099" w:type="dxa"/>
            <w:tcBorders>
              <w:top w:val="single" w:sz="4" w:space="0" w:color="auto"/>
              <w:bottom w:val="single" w:sz="4" w:space="0" w:color="000000" w:themeColor="text1"/>
              <w:right w:val="single" w:sz="4" w:space="0" w:color="000000" w:themeColor="text1"/>
            </w:tcBorders>
            <w:vAlign w:val="center"/>
          </w:tcPr>
          <w:p w14:paraId="423FF360" w14:textId="2E00772F" w:rsidR="0071566D" w:rsidRPr="00F6205B" w:rsidRDefault="0071566D" w:rsidP="0071566D">
            <w:pPr>
              <w:keepNext/>
              <w:keepLines/>
              <w:tabs>
                <w:tab w:val="decimal" w:pos="451"/>
              </w:tabs>
              <w:spacing w:after="0"/>
              <w:contextualSpacing/>
              <w:rPr>
                <w:sz w:val="20"/>
                <w:szCs w:val="20"/>
              </w:rPr>
            </w:pPr>
            <w:r w:rsidRPr="00F6205B">
              <w:rPr>
                <w:sz w:val="20"/>
                <w:szCs w:val="20"/>
              </w:rPr>
              <w:t>35</w:t>
            </w:r>
            <w:r>
              <w:rPr>
                <w:sz w:val="20"/>
                <w:szCs w:val="20"/>
              </w:rPr>
              <w:t>0</w:t>
            </w:r>
            <w:r w:rsidRPr="00F6205B">
              <w:rPr>
                <w:sz w:val="20"/>
                <w:szCs w:val="20"/>
              </w:rPr>
              <w:t>.3</w:t>
            </w:r>
          </w:p>
        </w:tc>
        <w:tc>
          <w:tcPr>
            <w:tcW w:w="1144" w:type="dxa"/>
            <w:tcBorders>
              <w:top w:val="single" w:sz="4" w:space="0" w:color="auto"/>
              <w:bottom w:val="single" w:sz="4" w:space="0" w:color="000000" w:themeColor="text1"/>
              <w:right w:val="single" w:sz="4" w:space="0" w:color="000000" w:themeColor="text1"/>
            </w:tcBorders>
            <w:vAlign w:val="center"/>
          </w:tcPr>
          <w:p w14:paraId="2A688969" w14:textId="1FD13B5A" w:rsidR="0071566D" w:rsidRPr="00F6205B" w:rsidRDefault="0071566D" w:rsidP="0071566D">
            <w:pPr>
              <w:keepNext/>
              <w:keepLines/>
              <w:tabs>
                <w:tab w:val="decimal" w:pos="702"/>
              </w:tabs>
              <w:spacing w:after="0"/>
              <w:contextualSpacing/>
              <w:rPr>
                <w:sz w:val="20"/>
                <w:szCs w:val="20"/>
              </w:rPr>
            </w:pPr>
            <w:r>
              <w:rPr>
                <w:sz w:val="20"/>
                <w:szCs w:val="20"/>
              </w:rPr>
              <w:t>126,040.4</w:t>
            </w:r>
          </w:p>
        </w:tc>
        <w:tc>
          <w:tcPr>
            <w:tcW w:w="1144" w:type="dxa"/>
            <w:tcBorders>
              <w:top w:val="single" w:sz="4" w:space="0" w:color="auto"/>
              <w:bottom w:val="single" w:sz="4" w:space="0" w:color="000000" w:themeColor="text1"/>
              <w:right w:val="single" w:sz="4" w:space="0" w:color="000000" w:themeColor="text1"/>
            </w:tcBorders>
            <w:vAlign w:val="center"/>
          </w:tcPr>
          <w:p w14:paraId="5EA4F981" w14:textId="38DEB4FA" w:rsidR="0071566D" w:rsidRPr="00F6205B" w:rsidRDefault="0071566D" w:rsidP="0071566D">
            <w:pPr>
              <w:keepNext/>
              <w:keepLines/>
              <w:tabs>
                <w:tab w:val="decimal" w:pos="488"/>
              </w:tabs>
              <w:spacing w:after="0"/>
              <w:contextualSpacing/>
              <w:rPr>
                <w:sz w:val="20"/>
                <w:szCs w:val="20"/>
              </w:rPr>
            </w:pPr>
            <w:r>
              <w:rPr>
                <w:sz w:val="20"/>
                <w:szCs w:val="20"/>
              </w:rPr>
              <w:t>1,034.3</w:t>
            </w:r>
          </w:p>
        </w:tc>
        <w:tc>
          <w:tcPr>
            <w:tcW w:w="1144" w:type="dxa"/>
            <w:tcBorders>
              <w:top w:val="single" w:sz="4" w:space="0" w:color="auto"/>
              <w:left w:val="single" w:sz="4" w:space="0" w:color="000000" w:themeColor="text1"/>
              <w:bottom w:val="single" w:sz="4" w:space="0" w:color="000000" w:themeColor="text1"/>
              <w:right w:val="single" w:sz="4" w:space="0" w:color="auto"/>
            </w:tcBorders>
            <w:vAlign w:val="center"/>
          </w:tcPr>
          <w:p w14:paraId="076C4B54" w14:textId="5001609A" w:rsidR="0071566D" w:rsidRPr="00F6205B" w:rsidRDefault="0071566D" w:rsidP="0071566D">
            <w:pPr>
              <w:keepNext/>
              <w:keepLines/>
              <w:tabs>
                <w:tab w:val="decimal" w:pos="488"/>
              </w:tabs>
              <w:spacing w:after="0"/>
              <w:contextualSpacing/>
              <w:rPr>
                <w:sz w:val="20"/>
                <w:szCs w:val="20"/>
              </w:rPr>
            </w:pPr>
            <w:r>
              <w:rPr>
                <w:sz w:val="20"/>
                <w:szCs w:val="20"/>
              </w:rPr>
              <w:t>1,464.4</w:t>
            </w:r>
          </w:p>
        </w:tc>
      </w:tr>
      <w:tr w:rsidR="0071566D" w:rsidRPr="00F6205B" w14:paraId="4E59D888" w14:textId="77777777" w:rsidTr="0071566D">
        <w:trPr>
          <w:trHeight w:val="288"/>
          <w:jc w:val="center"/>
        </w:trPr>
        <w:tc>
          <w:tcPr>
            <w:tcW w:w="279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F9B9595" w14:textId="4DEA38B4" w:rsidR="0071566D" w:rsidRPr="00F6205B" w:rsidRDefault="0071566D" w:rsidP="0071566D">
            <w:pPr>
              <w:keepNext/>
              <w:keepLines/>
              <w:spacing w:after="0"/>
              <w:contextualSpacing/>
              <w:rPr>
                <w:sz w:val="20"/>
                <w:szCs w:val="20"/>
              </w:rPr>
            </w:pPr>
            <w:r w:rsidRPr="00F6205B">
              <w:rPr>
                <w:sz w:val="20"/>
                <w:szCs w:val="20"/>
              </w:rPr>
              <w:t>Ten-year aggregate savings (2016-2025)</w:t>
            </w:r>
          </w:p>
        </w:tc>
        <w:tc>
          <w:tcPr>
            <w:tcW w:w="1099" w:type="dxa"/>
            <w:tcBorders>
              <w:top w:val="single" w:sz="4" w:space="0" w:color="000000" w:themeColor="text1"/>
              <w:bottom w:val="single" w:sz="4" w:space="0" w:color="000000" w:themeColor="text1"/>
              <w:right w:val="single" w:sz="4" w:space="0" w:color="000000" w:themeColor="text1"/>
            </w:tcBorders>
            <w:vAlign w:val="center"/>
          </w:tcPr>
          <w:p w14:paraId="3EC66825" w14:textId="77777777" w:rsidR="0071566D" w:rsidRPr="00F6205B" w:rsidRDefault="0071566D" w:rsidP="0071566D">
            <w:pPr>
              <w:keepNext/>
              <w:keepLines/>
              <w:tabs>
                <w:tab w:val="decimal" w:pos="579"/>
              </w:tabs>
              <w:spacing w:after="0"/>
              <w:contextualSpacing/>
              <w:rPr>
                <w:sz w:val="20"/>
                <w:szCs w:val="20"/>
              </w:rPr>
            </w:pPr>
            <w:r w:rsidRPr="00F6205B">
              <w:rPr>
                <w:sz w:val="20"/>
                <w:szCs w:val="20"/>
              </w:rPr>
              <w:t>3,847.7</w:t>
            </w:r>
          </w:p>
        </w:tc>
        <w:tc>
          <w:tcPr>
            <w:tcW w:w="1099" w:type="dxa"/>
            <w:tcBorders>
              <w:top w:val="single" w:sz="4" w:space="0" w:color="000000" w:themeColor="text1"/>
              <w:bottom w:val="single" w:sz="4" w:space="0" w:color="000000" w:themeColor="text1"/>
              <w:right w:val="single" w:sz="4" w:space="0" w:color="000000" w:themeColor="text1"/>
            </w:tcBorders>
            <w:vAlign w:val="center"/>
          </w:tcPr>
          <w:p w14:paraId="5C962663" w14:textId="77777777" w:rsidR="0071566D" w:rsidRPr="00F6205B" w:rsidRDefault="0071566D" w:rsidP="0071566D">
            <w:pPr>
              <w:keepNext/>
              <w:keepLines/>
              <w:tabs>
                <w:tab w:val="decimal" w:pos="560"/>
              </w:tabs>
              <w:spacing w:after="0"/>
              <w:contextualSpacing/>
              <w:rPr>
                <w:sz w:val="20"/>
                <w:szCs w:val="20"/>
              </w:rPr>
            </w:pPr>
            <w:r w:rsidRPr="00F6205B">
              <w:rPr>
                <w:sz w:val="20"/>
                <w:szCs w:val="20"/>
              </w:rPr>
              <w:t>2,590.9</w:t>
            </w:r>
          </w:p>
        </w:tc>
        <w:tc>
          <w:tcPr>
            <w:tcW w:w="1099" w:type="dxa"/>
            <w:tcBorders>
              <w:top w:val="single" w:sz="4" w:space="0" w:color="000000" w:themeColor="text1"/>
              <w:bottom w:val="single" w:sz="4" w:space="0" w:color="000000" w:themeColor="text1"/>
              <w:right w:val="single" w:sz="4" w:space="0" w:color="000000" w:themeColor="text1"/>
            </w:tcBorders>
            <w:vAlign w:val="center"/>
          </w:tcPr>
          <w:p w14:paraId="074B80BB" w14:textId="77777777" w:rsidR="0071566D" w:rsidRPr="00F6205B" w:rsidRDefault="0071566D" w:rsidP="0071566D">
            <w:pPr>
              <w:keepNext/>
              <w:keepLines/>
              <w:tabs>
                <w:tab w:val="decimal" w:pos="451"/>
              </w:tabs>
              <w:spacing w:after="0"/>
              <w:contextualSpacing/>
              <w:rPr>
                <w:sz w:val="20"/>
                <w:szCs w:val="20"/>
              </w:rPr>
            </w:pPr>
            <w:r w:rsidRPr="00F6205B">
              <w:rPr>
                <w:sz w:val="20"/>
                <w:szCs w:val="20"/>
              </w:rPr>
              <w:t>200.9</w:t>
            </w:r>
          </w:p>
        </w:tc>
        <w:tc>
          <w:tcPr>
            <w:tcW w:w="1144" w:type="dxa"/>
            <w:tcBorders>
              <w:top w:val="single" w:sz="4" w:space="0" w:color="000000" w:themeColor="text1"/>
              <w:bottom w:val="single" w:sz="4" w:space="0" w:color="000000" w:themeColor="text1"/>
              <w:right w:val="single" w:sz="4" w:space="0" w:color="000000" w:themeColor="text1"/>
            </w:tcBorders>
            <w:vAlign w:val="center"/>
          </w:tcPr>
          <w:p w14:paraId="76963476" w14:textId="77777777" w:rsidR="0071566D" w:rsidRPr="00F6205B" w:rsidRDefault="0071566D" w:rsidP="0071566D">
            <w:pPr>
              <w:keepNext/>
              <w:keepLines/>
              <w:tabs>
                <w:tab w:val="decimal" w:pos="612"/>
              </w:tabs>
              <w:spacing w:after="0"/>
              <w:contextualSpacing/>
              <w:rPr>
                <w:sz w:val="20"/>
                <w:szCs w:val="20"/>
              </w:rPr>
            </w:pPr>
            <w:r w:rsidRPr="00F6205B">
              <w:rPr>
                <w:sz w:val="20"/>
                <w:szCs w:val="20"/>
              </w:rPr>
              <w:t>21,843.2</w:t>
            </w:r>
          </w:p>
        </w:tc>
        <w:tc>
          <w:tcPr>
            <w:tcW w:w="1144" w:type="dxa"/>
            <w:tcBorders>
              <w:top w:val="single" w:sz="4" w:space="0" w:color="000000" w:themeColor="text1"/>
              <w:bottom w:val="single" w:sz="4" w:space="0" w:color="000000" w:themeColor="text1"/>
              <w:right w:val="single" w:sz="4" w:space="0" w:color="000000" w:themeColor="text1"/>
            </w:tcBorders>
            <w:vAlign w:val="center"/>
          </w:tcPr>
          <w:p w14:paraId="23C32B9E" w14:textId="7F678BB1" w:rsidR="0071566D" w:rsidRPr="00F6205B" w:rsidRDefault="0071566D" w:rsidP="0071566D">
            <w:pPr>
              <w:keepNext/>
              <w:keepLines/>
              <w:tabs>
                <w:tab w:val="decimal" w:pos="488"/>
              </w:tabs>
              <w:spacing w:after="0"/>
              <w:contextualSpacing/>
              <w:rPr>
                <w:sz w:val="20"/>
                <w:szCs w:val="20"/>
              </w:rPr>
            </w:pPr>
            <w:r>
              <w:rPr>
                <w:sz w:val="20"/>
                <w:szCs w:val="20"/>
              </w:rPr>
              <w:t>811.1</w:t>
            </w:r>
          </w:p>
        </w:tc>
        <w:tc>
          <w:tcPr>
            <w:tcW w:w="114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B678B59" w14:textId="3FFF85F7" w:rsidR="0071566D" w:rsidRPr="00F6205B" w:rsidRDefault="0071566D" w:rsidP="0071566D">
            <w:pPr>
              <w:keepNext/>
              <w:keepLines/>
              <w:tabs>
                <w:tab w:val="decimal" w:pos="488"/>
              </w:tabs>
              <w:spacing w:after="0"/>
              <w:contextualSpacing/>
              <w:rPr>
                <w:sz w:val="20"/>
                <w:szCs w:val="20"/>
              </w:rPr>
            </w:pPr>
            <w:r>
              <w:rPr>
                <w:sz w:val="20"/>
                <w:szCs w:val="20"/>
              </w:rPr>
              <w:t>885.6</w:t>
            </w:r>
          </w:p>
        </w:tc>
      </w:tr>
      <w:tr w:rsidR="0071566D" w:rsidRPr="00F6205B" w14:paraId="6B3BBDB8" w14:textId="77777777" w:rsidTr="0071566D">
        <w:trPr>
          <w:trHeight w:val="288"/>
          <w:jc w:val="center"/>
        </w:trPr>
        <w:tc>
          <w:tcPr>
            <w:tcW w:w="2795" w:type="dxa"/>
            <w:tcBorders>
              <w:top w:val="single" w:sz="4" w:space="0" w:color="000000" w:themeColor="text1"/>
              <w:left w:val="single" w:sz="4" w:space="0" w:color="auto"/>
              <w:bottom w:val="single" w:sz="4" w:space="0" w:color="auto"/>
              <w:right w:val="single" w:sz="4" w:space="0" w:color="000000" w:themeColor="text1"/>
            </w:tcBorders>
            <w:vAlign w:val="center"/>
          </w:tcPr>
          <w:p w14:paraId="67D4B557" w14:textId="42A46207" w:rsidR="0071566D" w:rsidRPr="00F6205B" w:rsidRDefault="0071566D" w:rsidP="0071566D">
            <w:pPr>
              <w:keepNext/>
              <w:keepLines/>
              <w:spacing w:after="0"/>
              <w:contextualSpacing/>
              <w:rPr>
                <w:sz w:val="20"/>
                <w:szCs w:val="20"/>
              </w:rPr>
            </w:pPr>
            <w:r w:rsidRPr="00F6205B">
              <w:rPr>
                <w:sz w:val="20"/>
                <w:szCs w:val="20"/>
              </w:rPr>
              <w:t>Percent savings from baseline</w:t>
            </w:r>
          </w:p>
        </w:tc>
        <w:tc>
          <w:tcPr>
            <w:tcW w:w="1099" w:type="dxa"/>
            <w:tcBorders>
              <w:top w:val="single" w:sz="4" w:space="0" w:color="000000" w:themeColor="text1"/>
              <w:bottom w:val="single" w:sz="4" w:space="0" w:color="auto"/>
              <w:right w:val="single" w:sz="4" w:space="0" w:color="000000" w:themeColor="text1"/>
            </w:tcBorders>
            <w:vAlign w:val="center"/>
          </w:tcPr>
          <w:p w14:paraId="663DC5EF" w14:textId="77777777" w:rsidR="0071566D" w:rsidRPr="00F6205B" w:rsidRDefault="0071566D" w:rsidP="0071566D">
            <w:pPr>
              <w:tabs>
                <w:tab w:val="decimal" w:pos="489"/>
              </w:tabs>
              <w:contextualSpacing/>
              <w:rPr>
                <w:color w:val="000000"/>
                <w:sz w:val="20"/>
                <w:szCs w:val="20"/>
              </w:rPr>
            </w:pPr>
            <w:r w:rsidRPr="00F6205B">
              <w:rPr>
                <w:color w:val="000000"/>
                <w:sz w:val="20"/>
                <w:szCs w:val="20"/>
              </w:rPr>
              <w:t>80%</w:t>
            </w:r>
          </w:p>
        </w:tc>
        <w:tc>
          <w:tcPr>
            <w:tcW w:w="1099" w:type="dxa"/>
            <w:tcBorders>
              <w:top w:val="single" w:sz="4" w:space="0" w:color="000000" w:themeColor="text1"/>
              <w:bottom w:val="single" w:sz="4" w:space="0" w:color="auto"/>
              <w:right w:val="single" w:sz="4" w:space="0" w:color="000000" w:themeColor="text1"/>
            </w:tcBorders>
            <w:vAlign w:val="center"/>
          </w:tcPr>
          <w:p w14:paraId="6ADF6146" w14:textId="1DD488FC" w:rsidR="0071566D" w:rsidRPr="00F6205B" w:rsidRDefault="0071566D" w:rsidP="0071566D">
            <w:pPr>
              <w:tabs>
                <w:tab w:val="decimal" w:pos="489"/>
              </w:tabs>
              <w:contextualSpacing/>
              <w:rPr>
                <w:color w:val="000000"/>
                <w:sz w:val="20"/>
                <w:szCs w:val="20"/>
              </w:rPr>
            </w:pPr>
            <w:r>
              <w:rPr>
                <w:color w:val="000000"/>
                <w:sz w:val="20"/>
                <w:szCs w:val="20"/>
              </w:rPr>
              <w:t>77</w:t>
            </w:r>
            <w:r w:rsidRPr="00F6205B">
              <w:rPr>
                <w:color w:val="000000"/>
                <w:sz w:val="20"/>
                <w:szCs w:val="20"/>
              </w:rPr>
              <w:t>%</w:t>
            </w:r>
          </w:p>
        </w:tc>
        <w:tc>
          <w:tcPr>
            <w:tcW w:w="1099" w:type="dxa"/>
            <w:tcBorders>
              <w:top w:val="single" w:sz="4" w:space="0" w:color="000000" w:themeColor="text1"/>
              <w:bottom w:val="single" w:sz="4" w:space="0" w:color="auto"/>
              <w:right w:val="single" w:sz="4" w:space="0" w:color="000000" w:themeColor="text1"/>
            </w:tcBorders>
            <w:vAlign w:val="center"/>
          </w:tcPr>
          <w:p w14:paraId="16A3B983" w14:textId="77777777" w:rsidR="0071566D" w:rsidRPr="00F6205B" w:rsidRDefault="0071566D" w:rsidP="0071566D">
            <w:pPr>
              <w:tabs>
                <w:tab w:val="decimal" w:pos="489"/>
              </w:tabs>
              <w:contextualSpacing/>
              <w:rPr>
                <w:color w:val="000000"/>
                <w:sz w:val="20"/>
                <w:szCs w:val="20"/>
              </w:rPr>
            </w:pPr>
            <w:r w:rsidRPr="00F6205B">
              <w:rPr>
                <w:color w:val="000000"/>
                <w:sz w:val="20"/>
                <w:szCs w:val="20"/>
              </w:rPr>
              <w:t>57%</w:t>
            </w:r>
          </w:p>
        </w:tc>
        <w:tc>
          <w:tcPr>
            <w:tcW w:w="1144" w:type="dxa"/>
            <w:tcBorders>
              <w:top w:val="single" w:sz="4" w:space="0" w:color="000000" w:themeColor="text1"/>
              <w:bottom w:val="single" w:sz="4" w:space="0" w:color="auto"/>
              <w:right w:val="single" w:sz="4" w:space="0" w:color="000000" w:themeColor="text1"/>
            </w:tcBorders>
            <w:vAlign w:val="center"/>
          </w:tcPr>
          <w:p w14:paraId="22108C77" w14:textId="77777777" w:rsidR="0071566D" w:rsidRPr="00F6205B" w:rsidRDefault="0071566D" w:rsidP="0071566D">
            <w:pPr>
              <w:tabs>
                <w:tab w:val="decimal" w:pos="489"/>
              </w:tabs>
              <w:contextualSpacing/>
              <w:rPr>
                <w:color w:val="000000"/>
                <w:sz w:val="20"/>
                <w:szCs w:val="20"/>
              </w:rPr>
            </w:pPr>
            <w:r w:rsidRPr="00F6205B">
              <w:rPr>
                <w:color w:val="000000"/>
                <w:sz w:val="20"/>
                <w:szCs w:val="20"/>
              </w:rPr>
              <w:t>17%</w:t>
            </w:r>
          </w:p>
        </w:tc>
        <w:tc>
          <w:tcPr>
            <w:tcW w:w="1144" w:type="dxa"/>
            <w:tcBorders>
              <w:top w:val="single" w:sz="4" w:space="0" w:color="000000" w:themeColor="text1"/>
              <w:bottom w:val="single" w:sz="4" w:space="0" w:color="auto"/>
              <w:right w:val="single" w:sz="4" w:space="0" w:color="000000" w:themeColor="text1"/>
            </w:tcBorders>
            <w:vAlign w:val="center"/>
          </w:tcPr>
          <w:p w14:paraId="2207D35A" w14:textId="2C599AA5" w:rsidR="0071566D" w:rsidRPr="00F6205B" w:rsidRDefault="0071566D" w:rsidP="0071566D">
            <w:pPr>
              <w:tabs>
                <w:tab w:val="decimal" w:pos="489"/>
              </w:tabs>
              <w:contextualSpacing/>
              <w:rPr>
                <w:color w:val="000000"/>
                <w:sz w:val="20"/>
                <w:szCs w:val="20"/>
              </w:rPr>
            </w:pPr>
            <w:r>
              <w:rPr>
                <w:color w:val="000000"/>
                <w:sz w:val="20"/>
                <w:szCs w:val="20"/>
              </w:rPr>
              <w:t>78%</w:t>
            </w:r>
          </w:p>
        </w:tc>
        <w:tc>
          <w:tcPr>
            <w:tcW w:w="1144" w:type="dxa"/>
            <w:tcBorders>
              <w:top w:val="single" w:sz="4" w:space="0" w:color="000000" w:themeColor="text1"/>
              <w:left w:val="single" w:sz="4" w:space="0" w:color="000000" w:themeColor="text1"/>
              <w:bottom w:val="single" w:sz="4" w:space="0" w:color="auto"/>
              <w:right w:val="single" w:sz="4" w:space="0" w:color="auto"/>
            </w:tcBorders>
            <w:vAlign w:val="center"/>
          </w:tcPr>
          <w:p w14:paraId="6FE97BB5" w14:textId="12D8A64E" w:rsidR="0071566D" w:rsidRPr="00F6205B" w:rsidRDefault="0071566D" w:rsidP="0071566D">
            <w:pPr>
              <w:tabs>
                <w:tab w:val="decimal" w:pos="489"/>
              </w:tabs>
              <w:contextualSpacing/>
              <w:rPr>
                <w:color w:val="000000"/>
                <w:sz w:val="20"/>
                <w:szCs w:val="20"/>
              </w:rPr>
            </w:pPr>
            <w:r>
              <w:rPr>
                <w:color w:val="000000"/>
                <w:sz w:val="20"/>
                <w:szCs w:val="20"/>
              </w:rPr>
              <w:t>60</w:t>
            </w:r>
            <w:r w:rsidRPr="00F6205B">
              <w:rPr>
                <w:color w:val="000000"/>
                <w:sz w:val="20"/>
                <w:szCs w:val="20"/>
              </w:rPr>
              <w:t>%</w:t>
            </w:r>
          </w:p>
        </w:tc>
      </w:tr>
    </w:tbl>
    <w:p w14:paraId="6DEA3C7E" w14:textId="39E6DD8F" w:rsidR="00436707" w:rsidRPr="00F6205B" w:rsidRDefault="000B7A08" w:rsidP="00F82412">
      <w:pPr>
        <w:tabs>
          <w:tab w:val="left" w:pos="1065"/>
        </w:tabs>
        <w:ind w:left="360"/>
        <w:rPr>
          <w:sz w:val="20"/>
        </w:rPr>
      </w:pPr>
      <w:r w:rsidRPr="00F6205B">
        <w:rPr>
          <w:sz w:val="18"/>
          <w:szCs w:val="20"/>
        </w:rPr>
        <w:t xml:space="preserve">* </w:t>
      </w:r>
      <w:r w:rsidR="00436707" w:rsidRPr="00F6205B">
        <w:rPr>
          <w:sz w:val="18"/>
          <w:szCs w:val="20"/>
        </w:rPr>
        <w:t>Savings are in millions of units.</w:t>
      </w:r>
    </w:p>
    <w:p w14:paraId="4E1FA954" w14:textId="77777777" w:rsidR="00436707" w:rsidRPr="00F6205B" w:rsidRDefault="00436707" w:rsidP="00436707"/>
    <w:p w14:paraId="2FAFE996" w14:textId="77777777" w:rsidR="00436707" w:rsidRPr="00F6205B" w:rsidRDefault="00436707" w:rsidP="00436707">
      <w:pPr>
        <w:keepNext/>
      </w:pPr>
      <w:r w:rsidRPr="00F6205B">
        <w:t xml:space="preserve">All of the technical potential savings in fossil fuel consumption occur at the home heating and water heating end uses, while the bulk of total technical potential savings in electricity </w:t>
      </w:r>
      <w:r w:rsidRPr="00F6205B">
        <w:lastRenderedPageBreak/>
        <w:t>consumption occur in lighting and appliances. The presence of ductless mini-splits in each comprehensive model run results in a substantial increase in electric usage for heating.</w:t>
      </w:r>
      <w:r w:rsidRPr="00F6205B">
        <w:rPr>
          <w:rStyle w:val="FootnoteReference"/>
        </w:rPr>
        <w:footnoteReference w:id="62"/>
      </w:r>
      <w:r w:rsidRPr="00F6205B">
        <w:t xml:space="preserve"> </w:t>
      </w:r>
    </w:p>
    <w:p w14:paraId="0AA0F2D1" w14:textId="77775368" w:rsidR="00436707" w:rsidRPr="00F6205B" w:rsidRDefault="00436707" w:rsidP="004F23CF">
      <w:pPr>
        <w:pStyle w:val="Caption"/>
      </w:pPr>
      <w:bookmarkStart w:id="172" w:name="_Ref361998999"/>
      <w:bookmarkStart w:id="173" w:name="_Ref439933974"/>
      <w:bookmarkStart w:id="174" w:name="_Toc373324121"/>
      <w:bookmarkStart w:id="175" w:name="_Toc391887349"/>
      <w:bookmarkStart w:id="176" w:name="_Toc439931844"/>
      <w:r w:rsidRPr="00F6205B">
        <w:t>Table</w:t>
      </w:r>
      <w:bookmarkEnd w:id="172"/>
      <w:r w:rsidR="004F23CF" w:rsidRPr="00F6205B">
        <w:t xml:space="preserve"> </w:t>
      </w:r>
      <w:fldSimple w:instr=" SEQ Table \* ARABIC ">
        <w:r w:rsidR="00FA26A9">
          <w:rPr>
            <w:noProof/>
          </w:rPr>
          <w:t>13</w:t>
        </w:r>
      </w:fldSimple>
      <w:bookmarkEnd w:id="173"/>
      <w:r w:rsidRPr="00F6205B">
        <w:t>: Total Technical Savings Potential by End Use—First-Year</w:t>
      </w:r>
      <w:bookmarkEnd w:id="174"/>
      <w:r w:rsidRPr="00F6205B">
        <w:rPr>
          <w:vertAlign w:val="superscript"/>
        </w:rPr>
        <w:t>*</w:t>
      </w:r>
      <w:bookmarkEnd w:id="175"/>
      <w:bookmarkEnd w:id="176"/>
    </w:p>
    <w:p w14:paraId="49B0349B" w14:textId="77777777" w:rsidR="00346A82" w:rsidRPr="00F6205B" w:rsidRDefault="00346A82" w:rsidP="00346A82">
      <w:pPr>
        <w:pStyle w:val="Caption"/>
        <w:spacing w:before="0" w:after="120"/>
        <w:rPr>
          <w:b w:val="0"/>
          <w:bCs w:val="0"/>
          <w:sz w:val="18"/>
        </w:rPr>
      </w:pPr>
      <w:r w:rsidRPr="00F6205B">
        <w:rPr>
          <w:b w:val="0"/>
          <w:bCs w:val="0"/>
          <w:sz w:val="18"/>
        </w:rPr>
        <w:t>Base: all single-family homes (population-weighted)</w:t>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1965"/>
        <w:gridCol w:w="1099"/>
        <w:gridCol w:w="1099"/>
        <w:gridCol w:w="1099"/>
        <w:gridCol w:w="1159"/>
      </w:tblGrid>
      <w:tr w:rsidR="00436707" w:rsidRPr="00F6205B" w14:paraId="2B421812" w14:textId="77777777" w:rsidTr="00943A6E">
        <w:trPr>
          <w:trHeight w:val="288"/>
          <w:jc w:val="center"/>
        </w:trPr>
        <w:tc>
          <w:tcPr>
            <w:tcW w:w="1965" w:type="dxa"/>
            <w:tcBorders>
              <w:top w:val="single" w:sz="4" w:space="0" w:color="auto"/>
              <w:left w:val="single" w:sz="4" w:space="0" w:color="auto"/>
              <w:bottom w:val="single" w:sz="4" w:space="0" w:color="auto"/>
              <w:right w:val="single" w:sz="4" w:space="0" w:color="000000" w:themeColor="text1"/>
            </w:tcBorders>
            <w:shd w:val="clear" w:color="auto" w:fill="0B4D2C" w:themeFill="background2" w:themeFillShade="BF"/>
            <w:vAlign w:val="center"/>
          </w:tcPr>
          <w:p w14:paraId="3BC91520" w14:textId="77777777" w:rsidR="00436707" w:rsidRPr="00F6205B" w:rsidRDefault="00436707" w:rsidP="0044249F">
            <w:pPr>
              <w:keepNext/>
              <w:keepLines/>
              <w:spacing w:after="0"/>
              <w:contextualSpacing/>
              <w:rPr>
                <w:b/>
                <w:sz w:val="20"/>
                <w:szCs w:val="20"/>
              </w:rPr>
            </w:pPr>
            <w:r w:rsidRPr="00F6205B">
              <w:rPr>
                <w:b/>
                <w:sz w:val="20"/>
                <w:szCs w:val="20"/>
              </w:rPr>
              <w:t>End Use</w:t>
            </w:r>
          </w:p>
        </w:tc>
        <w:tc>
          <w:tcPr>
            <w:tcW w:w="1099" w:type="dxa"/>
            <w:tcBorders>
              <w:top w:val="single" w:sz="4" w:space="0" w:color="auto"/>
              <w:bottom w:val="single" w:sz="4" w:space="0" w:color="auto"/>
              <w:right w:val="single" w:sz="4" w:space="0" w:color="000000" w:themeColor="text1"/>
            </w:tcBorders>
            <w:shd w:val="clear" w:color="auto" w:fill="0B4D2C" w:themeFill="background2" w:themeFillShade="BF"/>
            <w:vAlign w:val="center"/>
          </w:tcPr>
          <w:p w14:paraId="2C3C409F" w14:textId="5C951D7A" w:rsidR="00436707" w:rsidRPr="00F6205B" w:rsidRDefault="00943A6E" w:rsidP="0044249F">
            <w:pPr>
              <w:keepNext/>
              <w:keepLines/>
              <w:spacing w:after="0"/>
              <w:contextualSpacing/>
              <w:jc w:val="center"/>
              <w:rPr>
                <w:b/>
                <w:sz w:val="20"/>
                <w:szCs w:val="20"/>
              </w:rPr>
            </w:pPr>
            <w:r w:rsidRPr="00F6205B">
              <w:rPr>
                <w:b/>
                <w:sz w:val="20"/>
                <w:szCs w:val="20"/>
              </w:rPr>
              <w:t>Fuel Oil (gal</w:t>
            </w:r>
            <w:r w:rsidR="00436707" w:rsidRPr="00F6205B">
              <w:rPr>
                <w:b/>
                <w:sz w:val="20"/>
                <w:szCs w:val="20"/>
              </w:rPr>
              <w:t>)</w:t>
            </w:r>
          </w:p>
        </w:tc>
        <w:tc>
          <w:tcPr>
            <w:tcW w:w="1099" w:type="dxa"/>
            <w:tcBorders>
              <w:top w:val="single" w:sz="4" w:space="0" w:color="auto"/>
              <w:bottom w:val="single" w:sz="4" w:space="0" w:color="auto"/>
              <w:right w:val="single" w:sz="4" w:space="0" w:color="000000" w:themeColor="text1"/>
            </w:tcBorders>
            <w:shd w:val="clear" w:color="auto" w:fill="0B4D2C" w:themeFill="background2" w:themeFillShade="BF"/>
            <w:vAlign w:val="center"/>
          </w:tcPr>
          <w:p w14:paraId="1E87DEFE" w14:textId="77777777" w:rsidR="00436707" w:rsidRPr="00F6205B" w:rsidRDefault="00436707" w:rsidP="0044249F">
            <w:pPr>
              <w:keepNext/>
              <w:keepLines/>
              <w:spacing w:after="0"/>
              <w:contextualSpacing/>
              <w:jc w:val="center"/>
              <w:rPr>
                <w:b/>
                <w:sz w:val="20"/>
                <w:szCs w:val="20"/>
              </w:rPr>
            </w:pPr>
            <w:r w:rsidRPr="00F6205B">
              <w:rPr>
                <w:b/>
                <w:sz w:val="20"/>
                <w:szCs w:val="20"/>
              </w:rPr>
              <w:t>Nat. Gas (ccf)</w:t>
            </w:r>
          </w:p>
        </w:tc>
        <w:tc>
          <w:tcPr>
            <w:tcW w:w="1099" w:type="dxa"/>
            <w:tcBorders>
              <w:top w:val="single" w:sz="4" w:space="0" w:color="auto"/>
              <w:bottom w:val="single" w:sz="4" w:space="0" w:color="auto"/>
              <w:right w:val="single" w:sz="4" w:space="0" w:color="000000" w:themeColor="text1"/>
            </w:tcBorders>
            <w:shd w:val="clear" w:color="auto" w:fill="0B4D2C" w:themeFill="background2" w:themeFillShade="BF"/>
          </w:tcPr>
          <w:p w14:paraId="5D8277D6" w14:textId="028E2E7F" w:rsidR="00436707" w:rsidRPr="00F6205B" w:rsidRDefault="00943A6E" w:rsidP="0044249F">
            <w:pPr>
              <w:keepNext/>
              <w:keepLines/>
              <w:spacing w:after="0"/>
              <w:contextualSpacing/>
              <w:jc w:val="center"/>
              <w:rPr>
                <w:b/>
                <w:sz w:val="20"/>
                <w:szCs w:val="20"/>
              </w:rPr>
            </w:pPr>
            <w:r w:rsidRPr="00F6205B">
              <w:rPr>
                <w:b/>
                <w:sz w:val="20"/>
                <w:szCs w:val="20"/>
              </w:rPr>
              <w:t>Propane (gal</w:t>
            </w:r>
            <w:r w:rsidR="00436707" w:rsidRPr="00F6205B">
              <w:rPr>
                <w:b/>
                <w:sz w:val="20"/>
                <w:szCs w:val="20"/>
              </w:rPr>
              <w:t>)</w:t>
            </w:r>
          </w:p>
        </w:tc>
        <w:tc>
          <w:tcPr>
            <w:tcW w:w="1159" w:type="dxa"/>
            <w:tcBorders>
              <w:top w:val="single" w:sz="4" w:space="0" w:color="auto"/>
              <w:left w:val="single" w:sz="4" w:space="0" w:color="000000" w:themeColor="text1"/>
              <w:bottom w:val="single" w:sz="4" w:space="0" w:color="auto"/>
              <w:right w:val="single" w:sz="4" w:space="0" w:color="auto"/>
            </w:tcBorders>
            <w:shd w:val="clear" w:color="auto" w:fill="0B4D2C" w:themeFill="background2" w:themeFillShade="BF"/>
            <w:vAlign w:val="center"/>
          </w:tcPr>
          <w:p w14:paraId="713C241B" w14:textId="0B69BDB0" w:rsidR="00436707" w:rsidRPr="00F6205B" w:rsidRDefault="00436707" w:rsidP="00943A6E">
            <w:pPr>
              <w:keepNext/>
              <w:keepLines/>
              <w:spacing w:after="0"/>
              <w:contextualSpacing/>
              <w:jc w:val="center"/>
              <w:rPr>
                <w:b/>
                <w:sz w:val="20"/>
                <w:szCs w:val="20"/>
              </w:rPr>
            </w:pPr>
            <w:r w:rsidRPr="00F6205B">
              <w:rPr>
                <w:b/>
                <w:sz w:val="20"/>
                <w:szCs w:val="20"/>
              </w:rPr>
              <w:t xml:space="preserve">Electric (kWh) </w:t>
            </w:r>
          </w:p>
        </w:tc>
      </w:tr>
      <w:tr w:rsidR="00943A6E" w:rsidRPr="00F6205B" w14:paraId="6679EDB0" w14:textId="77777777" w:rsidTr="00943A6E">
        <w:trPr>
          <w:trHeight w:val="288"/>
          <w:jc w:val="center"/>
        </w:trPr>
        <w:tc>
          <w:tcPr>
            <w:tcW w:w="6421" w:type="dxa"/>
            <w:gridSpan w:val="5"/>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21A2328C" w14:textId="77777777" w:rsidR="00436707" w:rsidRPr="00F6205B" w:rsidRDefault="00436707" w:rsidP="0044249F">
            <w:pPr>
              <w:keepNext/>
              <w:keepLines/>
              <w:spacing w:after="0"/>
              <w:contextualSpacing/>
              <w:jc w:val="center"/>
              <w:rPr>
                <w:b/>
                <w:color w:val="FFFFFF" w:themeColor="background1"/>
                <w:sz w:val="20"/>
                <w:szCs w:val="20"/>
              </w:rPr>
            </w:pPr>
            <w:r w:rsidRPr="00F6205B">
              <w:rPr>
                <w:b/>
                <w:color w:val="FFFFFF" w:themeColor="background1"/>
                <w:sz w:val="20"/>
                <w:szCs w:val="20"/>
              </w:rPr>
              <w:t>Model Runs Including Solar Technologies</w:t>
            </w:r>
          </w:p>
        </w:tc>
      </w:tr>
      <w:tr w:rsidR="00436707" w:rsidRPr="00F6205B" w14:paraId="26DF9526" w14:textId="77777777" w:rsidTr="00943A6E">
        <w:trPr>
          <w:trHeight w:val="288"/>
          <w:jc w:val="center"/>
        </w:trPr>
        <w:tc>
          <w:tcPr>
            <w:tcW w:w="1965" w:type="dxa"/>
            <w:tcBorders>
              <w:top w:val="single" w:sz="4" w:space="0" w:color="auto"/>
              <w:left w:val="single" w:sz="4" w:space="0" w:color="auto"/>
              <w:right w:val="single" w:sz="4" w:space="0" w:color="000000" w:themeColor="text1"/>
            </w:tcBorders>
            <w:vAlign w:val="center"/>
          </w:tcPr>
          <w:p w14:paraId="6EA0680E" w14:textId="77777777" w:rsidR="00436707" w:rsidRPr="00F6205B" w:rsidRDefault="00436707" w:rsidP="0044249F">
            <w:pPr>
              <w:keepNext/>
              <w:keepLines/>
              <w:spacing w:after="0"/>
              <w:contextualSpacing/>
              <w:rPr>
                <w:sz w:val="20"/>
                <w:szCs w:val="20"/>
              </w:rPr>
            </w:pPr>
            <w:r w:rsidRPr="00F6205B">
              <w:rPr>
                <w:sz w:val="20"/>
                <w:szCs w:val="20"/>
              </w:rPr>
              <w:t>Heating</w:t>
            </w:r>
          </w:p>
        </w:tc>
        <w:tc>
          <w:tcPr>
            <w:tcW w:w="1099" w:type="dxa"/>
            <w:tcBorders>
              <w:top w:val="single" w:sz="4" w:space="0" w:color="auto"/>
              <w:right w:val="single" w:sz="4" w:space="0" w:color="000000" w:themeColor="text1"/>
            </w:tcBorders>
            <w:vAlign w:val="center"/>
          </w:tcPr>
          <w:p w14:paraId="1AC4C93D" w14:textId="77777777" w:rsidR="00436707" w:rsidRPr="00F6205B" w:rsidRDefault="00436707" w:rsidP="0044249F">
            <w:pPr>
              <w:keepNext/>
              <w:keepLines/>
              <w:tabs>
                <w:tab w:val="decimal" w:pos="358"/>
              </w:tabs>
              <w:spacing w:after="0"/>
              <w:contextualSpacing/>
              <w:jc w:val="center"/>
              <w:rPr>
                <w:sz w:val="20"/>
                <w:szCs w:val="20"/>
              </w:rPr>
            </w:pPr>
            <w:r w:rsidRPr="00F6205B">
              <w:rPr>
                <w:sz w:val="20"/>
                <w:szCs w:val="20"/>
              </w:rPr>
              <w:t>409.8</w:t>
            </w:r>
          </w:p>
        </w:tc>
        <w:tc>
          <w:tcPr>
            <w:tcW w:w="1099" w:type="dxa"/>
            <w:tcBorders>
              <w:top w:val="single" w:sz="4" w:space="0" w:color="auto"/>
              <w:right w:val="single" w:sz="4" w:space="0" w:color="000000" w:themeColor="text1"/>
            </w:tcBorders>
            <w:vAlign w:val="center"/>
          </w:tcPr>
          <w:p w14:paraId="0A68EF39" w14:textId="77777777" w:rsidR="00436707" w:rsidRPr="00F6205B" w:rsidRDefault="00436707" w:rsidP="0044249F">
            <w:pPr>
              <w:keepNext/>
              <w:keepLines/>
              <w:tabs>
                <w:tab w:val="decimal" w:pos="339"/>
              </w:tabs>
              <w:spacing w:after="0"/>
              <w:contextualSpacing/>
              <w:jc w:val="center"/>
              <w:rPr>
                <w:sz w:val="20"/>
                <w:szCs w:val="20"/>
              </w:rPr>
            </w:pPr>
            <w:r w:rsidRPr="00F6205B">
              <w:rPr>
                <w:sz w:val="20"/>
                <w:szCs w:val="20"/>
              </w:rPr>
              <w:t>243.3</w:t>
            </w:r>
          </w:p>
        </w:tc>
        <w:tc>
          <w:tcPr>
            <w:tcW w:w="1099" w:type="dxa"/>
            <w:tcBorders>
              <w:top w:val="single" w:sz="4" w:space="0" w:color="auto"/>
              <w:right w:val="single" w:sz="4" w:space="0" w:color="000000" w:themeColor="text1"/>
            </w:tcBorders>
            <w:vAlign w:val="center"/>
          </w:tcPr>
          <w:p w14:paraId="76AE0AD0" w14:textId="77777777" w:rsidR="00436707" w:rsidRPr="00F6205B" w:rsidRDefault="00436707" w:rsidP="0044249F">
            <w:pPr>
              <w:keepNext/>
              <w:keepLines/>
              <w:tabs>
                <w:tab w:val="decimal" w:pos="395"/>
              </w:tabs>
              <w:spacing w:after="0"/>
              <w:contextualSpacing/>
              <w:jc w:val="center"/>
              <w:rPr>
                <w:sz w:val="20"/>
                <w:szCs w:val="20"/>
              </w:rPr>
            </w:pPr>
            <w:r w:rsidRPr="00F6205B">
              <w:rPr>
                <w:sz w:val="20"/>
                <w:szCs w:val="20"/>
              </w:rPr>
              <w:t>18.4</w:t>
            </w:r>
          </w:p>
        </w:tc>
        <w:tc>
          <w:tcPr>
            <w:tcW w:w="1159" w:type="dxa"/>
            <w:tcBorders>
              <w:top w:val="single" w:sz="4" w:space="0" w:color="auto"/>
              <w:left w:val="single" w:sz="4" w:space="0" w:color="000000" w:themeColor="text1"/>
              <w:right w:val="single" w:sz="4" w:space="0" w:color="auto"/>
            </w:tcBorders>
            <w:vAlign w:val="center"/>
          </w:tcPr>
          <w:p w14:paraId="0DE1B4BE" w14:textId="77777777" w:rsidR="00436707" w:rsidRPr="00F6205B" w:rsidRDefault="00436707" w:rsidP="0044249F">
            <w:pPr>
              <w:keepNext/>
              <w:keepLines/>
              <w:tabs>
                <w:tab w:val="decimal" w:pos="631"/>
              </w:tabs>
              <w:spacing w:after="0"/>
              <w:contextualSpacing/>
              <w:jc w:val="center"/>
              <w:rPr>
                <w:sz w:val="20"/>
                <w:szCs w:val="20"/>
              </w:rPr>
            </w:pPr>
            <w:r w:rsidRPr="00F6205B">
              <w:rPr>
                <w:sz w:val="20"/>
                <w:szCs w:val="20"/>
              </w:rPr>
              <w:t>- 1,492.6</w:t>
            </w:r>
          </w:p>
        </w:tc>
      </w:tr>
      <w:tr w:rsidR="00436707" w:rsidRPr="00F6205B" w14:paraId="5B23821A" w14:textId="77777777" w:rsidTr="00943A6E">
        <w:trPr>
          <w:trHeight w:val="288"/>
          <w:jc w:val="center"/>
        </w:trPr>
        <w:tc>
          <w:tcPr>
            <w:tcW w:w="1965" w:type="dxa"/>
            <w:tcBorders>
              <w:left w:val="single" w:sz="4" w:space="0" w:color="auto"/>
              <w:right w:val="single" w:sz="4" w:space="0" w:color="000000" w:themeColor="text1"/>
            </w:tcBorders>
            <w:vAlign w:val="center"/>
          </w:tcPr>
          <w:p w14:paraId="6A698827" w14:textId="77777777" w:rsidR="00436707" w:rsidRPr="00F6205B" w:rsidRDefault="00436707" w:rsidP="0044249F">
            <w:pPr>
              <w:keepNext/>
              <w:keepLines/>
              <w:spacing w:after="0"/>
              <w:contextualSpacing/>
              <w:rPr>
                <w:sz w:val="20"/>
                <w:szCs w:val="20"/>
              </w:rPr>
            </w:pPr>
            <w:r w:rsidRPr="00F6205B">
              <w:rPr>
                <w:sz w:val="20"/>
                <w:szCs w:val="20"/>
              </w:rPr>
              <w:t>Cooling</w:t>
            </w:r>
          </w:p>
        </w:tc>
        <w:tc>
          <w:tcPr>
            <w:tcW w:w="1099" w:type="dxa"/>
            <w:tcBorders>
              <w:right w:val="single" w:sz="4" w:space="0" w:color="000000" w:themeColor="text1"/>
            </w:tcBorders>
            <w:vAlign w:val="center"/>
          </w:tcPr>
          <w:p w14:paraId="6D992698" w14:textId="77777777" w:rsidR="00436707" w:rsidRPr="00F6205B" w:rsidRDefault="00436707" w:rsidP="0044249F">
            <w:pPr>
              <w:keepNext/>
              <w:keepLines/>
              <w:tabs>
                <w:tab w:val="decimal" w:pos="358"/>
              </w:tabs>
              <w:spacing w:after="0"/>
              <w:contextualSpacing/>
              <w:jc w:val="center"/>
              <w:rPr>
                <w:sz w:val="20"/>
                <w:szCs w:val="20"/>
              </w:rPr>
            </w:pPr>
            <w:r w:rsidRPr="00F6205B">
              <w:rPr>
                <w:sz w:val="20"/>
                <w:szCs w:val="20"/>
              </w:rPr>
              <w:t>--</w:t>
            </w:r>
          </w:p>
        </w:tc>
        <w:tc>
          <w:tcPr>
            <w:tcW w:w="1099" w:type="dxa"/>
            <w:tcBorders>
              <w:right w:val="single" w:sz="4" w:space="0" w:color="000000" w:themeColor="text1"/>
            </w:tcBorders>
            <w:vAlign w:val="center"/>
          </w:tcPr>
          <w:p w14:paraId="276A7AAC" w14:textId="77777777" w:rsidR="00436707" w:rsidRPr="00F6205B" w:rsidRDefault="00436707" w:rsidP="0044249F">
            <w:pPr>
              <w:keepNext/>
              <w:keepLines/>
              <w:tabs>
                <w:tab w:val="decimal" w:pos="339"/>
              </w:tabs>
              <w:spacing w:after="0"/>
              <w:contextualSpacing/>
              <w:jc w:val="center"/>
              <w:rPr>
                <w:sz w:val="20"/>
                <w:szCs w:val="20"/>
              </w:rPr>
            </w:pPr>
            <w:r w:rsidRPr="00F6205B">
              <w:rPr>
                <w:sz w:val="20"/>
                <w:szCs w:val="20"/>
              </w:rPr>
              <w:t>--</w:t>
            </w:r>
          </w:p>
        </w:tc>
        <w:tc>
          <w:tcPr>
            <w:tcW w:w="1099" w:type="dxa"/>
            <w:tcBorders>
              <w:right w:val="single" w:sz="4" w:space="0" w:color="000000" w:themeColor="text1"/>
            </w:tcBorders>
            <w:vAlign w:val="center"/>
          </w:tcPr>
          <w:p w14:paraId="3AF0F03A" w14:textId="77777777" w:rsidR="00436707" w:rsidRPr="00F6205B" w:rsidRDefault="00436707" w:rsidP="0044249F">
            <w:pPr>
              <w:keepNext/>
              <w:keepLines/>
              <w:tabs>
                <w:tab w:val="decimal" w:pos="395"/>
              </w:tabs>
              <w:spacing w:after="0"/>
              <w:contextualSpacing/>
              <w:jc w:val="center"/>
              <w:rPr>
                <w:sz w:val="20"/>
                <w:szCs w:val="20"/>
              </w:rPr>
            </w:pPr>
            <w:r w:rsidRPr="00F6205B">
              <w:rPr>
                <w:sz w:val="20"/>
                <w:szCs w:val="20"/>
              </w:rPr>
              <w:t>--</w:t>
            </w:r>
          </w:p>
        </w:tc>
        <w:tc>
          <w:tcPr>
            <w:tcW w:w="1159" w:type="dxa"/>
            <w:tcBorders>
              <w:left w:val="single" w:sz="4" w:space="0" w:color="000000" w:themeColor="text1"/>
              <w:right w:val="single" w:sz="4" w:space="0" w:color="auto"/>
            </w:tcBorders>
            <w:vAlign w:val="center"/>
          </w:tcPr>
          <w:p w14:paraId="483CAF72" w14:textId="77777777" w:rsidR="00436707" w:rsidRPr="00F6205B" w:rsidRDefault="00436707" w:rsidP="0044249F">
            <w:pPr>
              <w:keepNext/>
              <w:keepLines/>
              <w:tabs>
                <w:tab w:val="decimal" w:pos="631"/>
              </w:tabs>
              <w:spacing w:after="0"/>
              <w:contextualSpacing/>
              <w:jc w:val="center"/>
              <w:rPr>
                <w:sz w:val="20"/>
                <w:szCs w:val="20"/>
              </w:rPr>
            </w:pPr>
            <w:r w:rsidRPr="00F6205B">
              <w:rPr>
                <w:sz w:val="20"/>
                <w:szCs w:val="20"/>
              </w:rPr>
              <w:t>849.3</w:t>
            </w:r>
          </w:p>
        </w:tc>
      </w:tr>
      <w:tr w:rsidR="00436707" w:rsidRPr="00F6205B" w14:paraId="7107607C" w14:textId="77777777" w:rsidTr="00943A6E">
        <w:trPr>
          <w:trHeight w:val="288"/>
          <w:jc w:val="center"/>
        </w:trPr>
        <w:tc>
          <w:tcPr>
            <w:tcW w:w="1965" w:type="dxa"/>
            <w:tcBorders>
              <w:left w:val="single" w:sz="4" w:space="0" w:color="auto"/>
              <w:right w:val="single" w:sz="4" w:space="0" w:color="000000" w:themeColor="text1"/>
            </w:tcBorders>
            <w:vAlign w:val="center"/>
          </w:tcPr>
          <w:p w14:paraId="7C43098A" w14:textId="77777777" w:rsidR="00436707" w:rsidRPr="00F6205B" w:rsidRDefault="00436707" w:rsidP="0044249F">
            <w:pPr>
              <w:keepNext/>
              <w:keepLines/>
              <w:spacing w:after="0"/>
              <w:contextualSpacing/>
              <w:rPr>
                <w:sz w:val="20"/>
                <w:szCs w:val="20"/>
              </w:rPr>
            </w:pPr>
            <w:r w:rsidRPr="00F6205B">
              <w:rPr>
                <w:sz w:val="20"/>
                <w:szCs w:val="20"/>
              </w:rPr>
              <w:t>Water heating</w:t>
            </w:r>
          </w:p>
        </w:tc>
        <w:tc>
          <w:tcPr>
            <w:tcW w:w="1099" w:type="dxa"/>
            <w:tcBorders>
              <w:right w:val="single" w:sz="4" w:space="0" w:color="000000" w:themeColor="text1"/>
            </w:tcBorders>
            <w:vAlign w:val="center"/>
          </w:tcPr>
          <w:p w14:paraId="32D1FB21" w14:textId="77777777" w:rsidR="00436707" w:rsidRPr="00F6205B" w:rsidRDefault="00436707" w:rsidP="0044249F">
            <w:pPr>
              <w:keepNext/>
              <w:keepLines/>
              <w:tabs>
                <w:tab w:val="decimal" w:pos="358"/>
              </w:tabs>
              <w:spacing w:after="0"/>
              <w:contextualSpacing/>
              <w:jc w:val="center"/>
              <w:rPr>
                <w:sz w:val="20"/>
                <w:szCs w:val="20"/>
              </w:rPr>
            </w:pPr>
            <w:r w:rsidRPr="00F6205B">
              <w:rPr>
                <w:sz w:val="20"/>
                <w:szCs w:val="20"/>
              </w:rPr>
              <w:t>38.4</w:t>
            </w:r>
          </w:p>
        </w:tc>
        <w:tc>
          <w:tcPr>
            <w:tcW w:w="1099" w:type="dxa"/>
            <w:tcBorders>
              <w:right w:val="single" w:sz="4" w:space="0" w:color="000000" w:themeColor="text1"/>
            </w:tcBorders>
            <w:vAlign w:val="center"/>
          </w:tcPr>
          <w:p w14:paraId="3C9BEE8A" w14:textId="77777777" w:rsidR="00436707" w:rsidRPr="00F6205B" w:rsidRDefault="00436707" w:rsidP="0044249F">
            <w:pPr>
              <w:keepNext/>
              <w:keepLines/>
              <w:tabs>
                <w:tab w:val="decimal" w:pos="339"/>
              </w:tabs>
              <w:spacing w:after="0"/>
              <w:contextualSpacing/>
              <w:jc w:val="center"/>
              <w:rPr>
                <w:sz w:val="20"/>
                <w:szCs w:val="20"/>
              </w:rPr>
            </w:pPr>
            <w:r w:rsidRPr="00F6205B">
              <w:rPr>
                <w:sz w:val="20"/>
                <w:szCs w:val="20"/>
              </w:rPr>
              <w:t>21.1</w:t>
            </w:r>
          </w:p>
        </w:tc>
        <w:tc>
          <w:tcPr>
            <w:tcW w:w="1099" w:type="dxa"/>
            <w:tcBorders>
              <w:right w:val="single" w:sz="4" w:space="0" w:color="000000" w:themeColor="text1"/>
            </w:tcBorders>
            <w:vAlign w:val="center"/>
          </w:tcPr>
          <w:p w14:paraId="451AFDE6" w14:textId="77777777" w:rsidR="00436707" w:rsidRPr="00F6205B" w:rsidRDefault="00436707" w:rsidP="0044249F">
            <w:pPr>
              <w:keepNext/>
              <w:keepLines/>
              <w:tabs>
                <w:tab w:val="decimal" w:pos="395"/>
              </w:tabs>
              <w:spacing w:after="0"/>
              <w:contextualSpacing/>
              <w:jc w:val="center"/>
              <w:rPr>
                <w:sz w:val="20"/>
                <w:szCs w:val="20"/>
              </w:rPr>
            </w:pPr>
            <w:r w:rsidRPr="00F6205B">
              <w:rPr>
                <w:sz w:val="20"/>
                <w:szCs w:val="20"/>
              </w:rPr>
              <w:t>4.6</w:t>
            </w:r>
          </w:p>
        </w:tc>
        <w:tc>
          <w:tcPr>
            <w:tcW w:w="1159" w:type="dxa"/>
            <w:tcBorders>
              <w:left w:val="single" w:sz="4" w:space="0" w:color="000000" w:themeColor="text1"/>
              <w:right w:val="single" w:sz="4" w:space="0" w:color="auto"/>
            </w:tcBorders>
            <w:vAlign w:val="center"/>
          </w:tcPr>
          <w:p w14:paraId="378B2B42" w14:textId="77777777" w:rsidR="00436707" w:rsidRPr="00F6205B" w:rsidRDefault="00436707" w:rsidP="0044249F">
            <w:pPr>
              <w:keepNext/>
              <w:keepLines/>
              <w:tabs>
                <w:tab w:val="decimal" w:pos="631"/>
              </w:tabs>
              <w:spacing w:after="0"/>
              <w:contextualSpacing/>
              <w:jc w:val="center"/>
              <w:rPr>
                <w:sz w:val="20"/>
                <w:szCs w:val="20"/>
              </w:rPr>
            </w:pPr>
            <w:r w:rsidRPr="00F6205B">
              <w:rPr>
                <w:sz w:val="20"/>
                <w:szCs w:val="20"/>
              </w:rPr>
              <w:t>646.3</w:t>
            </w:r>
          </w:p>
        </w:tc>
      </w:tr>
      <w:tr w:rsidR="00436707" w:rsidRPr="00F6205B" w14:paraId="67B05B5F" w14:textId="77777777" w:rsidTr="00943A6E">
        <w:trPr>
          <w:trHeight w:val="288"/>
          <w:jc w:val="center"/>
        </w:trPr>
        <w:tc>
          <w:tcPr>
            <w:tcW w:w="1965" w:type="dxa"/>
            <w:tcBorders>
              <w:left w:val="single" w:sz="4" w:space="0" w:color="auto"/>
              <w:right w:val="single" w:sz="4" w:space="0" w:color="000000" w:themeColor="text1"/>
            </w:tcBorders>
            <w:vAlign w:val="center"/>
          </w:tcPr>
          <w:p w14:paraId="430D6943" w14:textId="77777777" w:rsidR="00436707" w:rsidRPr="00F6205B" w:rsidRDefault="00436707" w:rsidP="0044249F">
            <w:pPr>
              <w:keepNext/>
              <w:keepLines/>
              <w:spacing w:after="0"/>
              <w:contextualSpacing/>
              <w:rPr>
                <w:sz w:val="20"/>
                <w:szCs w:val="20"/>
              </w:rPr>
            </w:pPr>
            <w:r w:rsidRPr="00F6205B">
              <w:rPr>
                <w:sz w:val="20"/>
                <w:szCs w:val="20"/>
              </w:rPr>
              <w:t>Lights &amp; appliances</w:t>
            </w:r>
          </w:p>
        </w:tc>
        <w:tc>
          <w:tcPr>
            <w:tcW w:w="1099" w:type="dxa"/>
            <w:tcBorders>
              <w:right w:val="single" w:sz="4" w:space="0" w:color="000000" w:themeColor="text1"/>
            </w:tcBorders>
            <w:vAlign w:val="center"/>
          </w:tcPr>
          <w:p w14:paraId="748BFEB0" w14:textId="77777777" w:rsidR="00436707" w:rsidRPr="00F6205B" w:rsidRDefault="00436707" w:rsidP="0044249F">
            <w:pPr>
              <w:keepNext/>
              <w:keepLines/>
              <w:tabs>
                <w:tab w:val="decimal" w:pos="358"/>
              </w:tabs>
              <w:spacing w:after="0"/>
              <w:contextualSpacing/>
              <w:jc w:val="center"/>
              <w:rPr>
                <w:sz w:val="20"/>
                <w:szCs w:val="20"/>
              </w:rPr>
            </w:pPr>
            <w:r w:rsidRPr="00F6205B">
              <w:rPr>
                <w:sz w:val="20"/>
                <w:szCs w:val="20"/>
              </w:rPr>
              <w:t>--</w:t>
            </w:r>
          </w:p>
        </w:tc>
        <w:tc>
          <w:tcPr>
            <w:tcW w:w="1099" w:type="dxa"/>
            <w:tcBorders>
              <w:right w:val="single" w:sz="4" w:space="0" w:color="000000" w:themeColor="text1"/>
            </w:tcBorders>
            <w:vAlign w:val="center"/>
          </w:tcPr>
          <w:p w14:paraId="39B68D7D" w14:textId="77777777" w:rsidR="00436707" w:rsidRPr="00F6205B" w:rsidRDefault="00436707" w:rsidP="0044249F">
            <w:pPr>
              <w:keepNext/>
              <w:keepLines/>
              <w:tabs>
                <w:tab w:val="decimal" w:pos="339"/>
              </w:tabs>
              <w:spacing w:after="0"/>
              <w:contextualSpacing/>
              <w:jc w:val="center"/>
              <w:rPr>
                <w:sz w:val="20"/>
                <w:szCs w:val="20"/>
              </w:rPr>
            </w:pPr>
            <w:r w:rsidRPr="00F6205B">
              <w:rPr>
                <w:sz w:val="20"/>
                <w:szCs w:val="20"/>
              </w:rPr>
              <w:t>--</w:t>
            </w:r>
          </w:p>
        </w:tc>
        <w:tc>
          <w:tcPr>
            <w:tcW w:w="1099" w:type="dxa"/>
            <w:tcBorders>
              <w:right w:val="single" w:sz="4" w:space="0" w:color="000000" w:themeColor="text1"/>
            </w:tcBorders>
            <w:vAlign w:val="center"/>
          </w:tcPr>
          <w:p w14:paraId="2B5ECF73" w14:textId="77777777" w:rsidR="00436707" w:rsidRPr="00F6205B" w:rsidRDefault="00436707" w:rsidP="0044249F">
            <w:pPr>
              <w:keepNext/>
              <w:keepLines/>
              <w:tabs>
                <w:tab w:val="decimal" w:pos="395"/>
              </w:tabs>
              <w:spacing w:after="0"/>
              <w:contextualSpacing/>
              <w:jc w:val="center"/>
              <w:rPr>
                <w:sz w:val="20"/>
                <w:szCs w:val="20"/>
              </w:rPr>
            </w:pPr>
            <w:r w:rsidRPr="00F6205B">
              <w:rPr>
                <w:sz w:val="20"/>
                <w:szCs w:val="20"/>
              </w:rPr>
              <w:t>--</w:t>
            </w:r>
          </w:p>
        </w:tc>
        <w:tc>
          <w:tcPr>
            <w:tcW w:w="1159" w:type="dxa"/>
            <w:tcBorders>
              <w:left w:val="single" w:sz="4" w:space="0" w:color="000000" w:themeColor="text1"/>
              <w:right w:val="single" w:sz="4" w:space="0" w:color="auto"/>
            </w:tcBorders>
            <w:vAlign w:val="center"/>
          </w:tcPr>
          <w:p w14:paraId="6F493CDA" w14:textId="77777777" w:rsidR="00436707" w:rsidRPr="00F6205B" w:rsidRDefault="00436707" w:rsidP="0044249F">
            <w:pPr>
              <w:keepNext/>
              <w:keepLines/>
              <w:tabs>
                <w:tab w:val="decimal" w:pos="631"/>
              </w:tabs>
              <w:spacing w:after="0"/>
              <w:contextualSpacing/>
              <w:jc w:val="center"/>
              <w:rPr>
                <w:sz w:val="20"/>
                <w:szCs w:val="20"/>
              </w:rPr>
            </w:pPr>
            <w:r w:rsidRPr="00F6205B">
              <w:rPr>
                <w:sz w:val="20"/>
                <w:szCs w:val="20"/>
              </w:rPr>
              <w:t>2,439.3</w:t>
            </w:r>
          </w:p>
        </w:tc>
      </w:tr>
      <w:tr w:rsidR="00436707" w:rsidRPr="00F6205B" w14:paraId="636B843C" w14:textId="77777777" w:rsidTr="00943A6E">
        <w:trPr>
          <w:trHeight w:val="288"/>
          <w:jc w:val="center"/>
        </w:trPr>
        <w:tc>
          <w:tcPr>
            <w:tcW w:w="1965" w:type="dxa"/>
            <w:tcBorders>
              <w:left w:val="single" w:sz="4" w:space="0" w:color="auto"/>
              <w:right w:val="single" w:sz="4" w:space="0" w:color="000000" w:themeColor="text1"/>
            </w:tcBorders>
            <w:vAlign w:val="center"/>
          </w:tcPr>
          <w:p w14:paraId="73AE462B" w14:textId="77777777" w:rsidR="00436707" w:rsidRPr="00F6205B" w:rsidRDefault="00436707" w:rsidP="0044249F">
            <w:pPr>
              <w:keepNext/>
              <w:keepLines/>
              <w:spacing w:after="0"/>
              <w:contextualSpacing/>
              <w:rPr>
                <w:sz w:val="20"/>
                <w:szCs w:val="20"/>
              </w:rPr>
            </w:pPr>
            <w:r w:rsidRPr="00F6205B">
              <w:rPr>
                <w:sz w:val="20"/>
                <w:szCs w:val="20"/>
              </w:rPr>
              <w:t>Photovoltaics</w:t>
            </w:r>
          </w:p>
        </w:tc>
        <w:tc>
          <w:tcPr>
            <w:tcW w:w="1099" w:type="dxa"/>
            <w:tcBorders>
              <w:right w:val="single" w:sz="4" w:space="0" w:color="000000" w:themeColor="text1"/>
            </w:tcBorders>
            <w:vAlign w:val="center"/>
          </w:tcPr>
          <w:p w14:paraId="7FC6C6B8" w14:textId="77777777" w:rsidR="00436707" w:rsidRPr="00F6205B" w:rsidRDefault="00436707" w:rsidP="0044249F">
            <w:pPr>
              <w:keepNext/>
              <w:keepLines/>
              <w:tabs>
                <w:tab w:val="decimal" w:pos="358"/>
              </w:tabs>
              <w:spacing w:after="0"/>
              <w:contextualSpacing/>
              <w:jc w:val="center"/>
              <w:rPr>
                <w:sz w:val="20"/>
                <w:szCs w:val="20"/>
              </w:rPr>
            </w:pPr>
            <w:r w:rsidRPr="00F6205B">
              <w:rPr>
                <w:sz w:val="20"/>
                <w:szCs w:val="20"/>
              </w:rPr>
              <w:t>--</w:t>
            </w:r>
          </w:p>
        </w:tc>
        <w:tc>
          <w:tcPr>
            <w:tcW w:w="1099" w:type="dxa"/>
            <w:tcBorders>
              <w:right w:val="single" w:sz="4" w:space="0" w:color="000000" w:themeColor="text1"/>
            </w:tcBorders>
            <w:vAlign w:val="center"/>
          </w:tcPr>
          <w:p w14:paraId="07C27EA7" w14:textId="77777777" w:rsidR="00436707" w:rsidRPr="00F6205B" w:rsidRDefault="00436707" w:rsidP="0044249F">
            <w:pPr>
              <w:keepNext/>
              <w:keepLines/>
              <w:tabs>
                <w:tab w:val="decimal" w:pos="339"/>
              </w:tabs>
              <w:spacing w:after="0"/>
              <w:contextualSpacing/>
              <w:jc w:val="center"/>
              <w:rPr>
                <w:sz w:val="20"/>
                <w:szCs w:val="20"/>
              </w:rPr>
            </w:pPr>
            <w:r w:rsidRPr="00F6205B">
              <w:rPr>
                <w:sz w:val="20"/>
                <w:szCs w:val="20"/>
              </w:rPr>
              <w:t>--</w:t>
            </w:r>
          </w:p>
        </w:tc>
        <w:tc>
          <w:tcPr>
            <w:tcW w:w="1099" w:type="dxa"/>
            <w:tcBorders>
              <w:right w:val="single" w:sz="4" w:space="0" w:color="000000" w:themeColor="text1"/>
            </w:tcBorders>
            <w:vAlign w:val="center"/>
          </w:tcPr>
          <w:p w14:paraId="4B817F3F" w14:textId="77777777" w:rsidR="00436707" w:rsidRPr="00F6205B" w:rsidRDefault="00436707" w:rsidP="0044249F">
            <w:pPr>
              <w:keepNext/>
              <w:keepLines/>
              <w:tabs>
                <w:tab w:val="decimal" w:pos="395"/>
              </w:tabs>
              <w:spacing w:after="0"/>
              <w:contextualSpacing/>
              <w:jc w:val="center"/>
              <w:rPr>
                <w:sz w:val="20"/>
                <w:szCs w:val="20"/>
              </w:rPr>
            </w:pPr>
            <w:r w:rsidRPr="00F6205B">
              <w:rPr>
                <w:sz w:val="20"/>
                <w:szCs w:val="20"/>
              </w:rPr>
              <w:t>--</w:t>
            </w:r>
          </w:p>
        </w:tc>
        <w:tc>
          <w:tcPr>
            <w:tcW w:w="1159" w:type="dxa"/>
            <w:tcBorders>
              <w:left w:val="single" w:sz="4" w:space="0" w:color="000000" w:themeColor="text1"/>
              <w:right w:val="single" w:sz="4" w:space="0" w:color="auto"/>
            </w:tcBorders>
            <w:vAlign w:val="center"/>
          </w:tcPr>
          <w:p w14:paraId="41FB5EAA" w14:textId="77777777" w:rsidR="00436707" w:rsidRPr="00F6205B" w:rsidRDefault="00436707" w:rsidP="0044249F">
            <w:pPr>
              <w:keepNext/>
              <w:keepLines/>
              <w:tabs>
                <w:tab w:val="decimal" w:pos="631"/>
              </w:tabs>
              <w:spacing w:after="0"/>
              <w:contextualSpacing/>
              <w:jc w:val="center"/>
              <w:rPr>
                <w:sz w:val="20"/>
                <w:szCs w:val="20"/>
              </w:rPr>
            </w:pPr>
            <w:r w:rsidRPr="00F6205B">
              <w:rPr>
                <w:sz w:val="20"/>
                <w:szCs w:val="20"/>
              </w:rPr>
              <w:t>4,632.9</w:t>
            </w:r>
          </w:p>
        </w:tc>
      </w:tr>
      <w:tr w:rsidR="00436707" w:rsidRPr="00F6205B" w14:paraId="1220ADFE" w14:textId="77777777" w:rsidTr="00943A6E">
        <w:trPr>
          <w:trHeight w:val="288"/>
          <w:jc w:val="center"/>
        </w:trPr>
        <w:tc>
          <w:tcPr>
            <w:tcW w:w="1965" w:type="dxa"/>
            <w:tcBorders>
              <w:left w:val="single" w:sz="4" w:space="0" w:color="auto"/>
              <w:bottom w:val="single" w:sz="4" w:space="0" w:color="auto"/>
              <w:right w:val="single" w:sz="4" w:space="0" w:color="000000" w:themeColor="text1"/>
            </w:tcBorders>
            <w:vAlign w:val="center"/>
          </w:tcPr>
          <w:p w14:paraId="2EBCE1E4" w14:textId="77777777" w:rsidR="00436707" w:rsidRPr="00F6205B" w:rsidRDefault="00436707" w:rsidP="0044249F">
            <w:pPr>
              <w:keepNext/>
              <w:keepLines/>
              <w:spacing w:after="0"/>
              <w:contextualSpacing/>
              <w:rPr>
                <w:i/>
                <w:sz w:val="20"/>
                <w:szCs w:val="20"/>
              </w:rPr>
            </w:pPr>
            <w:r w:rsidRPr="00F6205B">
              <w:rPr>
                <w:i/>
                <w:sz w:val="20"/>
                <w:szCs w:val="20"/>
              </w:rPr>
              <w:t>Total</w:t>
            </w:r>
          </w:p>
        </w:tc>
        <w:tc>
          <w:tcPr>
            <w:tcW w:w="1099" w:type="dxa"/>
            <w:tcBorders>
              <w:bottom w:val="single" w:sz="4" w:space="0" w:color="auto"/>
              <w:right w:val="single" w:sz="4" w:space="0" w:color="000000" w:themeColor="text1"/>
            </w:tcBorders>
            <w:vAlign w:val="center"/>
          </w:tcPr>
          <w:p w14:paraId="1F32B77B" w14:textId="77777777" w:rsidR="00436707" w:rsidRPr="00F6205B" w:rsidRDefault="00436707" w:rsidP="0044249F">
            <w:pPr>
              <w:keepNext/>
              <w:keepLines/>
              <w:tabs>
                <w:tab w:val="decimal" w:pos="358"/>
              </w:tabs>
              <w:spacing w:after="0"/>
              <w:contextualSpacing/>
              <w:jc w:val="center"/>
              <w:rPr>
                <w:sz w:val="20"/>
                <w:szCs w:val="20"/>
              </w:rPr>
            </w:pPr>
            <w:r w:rsidRPr="00F6205B">
              <w:rPr>
                <w:i/>
                <w:sz w:val="20"/>
                <w:szCs w:val="20"/>
              </w:rPr>
              <w:t>448.2</w:t>
            </w:r>
          </w:p>
        </w:tc>
        <w:tc>
          <w:tcPr>
            <w:tcW w:w="1099" w:type="dxa"/>
            <w:tcBorders>
              <w:bottom w:val="single" w:sz="4" w:space="0" w:color="auto"/>
              <w:right w:val="single" w:sz="4" w:space="0" w:color="000000" w:themeColor="text1"/>
            </w:tcBorders>
            <w:vAlign w:val="center"/>
          </w:tcPr>
          <w:p w14:paraId="77B5A061" w14:textId="77777777" w:rsidR="00436707" w:rsidRPr="00F6205B" w:rsidRDefault="00436707" w:rsidP="0044249F">
            <w:pPr>
              <w:keepNext/>
              <w:keepLines/>
              <w:tabs>
                <w:tab w:val="decimal" w:pos="339"/>
              </w:tabs>
              <w:spacing w:after="0"/>
              <w:contextualSpacing/>
              <w:jc w:val="center"/>
              <w:rPr>
                <w:sz w:val="20"/>
                <w:szCs w:val="20"/>
              </w:rPr>
            </w:pPr>
            <w:r w:rsidRPr="00F6205B">
              <w:rPr>
                <w:i/>
                <w:sz w:val="20"/>
                <w:szCs w:val="20"/>
              </w:rPr>
              <w:t>264.4</w:t>
            </w:r>
          </w:p>
        </w:tc>
        <w:tc>
          <w:tcPr>
            <w:tcW w:w="1099" w:type="dxa"/>
            <w:tcBorders>
              <w:bottom w:val="single" w:sz="4" w:space="0" w:color="auto"/>
              <w:right w:val="single" w:sz="4" w:space="0" w:color="000000" w:themeColor="text1"/>
            </w:tcBorders>
            <w:vAlign w:val="center"/>
          </w:tcPr>
          <w:p w14:paraId="0DD69A02" w14:textId="77777777" w:rsidR="00436707" w:rsidRPr="00F6205B" w:rsidRDefault="00436707" w:rsidP="0044249F">
            <w:pPr>
              <w:keepNext/>
              <w:keepLines/>
              <w:tabs>
                <w:tab w:val="decimal" w:pos="395"/>
              </w:tabs>
              <w:spacing w:after="0"/>
              <w:contextualSpacing/>
              <w:jc w:val="center"/>
              <w:rPr>
                <w:sz w:val="20"/>
                <w:szCs w:val="20"/>
              </w:rPr>
            </w:pPr>
            <w:r w:rsidRPr="00F6205B">
              <w:rPr>
                <w:i/>
                <w:sz w:val="20"/>
                <w:szCs w:val="20"/>
              </w:rPr>
              <w:t>23.0</w:t>
            </w:r>
          </w:p>
        </w:tc>
        <w:tc>
          <w:tcPr>
            <w:tcW w:w="1159" w:type="dxa"/>
            <w:tcBorders>
              <w:left w:val="single" w:sz="4" w:space="0" w:color="000000" w:themeColor="text1"/>
              <w:bottom w:val="single" w:sz="4" w:space="0" w:color="auto"/>
              <w:right w:val="single" w:sz="4" w:space="0" w:color="auto"/>
            </w:tcBorders>
            <w:vAlign w:val="center"/>
          </w:tcPr>
          <w:p w14:paraId="7CDF006F" w14:textId="77777777" w:rsidR="00436707" w:rsidRPr="00F6205B" w:rsidRDefault="00436707" w:rsidP="0044249F">
            <w:pPr>
              <w:keepNext/>
              <w:keepLines/>
              <w:tabs>
                <w:tab w:val="decimal" w:pos="631"/>
              </w:tabs>
              <w:spacing w:after="0"/>
              <w:contextualSpacing/>
              <w:jc w:val="center"/>
              <w:rPr>
                <w:sz w:val="20"/>
                <w:szCs w:val="20"/>
              </w:rPr>
            </w:pPr>
            <w:r w:rsidRPr="00F6205B">
              <w:rPr>
                <w:i/>
                <w:sz w:val="20"/>
                <w:szCs w:val="20"/>
              </w:rPr>
              <w:t>7,075.2</w:t>
            </w:r>
          </w:p>
        </w:tc>
      </w:tr>
      <w:tr w:rsidR="00943A6E" w:rsidRPr="00F6205B" w14:paraId="77401D23" w14:textId="77777777" w:rsidTr="00943A6E">
        <w:trPr>
          <w:trHeight w:val="288"/>
          <w:jc w:val="center"/>
        </w:trPr>
        <w:tc>
          <w:tcPr>
            <w:tcW w:w="6421" w:type="dxa"/>
            <w:gridSpan w:val="5"/>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0ABFB2EE" w14:textId="77777777" w:rsidR="00436707" w:rsidRPr="00F6205B" w:rsidRDefault="00436707" w:rsidP="0044249F">
            <w:pPr>
              <w:keepNext/>
              <w:keepLines/>
              <w:spacing w:after="0"/>
              <w:contextualSpacing/>
              <w:jc w:val="center"/>
              <w:rPr>
                <w:b/>
                <w:color w:val="FFFFFF" w:themeColor="background1"/>
                <w:sz w:val="20"/>
                <w:szCs w:val="20"/>
              </w:rPr>
            </w:pPr>
            <w:r w:rsidRPr="00F6205B">
              <w:rPr>
                <w:b/>
                <w:color w:val="FFFFFF" w:themeColor="background1"/>
                <w:sz w:val="20"/>
                <w:szCs w:val="20"/>
              </w:rPr>
              <w:t xml:space="preserve">Model Runs Excluding Solar Technologies </w:t>
            </w:r>
          </w:p>
        </w:tc>
      </w:tr>
      <w:tr w:rsidR="00436707" w:rsidRPr="00F6205B" w14:paraId="5114620A" w14:textId="77777777" w:rsidTr="00943A6E">
        <w:trPr>
          <w:trHeight w:val="288"/>
          <w:jc w:val="center"/>
        </w:trPr>
        <w:tc>
          <w:tcPr>
            <w:tcW w:w="1965" w:type="dxa"/>
            <w:tcBorders>
              <w:top w:val="single" w:sz="4" w:space="0" w:color="auto"/>
              <w:left w:val="single" w:sz="4" w:space="0" w:color="auto"/>
              <w:right w:val="single" w:sz="4" w:space="0" w:color="000000" w:themeColor="text1"/>
            </w:tcBorders>
            <w:vAlign w:val="center"/>
          </w:tcPr>
          <w:p w14:paraId="71AACF42" w14:textId="77777777" w:rsidR="00436707" w:rsidRPr="00F6205B" w:rsidRDefault="00436707" w:rsidP="0044249F">
            <w:pPr>
              <w:keepNext/>
              <w:keepLines/>
              <w:spacing w:after="0"/>
              <w:contextualSpacing/>
              <w:rPr>
                <w:sz w:val="20"/>
                <w:szCs w:val="20"/>
              </w:rPr>
            </w:pPr>
            <w:r w:rsidRPr="00F6205B">
              <w:rPr>
                <w:sz w:val="20"/>
                <w:szCs w:val="20"/>
              </w:rPr>
              <w:t>Heating</w:t>
            </w:r>
          </w:p>
        </w:tc>
        <w:tc>
          <w:tcPr>
            <w:tcW w:w="1099" w:type="dxa"/>
            <w:tcBorders>
              <w:top w:val="single" w:sz="4" w:space="0" w:color="auto"/>
              <w:right w:val="single" w:sz="4" w:space="0" w:color="000000" w:themeColor="text1"/>
            </w:tcBorders>
            <w:vAlign w:val="center"/>
          </w:tcPr>
          <w:p w14:paraId="40DE0772" w14:textId="77777777" w:rsidR="00436707" w:rsidRPr="00F6205B" w:rsidRDefault="00436707" w:rsidP="0044249F">
            <w:pPr>
              <w:keepNext/>
              <w:keepLines/>
              <w:tabs>
                <w:tab w:val="decimal" w:pos="403"/>
              </w:tabs>
              <w:spacing w:after="0"/>
              <w:contextualSpacing/>
              <w:jc w:val="center"/>
              <w:rPr>
                <w:sz w:val="20"/>
                <w:szCs w:val="20"/>
              </w:rPr>
            </w:pPr>
            <w:r w:rsidRPr="00F6205B">
              <w:rPr>
                <w:sz w:val="20"/>
                <w:szCs w:val="20"/>
              </w:rPr>
              <w:t>409.8</w:t>
            </w:r>
          </w:p>
        </w:tc>
        <w:tc>
          <w:tcPr>
            <w:tcW w:w="1099" w:type="dxa"/>
            <w:tcBorders>
              <w:top w:val="single" w:sz="4" w:space="0" w:color="auto"/>
              <w:right w:val="single" w:sz="4" w:space="0" w:color="000000" w:themeColor="text1"/>
            </w:tcBorders>
            <w:vAlign w:val="center"/>
          </w:tcPr>
          <w:p w14:paraId="20D06C9E" w14:textId="77777777" w:rsidR="00436707" w:rsidRPr="00F6205B" w:rsidRDefault="00436707" w:rsidP="0044249F">
            <w:pPr>
              <w:keepNext/>
              <w:keepLines/>
              <w:tabs>
                <w:tab w:val="decimal" w:pos="339"/>
              </w:tabs>
              <w:spacing w:after="0"/>
              <w:contextualSpacing/>
              <w:jc w:val="center"/>
              <w:rPr>
                <w:sz w:val="20"/>
                <w:szCs w:val="20"/>
              </w:rPr>
            </w:pPr>
            <w:r w:rsidRPr="00F6205B">
              <w:rPr>
                <w:sz w:val="20"/>
                <w:szCs w:val="20"/>
              </w:rPr>
              <w:t>243.3</w:t>
            </w:r>
          </w:p>
        </w:tc>
        <w:tc>
          <w:tcPr>
            <w:tcW w:w="1099" w:type="dxa"/>
            <w:tcBorders>
              <w:top w:val="single" w:sz="4" w:space="0" w:color="auto"/>
              <w:right w:val="single" w:sz="4" w:space="0" w:color="000000" w:themeColor="text1"/>
            </w:tcBorders>
            <w:vAlign w:val="center"/>
          </w:tcPr>
          <w:p w14:paraId="76E3B8D2" w14:textId="77777777" w:rsidR="00436707" w:rsidRPr="00F6205B" w:rsidRDefault="00436707" w:rsidP="0044249F">
            <w:pPr>
              <w:keepNext/>
              <w:keepLines/>
              <w:tabs>
                <w:tab w:val="decimal" w:pos="395"/>
              </w:tabs>
              <w:spacing w:after="0"/>
              <w:contextualSpacing/>
              <w:jc w:val="center"/>
              <w:rPr>
                <w:sz w:val="20"/>
                <w:szCs w:val="20"/>
              </w:rPr>
            </w:pPr>
            <w:r w:rsidRPr="00F6205B">
              <w:rPr>
                <w:sz w:val="20"/>
                <w:szCs w:val="20"/>
              </w:rPr>
              <w:t>18.4</w:t>
            </w:r>
          </w:p>
        </w:tc>
        <w:tc>
          <w:tcPr>
            <w:tcW w:w="1159" w:type="dxa"/>
            <w:tcBorders>
              <w:top w:val="single" w:sz="4" w:space="0" w:color="auto"/>
              <w:left w:val="single" w:sz="4" w:space="0" w:color="000000" w:themeColor="text1"/>
              <w:right w:val="single" w:sz="4" w:space="0" w:color="auto"/>
            </w:tcBorders>
            <w:vAlign w:val="center"/>
          </w:tcPr>
          <w:p w14:paraId="19363ED0" w14:textId="77777777" w:rsidR="00436707" w:rsidRPr="00F6205B" w:rsidRDefault="00436707" w:rsidP="0044249F">
            <w:pPr>
              <w:keepNext/>
              <w:keepLines/>
              <w:tabs>
                <w:tab w:val="decimal" w:pos="631"/>
              </w:tabs>
              <w:spacing w:after="0"/>
              <w:contextualSpacing/>
              <w:jc w:val="center"/>
              <w:rPr>
                <w:sz w:val="20"/>
                <w:szCs w:val="20"/>
              </w:rPr>
            </w:pPr>
            <w:r w:rsidRPr="00F6205B">
              <w:rPr>
                <w:sz w:val="20"/>
                <w:szCs w:val="20"/>
              </w:rPr>
              <w:t>- 1,495.7</w:t>
            </w:r>
          </w:p>
        </w:tc>
      </w:tr>
      <w:tr w:rsidR="00436707" w:rsidRPr="00F6205B" w14:paraId="63DD000B" w14:textId="77777777" w:rsidTr="00943A6E">
        <w:trPr>
          <w:trHeight w:val="288"/>
          <w:jc w:val="center"/>
        </w:trPr>
        <w:tc>
          <w:tcPr>
            <w:tcW w:w="1965" w:type="dxa"/>
            <w:tcBorders>
              <w:left w:val="single" w:sz="4" w:space="0" w:color="auto"/>
              <w:right w:val="single" w:sz="4" w:space="0" w:color="000000" w:themeColor="text1"/>
            </w:tcBorders>
            <w:vAlign w:val="center"/>
          </w:tcPr>
          <w:p w14:paraId="1602077B" w14:textId="77777777" w:rsidR="00436707" w:rsidRPr="00F6205B" w:rsidRDefault="00436707" w:rsidP="0044249F">
            <w:pPr>
              <w:keepNext/>
              <w:keepLines/>
              <w:spacing w:after="0"/>
              <w:contextualSpacing/>
              <w:rPr>
                <w:sz w:val="20"/>
                <w:szCs w:val="20"/>
              </w:rPr>
            </w:pPr>
            <w:r w:rsidRPr="00F6205B">
              <w:rPr>
                <w:sz w:val="20"/>
                <w:szCs w:val="20"/>
              </w:rPr>
              <w:t>Cooling</w:t>
            </w:r>
          </w:p>
        </w:tc>
        <w:tc>
          <w:tcPr>
            <w:tcW w:w="1099" w:type="dxa"/>
            <w:tcBorders>
              <w:right w:val="single" w:sz="4" w:space="0" w:color="000000" w:themeColor="text1"/>
            </w:tcBorders>
            <w:vAlign w:val="center"/>
          </w:tcPr>
          <w:p w14:paraId="66E5B819" w14:textId="77777777" w:rsidR="00436707" w:rsidRPr="00F6205B" w:rsidRDefault="00436707" w:rsidP="0044249F">
            <w:pPr>
              <w:keepNext/>
              <w:keepLines/>
              <w:tabs>
                <w:tab w:val="decimal" w:pos="403"/>
              </w:tabs>
              <w:spacing w:after="0"/>
              <w:contextualSpacing/>
              <w:jc w:val="center"/>
              <w:rPr>
                <w:sz w:val="20"/>
                <w:szCs w:val="20"/>
              </w:rPr>
            </w:pPr>
            <w:r w:rsidRPr="00F6205B">
              <w:rPr>
                <w:sz w:val="20"/>
                <w:szCs w:val="20"/>
              </w:rPr>
              <w:t>--</w:t>
            </w:r>
          </w:p>
        </w:tc>
        <w:tc>
          <w:tcPr>
            <w:tcW w:w="1099" w:type="dxa"/>
            <w:tcBorders>
              <w:right w:val="single" w:sz="4" w:space="0" w:color="000000" w:themeColor="text1"/>
            </w:tcBorders>
            <w:vAlign w:val="center"/>
          </w:tcPr>
          <w:p w14:paraId="15D47CB0" w14:textId="77777777" w:rsidR="00436707" w:rsidRPr="00F6205B" w:rsidRDefault="00436707" w:rsidP="0044249F">
            <w:pPr>
              <w:keepNext/>
              <w:keepLines/>
              <w:tabs>
                <w:tab w:val="decimal" w:pos="339"/>
              </w:tabs>
              <w:spacing w:after="0"/>
              <w:contextualSpacing/>
              <w:jc w:val="center"/>
              <w:rPr>
                <w:sz w:val="20"/>
                <w:szCs w:val="20"/>
              </w:rPr>
            </w:pPr>
            <w:r w:rsidRPr="00F6205B">
              <w:rPr>
                <w:sz w:val="20"/>
                <w:szCs w:val="20"/>
              </w:rPr>
              <w:t>--</w:t>
            </w:r>
          </w:p>
        </w:tc>
        <w:tc>
          <w:tcPr>
            <w:tcW w:w="1099" w:type="dxa"/>
            <w:tcBorders>
              <w:right w:val="single" w:sz="4" w:space="0" w:color="000000" w:themeColor="text1"/>
            </w:tcBorders>
            <w:vAlign w:val="center"/>
          </w:tcPr>
          <w:p w14:paraId="13C02B1B" w14:textId="77777777" w:rsidR="00436707" w:rsidRPr="00F6205B" w:rsidRDefault="00436707" w:rsidP="0044249F">
            <w:pPr>
              <w:keepNext/>
              <w:keepLines/>
              <w:tabs>
                <w:tab w:val="decimal" w:pos="395"/>
              </w:tabs>
              <w:spacing w:after="0"/>
              <w:contextualSpacing/>
              <w:jc w:val="center"/>
              <w:rPr>
                <w:sz w:val="20"/>
                <w:szCs w:val="20"/>
              </w:rPr>
            </w:pPr>
            <w:r w:rsidRPr="00F6205B">
              <w:rPr>
                <w:sz w:val="20"/>
                <w:szCs w:val="20"/>
              </w:rPr>
              <w:t>--</w:t>
            </w:r>
          </w:p>
        </w:tc>
        <w:tc>
          <w:tcPr>
            <w:tcW w:w="1159" w:type="dxa"/>
            <w:tcBorders>
              <w:left w:val="single" w:sz="4" w:space="0" w:color="000000" w:themeColor="text1"/>
              <w:right w:val="single" w:sz="4" w:space="0" w:color="auto"/>
            </w:tcBorders>
            <w:vAlign w:val="center"/>
          </w:tcPr>
          <w:p w14:paraId="4E426301" w14:textId="77777777" w:rsidR="00436707" w:rsidRPr="00F6205B" w:rsidRDefault="00436707" w:rsidP="0044249F">
            <w:pPr>
              <w:keepNext/>
              <w:keepLines/>
              <w:tabs>
                <w:tab w:val="decimal" w:pos="631"/>
              </w:tabs>
              <w:spacing w:after="0"/>
              <w:contextualSpacing/>
              <w:jc w:val="center"/>
              <w:rPr>
                <w:sz w:val="20"/>
                <w:szCs w:val="20"/>
              </w:rPr>
            </w:pPr>
            <w:r w:rsidRPr="00F6205B">
              <w:rPr>
                <w:sz w:val="20"/>
                <w:szCs w:val="20"/>
              </w:rPr>
              <w:t>849.4</w:t>
            </w:r>
          </w:p>
        </w:tc>
      </w:tr>
      <w:tr w:rsidR="00436707" w:rsidRPr="00F6205B" w14:paraId="0ED5FE8E" w14:textId="77777777" w:rsidTr="00943A6E">
        <w:trPr>
          <w:trHeight w:val="288"/>
          <w:jc w:val="center"/>
        </w:trPr>
        <w:tc>
          <w:tcPr>
            <w:tcW w:w="1965" w:type="dxa"/>
            <w:tcBorders>
              <w:left w:val="single" w:sz="4" w:space="0" w:color="auto"/>
              <w:right w:val="single" w:sz="4" w:space="0" w:color="000000" w:themeColor="text1"/>
            </w:tcBorders>
            <w:vAlign w:val="center"/>
          </w:tcPr>
          <w:p w14:paraId="3057884E" w14:textId="77777777" w:rsidR="00436707" w:rsidRPr="00F6205B" w:rsidRDefault="00436707" w:rsidP="0044249F">
            <w:pPr>
              <w:keepNext/>
              <w:keepLines/>
              <w:spacing w:after="0"/>
              <w:contextualSpacing/>
              <w:rPr>
                <w:sz w:val="20"/>
                <w:szCs w:val="20"/>
              </w:rPr>
            </w:pPr>
            <w:r w:rsidRPr="00F6205B">
              <w:rPr>
                <w:sz w:val="20"/>
                <w:szCs w:val="20"/>
              </w:rPr>
              <w:t>Water heating</w:t>
            </w:r>
          </w:p>
        </w:tc>
        <w:tc>
          <w:tcPr>
            <w:tcW w:w="1099" w:type="dxa"/>
            <w:tcBorders>
              <w:right w:val="single" w:sz="4" w:space="0" w:color="000000" w:themeColor="text1"/>
            </w:tcBorders>
            <w:vAlign w:val="center"/>
          </w:tcPr>
          <w:p w14:paraId="2914D7CD" w14:textId="77777777" w:rsidR="00436707" w:rsidRPr="00F6205B" w:rsidRDefault="00436707" w:rsidP="0044249F">
            <w:pPr>
              <w:keepNext/>
              <w:keepLines/>
              <w:tabs>
                <w:tab w:val="decimal" w:pos="403"/>
              </w:tabs>
              <w:spacing w:after="0"/>
              <w:contextualSpacing/>
              <w:jc w:val="center"/>
              <w:rPr>
                <w:sz w:val="20"/>
                <w:szCs w:val="20"/>
              </w:rPr>
            </w:pPr>
            <w:r w:rsidRPr="00F6205B">
              <w:rPr>
                <w:sz w:val="20"/>
                <w:szCs w:val="20"/>
              </w:rPr>
              <w:t>12.8</w:t>
            </w:r>
          </w:p>
        </w:tc>
        <w:tc>
          <w:tcPr>
            <w:tcW w:w="1099" w:type="dxa"/>
            <w:tcBorders>
              <w:right w:val="single" w:sz="4" w:space="0" w:color="000000" w:themeColor="text1"/>
            </w:tcBorders>
            <w:vAlign w:val="center"/>
          </w:tcPr>
          <w:p w14:paraId="1FA7A78B" w14:textId="77777777" w:rsidR="00436707" w:rsidRPr="00F6205B" w:rsidRDefault="00436707" w:rsidP="0044249F">
            <w:pPr>
              <w:keepNext/>
              <w:keepLines/>
              <w:tabs>
                <w:tab w:val="decimal" w:pos="339"/>
              </w:tabs>
              <w:spacing w:after="0"/>
              <w:contextualSpacing/>
              <w:jc w:val="center"/>
              <w:rPr>
                <w:sz w:val="20"/>
                <w:szCs w:val="20"/>
              </w:rPr>
            </w:pPr>
            <w:r w:rsidRPr="00F6205B">
              <w:rPr>
                <w:sz w:val="20"/>
                <w:szCs w:val="20"/>
              </w:rPr>
              <w:t>7.7</w:t>
            </w:r>
          </w:p>
        </w:tc>
        <w:tc>
          <w:tcPr>
            <w:tcW w:w="1099" w:type="dxa"/>
            <w:tcBorders>
              <w:right w:val="single" w:sz="4" w:space="0" w:color="000000" w:themeColor="text1"/>
            </w:tcBorders>
            <w:vAlign w:val="center"/>
          </w:tcPr>
          <w:p w14:paraId="7DD351B0" w14:textId="77777777" w:rsidR="00436707" w:rsidRPr="00F6205B" w:rsidRDefault="00436707" w:rsidP="0044249F">
            <w:pPr>
              <w:keepNext/>
              <w:keepLines/>
              <w:tabs>
                <w:tab w:val="decimal" w:pos="395"/>
              </w:tabs>
              <w:spacing w:after="0"/>
              <w:contextualSpacing/>
              <w:jc w:val="center"/>
              <w:rPr>
                <w:sz w:val="20"/>
                <w:szCs w:val="20"/>
              </w:rPr>
            </w:pPr>
            <w:r w:rsidRPr="00F6205B">
              <w:rPr>
                <w:sz w:val="20"/>
                <w:szCs w:val="20"/>
              </w:rPr>
              <w:t>1.4</w:t>
            </w:r>
          </w:p>
        </w:tc>
        <w:tc>
          <w:tcPr>
            <w:tcW w:w="1159" w:type="dxa"/>
            <w:tcBorders>
              <w:left w:val="single" w:sz="4" w:space="0" w:color="000000" w:themeColor="text1"/>
              <w:right w:val="single" w:sz="4" w:space="0" w:color="auto"/>
            </w:tcBorders>
            <w:vAlign w:val="center"/>
          </w:tcPr>
          <w:p w14:paraId="2EF1D71B" w14:textId="77777777" w:rsidR="00436707" w:rsidRPr="00F6205B" w:rsidRDefault="00436707" w:rsidP="0044249F">
            <w:pPr>
              <w:keepNext/>
              <w:keepLines/>
              <w:tabs>
                <w:tab w:val="decimal" w:pos="631"/>
              </w:tabs>
              <w:spacing w:after="0"/>
              <w:contextualSpacing/>
              <w:jc w:val="center"/>
              <w:rPr>
                <w:sz w:val="20"/>
                <w:szCs w:val="20"/>
              </w:rPr>
            </w:pPr>
            <w:r w:rsidRPr="00F6205B">
              <w:rPr>
                <w:sz w:val="20"/>
                <w:szCs w:val="20"/>
              </w:rPr>
              <w:t>431.1</w:t>
            </w:r>
          </w:p>
        </w:tc>
      </w:tr>
      <w:tr w:rsidR="00436707" w:rsidRPr="00F6205B" w14:paraId="2738F422" w14:textId="77777777" w:rsidTr="00943A6E">
        <w:trPr>
          <w:trHeight w:val="288"/>
          <w:jc w:val="center"/>
        </w:trPr>
        <w:tc>
          <w:tcPr>
            <w:tcW w:w="1965" w:type="dxa"/>
            <w:tcBorders>
              <w:left w:val="single" w:sz="4" w:space="0" w:color="auto"/>
              <w:right w:val="single" w:sz="4" w:space="0" w:color="000000" w:themeColor="text1"/>
            </w:tcBorders>
            <w:vAlign w:val="center"/>
          </w:tcPr>
          <w:p w14:paraId="42933599" w14:textId="77777777" w:rsidR="00436707" w:rsidRPr="00F6205B" w:rsidRDefault="00436707" w:rsidP="0044249F">
            <w:pPr>
              <w:keepNext/>
              <w:keepLines/>
              <w:spacing w:after="0"/>
              <w:contextualSpacing/>
              <w:rPr>
                <w:sz w:val="20"/>
                <w:szCs w:val="20"/>
              </w:rPr>
            </w:pPr>
            <w:r w:rsidRPr="00F6205B">
              <w:rPr>
                <w:sz w:val="20"/>
                <w:szCs w:val="20"/>
              </w:rPr>
              <w:t>Lights &amp; appliances</w:t>
            </w:r>
          </w:p>
        </w:tc>
        <w:tc>
          <w:tcPr>
            <w:tcW w:w="1099" w:type="dxa"/>
            <w:tcBorders>
              <w:right w:val="single" w:sz="4" w:space="0" w:color="000000" w:themeColor="text1"/>
            </w:tcBorders>
            <w:vAlign w:val="center"/>
          </w:tcPr>
          <w:p w14:paraId="247C0846" w14:textId="77777777" w:rsidR="00436707" w:rsidRPr="00F6205B" w:rsidRDefault="00436707" w:rsidP="0044249F">
            <w:pPr>
              <w:keepNext/>
              <w:keepLines/>
              <w:tabs>
                <w:tab w:val="decimal" w:pos="403"/>
              </w:tabs>
              <w:spacing w:after="0"/>
              <w:contextualSpacing/>
              <w:jc w:val="center"/>
              <w:rPr>
                <w:sz w:val="20"/>
                <w:szCs w:val="20"/>
              </w:rPr>
            </w:pPr>
            <w:r w:rsidRPr="00F6205B">
              <w:rPr>
                <w:sz w:val="20"/>
                <w:szCs w:val="20"/>
              </w:rPr>
              <w:t>--</w:t>
            </w:r>
          </w:p>
        </w:tc>
        <w:tc>
          <w:tcPr>
            <w:tcW w:w="1099" w:type="dxa"/>
            <w:tcBorders>
              <w:right w:val="single" w:sz="4" w:space="0" w:color="000000" w:themeColor="text1"/>
            </w:tcBorders>
            <w:vAlign w:val="center"/>
          </w:tcPr>
          <w:p w14:paraId="4556292A" w14:textId="77777777" w:rsidR="00436707" w:rsidRPr="00F6205B" w:rsidRDefault="00436707" w:rsidP="0044249F">
            <w:pPr>
              <w:keepNext/>
              <w:keepLines/>
              <w:tabs>
                <w:tab w:val="decimal" w:pos="339"/>
              </w:tabs>
              <w:spacing w:after="0"/>
              <w:contextualSpacing/>
              <w:jc w:val="center"/>
              <w:rPr>
                <w:sz w:val="20"/>
                <w:szCs w:val="20"/>
              </w:rPr>
            </w:pPr>
            <w:r w:rsidRPr="00F6205B">
              <w:rPr>
                <w:sz w:val="20"/>
                <w:szCs w:val="20"/>
              </w:rPr>
              <w:t>--</w:t>
            </w:r>
          </w:p>
        </w:tc>
        <w:tc>
          <w:tcPr>
            <w:tcW w:w="1099" w:type="dxa"/>
            <w:tcBorders>
              <w:right w:val="single" w:sz="4" w:space="0" w:color="000000" w:themeColor="text1"/>
            </w:tcBorders>
            <w:vAlign w:val="center"/>
          </w:tcPr>
          <w:p w14:paraId="157611E4" w14:textId="77777777" w:rsidR="00436707" w:rsidRPr="00F6205B" w:rsidRDefault="00436707" w:rsidP="0044249F">
            <w:pPr>
              <w:keepNext/>
              <w:keepLines/>
              <w:tabs>
                <w:tab w:val="decimal" w:pos="395"/>
              </w:tabs>
              <w:spacing w:after="0"/>
              <w:contextualSpacing/>
              <w:jc w:val="center"/>
              <w:rPr>
                <w:sz w:val="20"/>
                <w:szCs w:val="20"/>
              </w:rPr>
            </w:pPr>
            <w:r w:rsidRPr="00F6205B">
              <w:rPr>
                <w:sz w:val="20"/>
                <w:szCs w:val="20"/>
              </w:rPr>
              <w:t>--</w:t>
            </w:r>
          </w:p>
        </w:tc>
        <w:tc>
          <w:tcPr>
            <w:tcW w:w="1159" w:type="dxa"/>
            <w:tcBorders>
              <w:left w:val="single" w:sz="4" w:space="0" w:color="000000" w:themeColor="text1"/>
              <w:right w:val="single" w:sz="4" w:space="0" w:color="auto"/>
            </w:tcBorders>
            <w:vAlign w:val="center"/>
          </w:tcPr>
          <w:p w14:paraId="6D99254D" w14:textId="77777777" w:rsidR="00436707" w:rsidRPr="00F6205B" w:rsidRDefault="00436707" w:rsidP="0044249F">
            <w:pPr>
              <w:keepNext/>
              <w:keepLines/>
              <w:tabs>
                <w:tab w:val="decimal" w:pos="631"/>
              </w:tabs>
              <w:spacing w:after="0"/>
              <w:contextualSpacing/>
              <w:jc w:val="center"/>
              <w:rPr>
                <w:sz w:val="20"/>
                <w:szCs w:val="20"/>
              </w:rPr>
            </w:pPr>
            <w:r w:rsidRPr="00F6205B">
              <w:rPr>
                <w:sz w:val="20"/>
                <w:szCs w:val="20"/>
              </w:rPr>
              <w:t>2,303.0</w:t>
            </w:r>
          </w:p>
        </w:tc>
      </w:tr>
      <w:tr w:rsidR="00436707" w:rsidRPr="00F6205B" w14:paraId="2BEA1DCA" w14:textId="77777777" w:rsidTr="00943A6E">
        <w:trPr>
          <w:trHeight w:val="288"/>
          <w:jc w:val="center"/>
        </w:trPr>
        <w:tc>
          <w:tcPr>
            <w:tcW w:w="1965" w:type="dxa"/>
            <w:tcBorders>
              <w:left w:val="single" w:sz="4" w:space="0" w:color="auto"/>
              <w:bottom w:val="single" w:sz="4" w:space="0" w:color="auto"/>
              <w:right w:val="single" w:sz="4" w:space="0" w:color="000000" w:themeColor="text1"/>
            </w:tcBorders>
            <w:vAlign w:val="center"/>
          </w:tcPr>
          <w:p w14:paraId="4EFA8B40" w14:textId="77777777" w:rsidR="00436707" w:rsidRPr="00F6205B" w:rsidRDefault="00436707" w:rsidP="0044249F">
            <w:pPr>
              <w:keepNext/>
              <w:keepLines/>
              <w:spacing w:after="0"/>
              <w:contextualSpacing/>
              <w:rPr>
                <w:i/>
                <w:sz w:val="20"/>
                <w:szCs w:val="20"/>
              </w:rPr>
            </w:pPr>
            <w:r w:rsidRPr="00F6205B">
              <w:rPr>
                <w:i/>
                <w:sz w:val="20"/>
                <w:szCs w:val="20"/>
              </w:rPr>
              <w:t>Total</w:t>
            </w:r>
          </w:p>
        </w:tc>
        <w:tc>
          <w:tcPr>
            <w:tcW w:w="1099" w:type="dxa"/>
            <w:tcBorders>
              <w:bottom w:val="single" w:sz="4" w:space="0" w:color="auto"/>
              <w:right w:val="single" w:sz="4" w:space="0" w:color="000000" w:themeColor="text1"/>
            </w:tcBorders>
            <w:vAlign w:val="center"/>
          </w:tcPr>
          <w:p w14:paraId="7CBCFA5A" w14:textId="77777777" w:rsidR="00436707" w:rsidRPr="00F6205B" w:rsidRDefault="00436707" w:rsidP="0044249F">
            <w:pPr>
              <w:keepNext/>
              <w:keepLines/>
              <w:tabs>
                <w:tab w:val="decimal" w:pos="403"/>
              </w:tabs>
              <w:spacing w:after="0"/>
              <w:contextualSpacing/>
              <w:jc w:val="center"/>
              <w:rPr>
                <w:sz w:val="20"/>
                <w:szCs w:val="20"/>
              </w:rPr>
            </w:pPr>
            <w:r w:rsidRPr="00F6205B">
              <w:rPr>
                <w:i/>
                <w:sz w:val="20"/>
                <w:szCs w:val="20"/>
              </w:rPr>
              <w:t>422.6</w:t>
            </w:r>
          </w:p>
        </w:tc>
        <w:tc>
          <w:tcPr>
            <w:tcW w:w="1099" w:type="dxa"/>
            <w:tcBorders>
              <w:bottom w:val="single" w:sz="4" w:space="0" w:color="auto"/>
              <w:right w:val="single" w:sz="4" w:space="0" w:color="000000" w:themeColor="text1"/>
            </w:tcBorders>
            <w:vAlign w:val="center"/>
          </w:tcPr>
          <w:p w14:paraId="78DD424E" w14:textId="77777777" w:rsidR="00436707" w:rsidRPr="00F6205B" w:rsidRDefault="00436707" w:rsidP="0044249F">
            <w:pPr>
              <w:keepNext/>
              <w:keepLines/>
              <w:tabs>
                <w:tab w:val="decimal" w:pos="339"/>
              </w:tabs>
              <w:spacing w:after="0"/>
              <w:contextualSpacing/>
              <w:jc w:val="center"/>
              <w:rPr>
                <w:sz w:val="20"/>
                <w:szCs w:val="20"/>
              </w:rPr>
            </w:pPr>
            <w:r w:rsidRPr="00F6205B">
              <w:rPr>
                <w:i/>
                <w:sz w:val="20"/>
                <w:szCs w:val="20"/>
              </w:rPr>
              <w:t>251.0</w:t>
            </w:r>
          </w:p>
        </w:tc>
        <w:tc>
          <w:tcPr>
            <w:tcW w:w="1099" w:type="dxa"/>
            <w:tcBorders>
              <w:bottom w:val="single" w:sz="4" w:space="0" w:color="auto"/>
              <w:right w:val="single" w:sz="4" w:space="0" w:color="000000" w:themeColor="text1"/>
            </w:tcBorders>
            <w:vAlign w:val="center"/>
          </w:tcPr>
          <w:p w14:paraId="5B45B507" w14:textId="77777777" w:rsidR="00436707" w:rsidRPr="00F6205B" w:rsidRDefault="00436707" w:rsidP="0044249F">
            <w:pPr>
              <w:keepNext/>
              <w:keepLines/>
              <w:tabs>
                <w:tab w:val="decimal" w:pos="395"/>
              </w:tabs>
              <w:spacing w:after="0"/>
              <w:contextualSpacing/>
              <w:jc w:val="center"/>
              <w:rPr>
                <w:sz w:val="20"/>
                <w:szCs w:val="20"/>
              </w:rPr>
            </w:pPr>
            <w:r w:rsidRPr="00F6205B">
              <w:rPr>
                <w:i/>
                <w:sz w:val="20"/>
                <w:szCs w:val="20"/>
              </w:rPr>
              <w:t xml:space="preserve"> 19.8</w:t>
            </w:r>
          </w:p>
        </w:tc>
        <w:tc>
          <w:tcPr>
            <w:tcW w:w="1159" w:type="dxa"/>
            <w:tcBorders>
              <w:left w:val="single" w:sz="4" w:space="0" w:color="000000" w:themeColor="text1"/>
              <w:bottom w:val="single" w:sz="4" w:space="0" w:color="auto"/>
              <w:right w:val="single" w:sz="4" w:space="0" w:color="auto"/>
            </w:tcBorders>
            <w:vAlign w:val="center"/>
          </w:tcPr>
          <w:p w14:paraId="1C3EAFC7" w14:textId="77777777" w:rsidR="00436707" w:rsidRPr="00F6205B" w:rsidRDefault="00436707" w:rsidP="0044249F">
            <w:pPr>
              <w:keepNext/>
              <w:keepLines/>
              <w:tabs>
                <w:tab w:val="decimal" w:pos="631"/>
              </w:tabs>
              <w:spacing w:after="0"/>
              <w:contextualSpacing/>
              <w:jc w:val="center"/>
              <w:rPr>
                <w:sz w:val="20"/>
                <w:szCs w:val="20"/>
              </w:rPr>
            </w:pPr>
            <w:r w:rsidRPr="00F6205B">
              <w:rPr>
                <w:i/>
                <w:sz w:val="20"/>
                <w:szCs w:val="20"/>
              </w:rPr>
              <w:t>2,087.8</w:t>
            </w:r>
          </w:p>
        </w:tc>
      </w:tr>
    </w:tbl>
    <w:p w14:paraId="4F85A693" w14:textId="77777777" w:rsidR="00436707" w:rsidRPr="000D4DC7" w:rsidRDefault="00436707" w:rsidP="00436707">
      <w:pPr>
        <w:keepNext/>
        <w:spacing w:after="0" w:line="240" w:lineRule="auto"/>
        <w:ind w:left="1440" w:right="1530"/>
        <w:contextualSpacing/>
        <w:rPr>
          <w:sz w:val="18"/>
        </w:rPr>
      </w:pPr>
      <w:r w:rsidRPr="000D4DC7">
        <w:rPr>
          <w:vanish/>
          <w:sz w:val="18"/>
        </w:rPr>
        <w:cr/>
        <w:t>07bstantial in both fossil fuelires complete data on the machine from the Energy Guide label, which was not available.</w:t>
      </w:r>
      <w:r w:rsidRPr="000D4DC7">
        <w:rPr>
          <w:vanish/>
          <w:sz w:val="18"/>
        </w:rPr>
        <w:pgNum/>
      </w:r>
      <w:r w:rsidRPr="000D4DC7">
        <w:rPr>
          <w:vanish/>
          <w:sz w:val="18"/>
        </w:rPr>
        <w:pgNum/>
      </w:r>
      <w:r w:rsidRPr="000D4DC7">
        <w:rPr>
          <w:vanish/>
          <w:sz w:val="18"/>
        </w:rPr>
        <w:pgNum/>
      </w:r>
      <w:r w:rsidRPr="000D4DC7">
        <w:rPr>
          <w:vanish/>
          <w:sz w:val="18"/>
        </w:rPr>
        <w:pgNum/>
      </w:r>
      <w:r w:rsidRPr="000D4DC7">
        <w:rPr>
          <w:vanish/>
          <w:sz w:val="18"/>
        </w:rPr>
        <w:pgNum/>
      </w:r>
      <w:r w:rsidRPr="000D4DC7">
        <w:rPr>
          <w:vanish/>
          <w:sz w:val="18"/>
        </w:rPr>
        <w:pgNum/>
      </w:r>
      <w:r w:rsidRPr="000D4DC7">
        <w:rPr>
          <w:vanish/>
          <w:sz w:val="18"/>
        </w:rPr>
        <w:pgNum/>
      </w:r>
      <w:r w:rsidRPr="000D4DC7">
        <w:rPr>
          <w:vanish/>
          <w:sz w:val="18"/>
        </w:rPr>
        <w:pgNum/>
      </w:r>
      <w:r w:rsidRPr="000D4DC7">
        <w:rPr>
          <w:vanish/>
          <w:sz w:val="18"/>
        </w:rPr>
        <w:pgNum/>
      </w:r>
      <w:r w:rsidRPr="000D4DC7">
        <w:rPr>
          <w:sz w:val="18"/>
        </w:rPr>
        <w:t>* In millions. Negative savings indicate a consumption increase.</w:t>
      </w:r>
      <w:r w:rsidRPr="000D4DC7">
        <w:rPr>
          <w:sz w:val="18"/>
        </w:rPr>
        <w:tab/>
      </w:r>
    </w:p>
    <w:p w14:paraId="55542739" w14:textId="77777777" w:rsidR="00436707" w:rsidRPr="00F6205B" w:rsidRDefault="00436707" w:rsidP="00436707">
      <w:pPr>
        <w:keepNext/>
        <w:spacing w:after="0" w:line="240" w:lineRule="auto"/>
        <w:ind w:left="1627" w:right="1530"/>
        <w:contextualSpacing/>
        <w:rPr>
          <w:sz w:val="20"/>
        </w:rPr>
      </w:pPr>
    </w:p>
    <w:p w14:paraId="18719D09" w14:textId="77777777" w:rsidR="00436707" w:rsidRPr="00F6205B" w:rsidRDefault="00436707" w:rsidP="00436707">
      <w:pPr>
        <w:keepNext/>
        <w:keepLines/>
      </w:pPr>
      <w:r w:rsidRPr="00F6205B">
        <w:br w:type="page"/>
      </w:r>
    </w:p>
    <w:p w14:paraId="59A22840" w14:textId="58E73F51" w:rsidR="00436707" w:rsidRPr="00F6205B" w:rsidRDefault="00A964F0" w:rsidP="00436707">
      <w:pPr>
        <w:keepNext/>
        <w:keepLines/>
      </w:pPr>
      <w:r>
        <w:lastRenderedPageBreak/>
        <w:fldChar w:fldCharType="begin"/>
      </w:r>
      <w:r>
        <w:instrText xml:space="preserve"> REF _Ref439933966 \h </w:instrText>
      </w:r>
      <w:r>
        <w:fldChar w:fldCharType="separate"/>
      </w:r>
      <w:r w:rsidRPr="00F6205B">
        <w:t xml:space="preserve">Table </w:t>
      </w:r>
      <w:r>
        <w:rPr>
          <w:noProof/>
        </w:rPr>
        <w:t>14</w:t>
      </w:r>
      <w:r>
        <w:fldChar w:fldCharType="end"/>
      </w:r>
      <w:r>
        <w:t xml:space="preserve"> </w:t>
      </w:r>
      <w:r w:rsidR="00436707" w:rsidRPr="00F6205B">
        <w:t xml:space="preserve">is based off of the same information that is presented in </w:t>
      </w:r>
      <w:r>
        <w:fldChar w:fldCharType="begin"/>
      </w:r>
      <w:r>
        <w:instrText xml:space="preserve"> REF _Ref439933974 \h </w:instrText>
      </w:r>
      <w:r>
        <w:fldChar w:fldCharType="separate"/>
      </w:r>
      <w:r w:rsidRPr="00F6205B">
        <w:t xml:space="preserve">Table </w:t>
      </w:r>
      <w:r>
        <w:rPr>
          <w:noProof/>
        </w:rPr>
        <w:t>13</w:t>
      </w:r>
      <w:r>
        <w:fldChar w:fldCharType="end"/>
      </w:r>
      <w:r>
        <w:t xml:space="preserve"> </w:t>
      </w:r>
      <w:r w:rsidR="00436707" w:rsidRPr="00F6205B">
        <w:t>and displays the percentage of overall saving potential (in MMBtu) by end use.</w:t>
      </w:r>
    </w:p>
    <w:p w14:paraId="3CEF121E" w14:textId="7DBE5F9F" w:rsidR="00436707" w:rsidRPr="00F6205B" w:rsidRDefault="00436707" w:rsidP="004F23CF">
      <w:pPr>
        <w:pStyle w:val="Caption"/>
        <w:rPr>
          <w:vertAlign w:val="superscript"/>
        </w:rPr>
      </w:pPr>
      <w:bookmarkStart w:id="177" w:name="_Ref366833094"/>
      <w:bookmarkStart w:id="178" w:name="_Ref439933966"/>
      <w:bookmarkStart w:id="179" w:name="_Toc391887350"/>
      <w:bookmarkStart w:id="180" w:name="_Toc439931845"/>
      <w:bookmarkStart w:id="181" w:name="_Toc373324122"/>
      <w:r w:rsidRPr="00F6205B">
        <w:t>Table</w:t>
      </w:r>
      <w:bookmarkEnd w:id="177"/>
      <w:r w:rsidR="004F23CF" w:rsidRPr="00F6205B">
        <w:t xml:space="preserve"> </w:t>
      </w:r>
      <w:fldSimple w:instr=" SEQ Table \* ARABIC ">
        <w:r w:rsidR="00FA26A9">
          <w:rPr>
            <w:noProof/>
          </w:rPr>
          <w:t>14</w:t>
        </w:r>
      </w:fldSimple>
      <w:bookmarkEnd w:id="178"/>
      <w:r w:rsidRPr="00F6205B">
        <w:t>: Total Technical Savings Potential by End Use—First-Year (Percentage of Overall MMBtu Savings)</w:t>
      </w:r>
      <w:r w:rsidRPr="00F6205B">
        <w:rPr>
          <w:vertAlign w:val="superscript"/>
        </w:rPr>
        <w:t>*</w:t>
      </w:r>
      <w:bookmarkEnd w:id="179"/>
      <w:bookmarkEnd w:id="180"/>
    </w:p>
    <w:bookmarkEnd w:id="181"/>
    <w:p w14:paraId="3FD9B6A9" w14:textId="77777777" w:rsidR="00346A82" w:rsidRPr="00F6205B" w:rsidRDefault="00346A82" w:rsidP="00346A82">
      <w:pPr>
        <w:pStyle w:val="Caption"/>
        <w:spacing w:before="0" w:after="120"/>
        <w:rPr>
          <w:b w:val="0"/>
          <w:bCs w:val="0"/>
          <w:sz w:val="18"/>
        </w:rPr>
      </w:pPr>
      <w:r w:rsidRPr="00F6205B">
        <w:rPr>
          <w:b w:val="0"/>
          <w:bCs w:val="0"/>
          <w:sz w:val="18"/>
        </w:rPr>
        <w:t>Base: all single-family homes (population-weighted)</w:t>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1965"/>
        <w:gridCol w:w="1099"/>
        <w:gridCol w:w="1099"/>
        <w:gridCol w:w="1099"/>
        <w:gridCol w:w="1159"/>
      </w:tblGrid>
      <w:tr w:rsidR="00436707" w:rsidRPr="00F6205B" w14:paraId="415C689D" w14:textId="77777777" w:rsidTr="000445E4">
        <w:trPr>
          <w:trHeight w:val="288"/>
          <w:jc w:val="center"/>
        </w:trPr>
        <w:tc>
          <w:tcPr>
            <w:tcW w:w="1965" w:type="dxa"/>
            <w:tcBorders>
              <w:top w:val="single" w:sz="4" w:space="0" w:color="auto"/>
              <w:left w:val="single" w:sz="4" w:space="0" w:color="auto"/>
              <w:bottom w:val="single" w:sz="4" w:space="0" w:color="auto"/>
              <w:right w:val="single" w:sz="4" w:space="0" w:color="000000" w:themeColor="text1"/>
            </w:tcBorders>
            <w:shd w:val="clear" w:color="auto" w:fill="0B4D2C" w:themeFill="background2" w:themeFillShade="BF"/>
            <w:vAlign w:val="center"/>
          </w:tcPr>
          <w:p w14:paraId="4663426A" w14:textId="77777777" w:rsidR="00436707" w:rsidRPr="00F6205B" w:rsidRDefault="00436707" w:rsidP="0044249F">
            <w:pPr>
              <w:keepNext/>
              <w:keepLines/>
              <w:spacing w:after="0"/>
              <w:contextualSpacing/>
              <w:rPr>
                <w:b/>
                <w:sz w:val="20"/>
                <w:szCs w:val="20"/>
              </w:rPr>
            </w:pPr>
            <w:r w:rsidRPr="00F6205B">
              <w:rPr>
                <w:b/>
                <w:sz w:val="20"/>
                <w:szCs w:val="20"/>
              </w:rPr>
              <w:t>End Use</w:t>
            </w:r>
          </w:p>
        </w:tc>
        <w:tc>
          <w:tcPr>
            <w:tcW w:w="1099" w:type="dxa"/>
            <w:tcBorders>
              <w:top w:val="single" w:sz="4" w:space="0" w:color="auto"/>
              <w:bottom w:val="single" w:sz="4" w:space="0" w:color="auto"/>
              <w:right w:val="single" w:sz="4" w:space="0" w:color="000000" w:themeColor="text1"/>
            </w:tcBorders>
            <w:shd w:val="clear" w:color="auto" w:fill="0B4D2C" w:themeFill="background2" w:themeFillShade="BF"/>
            <w:vAlign w:val="center"/>
          </w:tcPr>
          <w:p w14:paraId="68F7B4C5" w14:textId="77777777" w:rsidR="00436707" w:rsidRPr="00F6205B" w:rsidRDefault="00436707" w:rsidP="0044249F">
            <w:pPr>
              <w:keepNext/>
              <w:keepLines/>
              <w:spacing w:after="0"/>
              <w:contextualSpacing/>
              <w:jc w:val="center"/>
              <w:rPr>
                <w:b/>
                <w:sz w:val="20"/>
                <w:szCs w:val="20"/>
              </w:rPr>
            </w:pPr>
            <w:r w:rsidRPr="00F6205B">
              <w:rPr>
                <w:b/>
                <w:sz w:val="20"/>
                <w:szCs w:val="20"/>
              </w:rPr>
              <w:t xml:space="preserve">Fuel Oil </w:t>
            </w:r>
          </w:p>
        </w:tc>
        <w:tc>
          <w:tcPr>
            <w:tcW w:w="1099" w:type="dxa"/>
            <w:tcBorders>
              <w:top w:val="single" w:sz="4" w:space="0" w:color="auto"/>
              <w:bottom w:val="single" w:sz="4" w:space="0" w:color="auto"/>
              <w:right w:val="single" w:sz="4" w:space="0" w:color="000000" w:themeColor="text1"/>
            </w:tcBorders>
            <w:shd w:val="clear" w:color="auto" w:fill="0B4D2C" w:themeFill="background2" w:themeFillShade="BF"/>
            <w:vAlign w:val="center"/>
          </w:tcPr>
          <w:p w14:paraId="01DEE8B9" w14:textId="486C62D3" w:rsidR="00436707" w:rsidRPr="00F6205B" w:rsidRDefault="00436707" w:rsidP="00E937CC">
            <w:pPr>
              <w:keepNext/>
              <w:keepLines/>
              <w:spacing w:after="0"/>
              <w:contextualSpacing/>
              <w:jc w:val="center"/>
              <w:rPr>
                <w:b/>
                <w:sz w:val="20"/>
                <w:szCs w:val="20"/>
              </w:rPr>
            </w:pPr>
            <w:r w:rsidRPr="00F6205B">
              <w:rPr>
                <w:b/>
                <w:sz w:val="20"/>
                <w:szCs w:val="20"/>
              </w:rPr>
              <w:t>Nat</w:t>
            </w:r>
            <w:r w:rsidR="00E937CC" w:rsidRPr="00F6205B">
              <w:rPr>
                <w:b/>
                <w:sz w:val="20"/>
                <w:szCs w:val="20"/>
              </w:rPr>
              <w:t>ural</w:t>
            </w:r>
            <w:r w:rsidRPr="00F6205B">
              <w:rPr>
                <w:b/>
                <w:sz w:val="20"/>
                <w:szCs w:val="20"/>
              </w:rPr>
              <w:t xml:space="preserve"> Gas </w:t>
            </w:r>
          </w:p>
        </w:tc>
        <w:tc>
          <w:tcPr>
            <w:tcW w:w="1099" w:type="dxa"/>
            <w:tcBorders>
              <w:top w:val="single" w:sz="4" w:space="0" w:color="auto"/>
              <w:bottom w:val="single" w:sz="4" w:space="0" w:color="auto"/>
              <w:right w:val="single" w:sz="4" w:space="0" w:color="000000" w:themeColor="text1"/>
            </w:tcBorders>
            <w:shd w:val="clear" w:color="auto" w:fill="0B4D2C" w:themeFill="background2" w:themeFillShade="BF"/>
            <w:vAlign w:val="center"/>
          </w:tcPr>
          <w:p w14:paraId="5F92BE0C" w14:textId="6E2FBD43" w:rsidR="00436707" w:rsidRPr="00F6205B" w:rsidRDefault="008E7D18" w:rsidP="0044249F">
            <w:pPr>
              <w:keepNext/>
              <w:keepLines/>
              <w:spacing w:after="0"/>
              <w:contextualSpacing/>
              <w:jc w:val="center"/>
              <w:rPr>
                <w:b/>
                <w:sz w:val="20"/>
                <w:szCs w:val="20"/>
              </w:rPr>
            </w:pPr>
            <w:r w:rsidRPr="00F6205B">
              <w:rPr>
                <w:b/>
                <w:sz w:val="20"/>
                <w:szCs w:val="20"/>
              </w:rPr>
              <w:t>Propane</w:t>
            </w:r>
          </w:p>
        </w:tc>
        <w:tc>
          <w:tcPr>
            <w:tcW w:w="1159" w:type="dxa"/>
            <w:tcBorders>
              <w:top w:val="single" w:sz="4" w:space="0" w:color="auto"/>
              <w:left w:val="single" w:sz="4" w:space="0" w:color="000000" w:themeColor="text1"/>
              <w:bottom w:val="single" w:sz="4" w:space="0" w:color="auto"/>
              <w:right w:val="single" w:sz="4" w:space="0" w:color="auto"/>
            </w:tcBorders>
            <w:shd w:val="clear" w:color="auto" w:fill="0B4D2C" w:themeFill="background2" w:themeFillShade="BF"/>
            <w:vAlign w:val="center"/>
          </w:tcPr>
          <w:p w14:paraId="1B91BF16" w14:textId="645AC1AF" w:rsidR="00436707" w:rsidRPr="00F6205B" w:rsidRDefault="008E7D18" w:rsidP="0044249F">
            <w:pPr>
              <w:keepNext/>
              <w:keepLines/>
              <w:spacing w:after="0"/>
              <w:contextualSpacing/>
              <w:jc w:val="center"/>
              <w:rPr>
                <w:b/>
                <w:sz w:val="20"/>
                <w:szCs w:val="20"/>
              </w:rPr>
            </w:pPr>
            <w:r w:rsidRPr="00F6205B">
              <w:rPr>
                <w:b/>
                <w:sz w:val="20"/>
                <w:szCs w:val="20"/>
              </w:rPr>
              <w:t>Electric</w:t>
            </w:r>
          </w:p>
        </w:tc>
      </w:tr>
      <w:tr w:rsidR="009D6CA2" w:rsidRPr="00F6205B" w14:paraId="7E266020" w14:textId="77777777" w:rsidTr="009D6CA2">
        <w:trPr>
          <w:trHeight w:val="288"/>
          <w:jc w:val="center"/>
        </w:trPr>
        <w:tc>
          <w:tcPr>
            <w:tcW w:w="6421" w:type="dxa"/>
            <w:gridSpan w:val="5"/>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11261CAA" w14:textId="77777777" w:rsidR="00436707" w:rsidRPr="00F6205B" w:rsidRDefault="00436707" w:rsidP="0044249F">
            <w:pPr>
              <w:keepNext/>
              <w:keepLines/>
              <w:spacing w:after="0"/>
              <w:contextualSpacing/>
              <w:jc w:val="center"/>
              <w:rPr>
                <w:b/>
                <w:color w:val="FFFFFF" w:themeColor="background1"/>
                <w:sz w:val="20"/>
                <w:szCs w:val="20"/>
              </w:rPr>
            </w:pPr>
            <w:r w:rsidRPr="00F6205B">
              <w:rPr>
                <w:b/>
                <w:color w:val="FFFFFF" w:themeColor="background1"/>
                <w:sz w:val="20"/>
                <w:szCs w:val="20"/>
              </w:rPr>
              <w:t>Model Runs Including Solar Technologies</w:t>
            </w:r>
          </w:p>
        </w:tc>
      </w:tr>
      <w:tr w:rsidR="00436707" w:rsidRPr="00F6205B" w14:paraId="1AF53C0E" w14:textId="77777777" w:rsidTr="009D6CA2">
        <w:trPr>
          <w:trHeight w:val="288"/>
          <w:jc w:val="center"/>
        </w:trPr>
        <w:tc>
          <w:tcPr>
            <w:tcW w:w="1965" w:type="dxa"/>
            <w:tcBorders>
              <w:top w:val="single" w:sz="4" w:space="0" w:color="auto"/>
              <w:left w:val="single" w:sz="4" w:space="0" w:color="auto"/>
              <w:right w:val="single" w:sz="4" w:space="0" w:color="000000" w:themeColor="text1"/>
            </w:tcBorders>
            <w:vAlign w:val="center"/>
          </w:tcPr>
          <w:p w14:paraId="21429893" w14:textId="77777777" w:rsidR="00436707" w:rsidRPr="00F6205B" w:rsidRDefault="00436707" w:rsidP="0044249F">
            <w:pPr>
              <w:keepNext/>
              <w:keepLines/>
              <w:spacing w:after="0"/>
              <w:contextualSpacing/>
              <w:rPr>
                <w:sz w:val="20"/>
                <w:szCs w:val="20"/>
              </w:rPr>
            </w:pPr>
            <w:r w:rsidRPr="00F6205B">
              <w:rPr>
                <w:sz w:val="20"/>
                <w:szCs w:val="20"/>
              </w:rPr>
              <w:t>Heating</w:t>
            </w:r>
          </w:p>
        </w:tc>
        <w:tc>
          <w:tcPr>
            <w:tcW w:w="1099" w:type="dxa"/>
            <w:tcBorders>
              <w:top w:val="single" w:sz="4" w:space="0" w:color="auto"/>
              <w:right w:val="single" w:sz="4" w:space="0" w:color="000000" w:themeColor="text1"/>
            </w:tcBorders>
            <w:vAlign w:val="center"/>
          </w:tcPr>
          <w:p w14:paraId="12E3F714" w14:textId="77777777" w:rsidR="00436707" w:rsidRPr="00F6205B" w:rsidRDefault="00436707" w:rsidP="0044249F">
            <w:pPr>
              <w:keepNext/>
              <w:keepLines/>
              <w:tabs>
                <w:tab w:val="decimal" w:pos="358"/>
              </w:tabs>
              <w:spacing w:after="0"/>
              <w:contextualSpacing/>
              <w:jc w:val="center"/>
              <w:rPr>
                <w:sz w:val="20"/>
                <w:szCs w:val="20"/>
              </w:rPr>
            </w:pPr>
            <w:r w:rsidRPr="00F6205B">
              <w:rPr>
                <w:sz w:val="20"/>
                <w:szCs w:val="20"/>
              </w:rPr>
              <w:t>49%</w:t>
            </w:r>
          </w:p>
        </w:tc>
        <w:tc>
          <w:tcPr>
            <w:tcW w:w="1099" w:type="dxa"/>
            <w:tcBorders>
              <w:top w:val="single" w:sz="4" w:space="0" w:color="auto"/>
              <w:right w:val="single" w:sz="4" w:space="0" w:color="000000" w:themeColor="text1"/>
            </w:tcBorders>
            <w:vAlign w:val="center"/>
          </w:tcPr>
          <w:p w14:paraId="4E8A6C2B" w14:textId="77777777" w:rsidR="00436707" w:rsidRPr="00F6205B" w:rsidRDefault="00436707" w:rsidP="0044249F">
            <w:pPr>
              <w:keepNext/>
              <w:keepLines/>
              <w:tabs>
                <w:tab w:val="decimal" w:pos="339"/>
              </w:tabs>
              <w:spacing w:after="0"/>
              <w:contextualSpacing/>
              <w:jc w:val="center"/>
              <w:rPr>
                <w:sz w:val="20"/>
                <w:szCs w:val="20"/>
              </w:rPr>
            </w:pPr>
            <w:r w:rsidRPr="00F6205B">
              <w:rPr>
                <w:sz w:val="20"/>
                <w:szCs w:val="20"/>
              </w:rPr>
              <w:t>22%</w:t>
            </w:r>
          </w:p>
        </w:tc>
        <w:tc>
          <w:tcPr>
            <w:tcW w:w="1099" w:type="dxa"/>
            <w:tcBorders>
              <w:top w:val="single" w:sz="4" w:space="0" w:color="auto"/>
              <w:right w:val="single" w:sz="4" w:space="0" w:color="000000" w:themeColor="text1"/>
            </w:tcBorders>
            <w:vAlign w:val="center"/>
          </w:tcPr>
          <w:p w14:paraId="2F64866A" w14:textId="77777777" w:rsidR="00436707" w:rsidRPr="00F6205B" w:rsidRDefault="00436707" w:rsidP="0044249F">
            <w:pPr>
              <w:keepNext/>
              <w:keepLines/>
              <w:tabs>
                <w:tab w:val="decimal" w:pos="395"/>
              </w:tabs>
              <w:spacing w:after="0"/>
              <w:contextualSpacing/>
              <w:jc w:val="center"/>
              <w:rPr>
                <w:sz w:val="20"/>
                <w:szCs w:val="20"/>
              </w:rPr>
            </w:pPr>
            <w:r w:rsidRPr="00F6205B">
              <w:rPr>
                <w:sz w:val="20"/>
                <w:szCs w:val="20"/>
              </w:rPr>
              <w:t>1%</w:t>
            </w:r>
          </w:p>
        </w:tc>
        <w:tc>
          <w:tcPr>
            <w:tcW w:w="1159" w:type="dxa"/>
            <w:tcBorders>
              <w:top w:val="single" w:sz="4" w:space="0" w:color="auto"/>
              <w:left w:val="single" w:sz="4" w:space="0" w:color="000000" w:themeColor="text1"/>
              <w:right w:val="single" w:sz="4" w:space="0" w:color="auto"/>
            </w:tcBorders>
            <w:vAlign w:val="center"/>
          </w:tcPr>
          <w:p w14:paraId="3E854D5A" w14:textId="77777777" w:rsidR="00436707" w:rsidRPr="00F6205B" w:rsidRDefault="00436707" w:rsidP="0044249F">
            <w:pPr>
              <w:keepNext/>
              <w:keepLines/>
              <w:tabs>
                <w:tab w:val="decimal" w:pos="361"/>
              </w:tabs>
              <w:spacing w:after="0"/>
              <w:contextualSpacing/>
              <w:jc w:val="center"/>
              <w:rPr>
                <w:sz w:val="20"/>
                <w:szCs w:val="20"/>
              </w:rPr>
            </w:pPr>
            <w:r w:rsidRPr="00F6205B">
              <w:rPr>
                <w:sz w:val="20"/>
                <w:szCs w:val="20"/>
              </w:rPr>
              <w:t>- 4%</w:t>
            </w:r>
          </w:p>
        </w:tc>
      </w:tr>
      <w:tr w:rsidR="00436707" w:rsidRPr="00F6205B" w14:paraId="1B80F478" w14:textId="77777777" w:rsidTr="009D6CA2">
        <w:trPr>
          <w:trHeight w:val="288"/>
          <w:jc w:val="center"/>
        </w:trPr>
        <w:tc>
          <w:tcPr>
            <w:tcW w:w="1965" w:type="dxa"/>
            <w:tcBorders>
              <w:left w:val="single" w:sz="4" w:space="0" w:color="auto"/>
              <w:right w:val="single" w:sz="4" w:space="0" w:color="000000" w:themeColor="text1"/>
            </w:tcBorders>
            <w:vAlign w:val="center"/>
          </w:tcPr>
          <w:p w14:paraId="4D0DAE11" w14:textId="77777777" w:rsidR="00436707" w:rsidRPr="00F6205B" w:rsidRDefault="00436707" w:rsidP="0044249F">
            <w:pPr>
              <w:keepNext/>
              <w:keepLines/>
              <w:spacing w:after="0"/>
              <w:contextualSpacing/>
              <w:rPr>
                <w:sz w:val="20"/>
                <w:szCs w:val="20"/>
              </w:rPr>
            </w:pPr>
            <w:r w:rsidRPr="00F6205B">
              <w:rPr>
                <w:sz w:val="20"/>
                <w:szCs w:val="20"/>
              </w:rPr>
              <w:t>Cooling</w:t>
            </w:r>
          </w:p>
        </w:tc>
        <w:tc>
          <w:tcPr>
            <w:tcW w:w="1099" w:type="dxa"/>
            <w:tcBorders>
              <w:right w:val="single" w:sz="4" w:space="0" w:color="000000" w:themeColor="text1"/>
            </w:tcBorders>
            <w:vAlign w:val="center"/>
          </w:tcPr>
          <w:p w14:paraId="20DB98DF" w14:textId="77777777" w:rsidR="00436707" w:rsidRPr="00F6205B" w:rsidRDefault="00436707" w:rsidP="0044249F">
            <w:pPr>
              <w:keepNext/>
              <w:keepLines/>
              <w:tabs>
                <w:tab w:val="decimal" w:pos="358"/>
              </w:tabs>
              <w:spacing w:after="0"/>
              <w:contextualSpacing/>
              <w:jc w:val="center"/>
              <w:rPr>
                <w:sz w:val="20"/>
                <w:szCs w:val="20"/>
              </w:rPr>
            </w:pPr>
            <w:r w:rsidRPr="00F6205B">
              <w:rPr>
                <w:sz w:val="20"/>
                <w:szCs w:val="20"/>
              </w:rPr>
              <w:t>--</w:t>
            </w:r>
          </w:p>
        </w:tc>
        <w:tc>
          <w:tcPr>
            <w:tcW w:w="1099" w:type="dxa"/>
            <w:tcBorders>
              <w:right w:val="single" w:sz="4" w:space="0" w:color="000000" w:themeColor="text1"/>
            </w:tcBorders>
            <w:vAlign w:val="center"/>
          </w:tcPr>
          <w:p w14:paraId="23845C8F" w14:textId="77777777" w:rsidR="00436707" w:rsidRPr="00F6205B" w:rsidRDefault="00436707" w:rsidP="0044249F">
            <w:pPr>
              <w:keepNext/>
              <w:keepLines/>
              <w:tabs>
                <w:tab w:val="decimal" w:pos="339"/>
              </w:tabs>
              <w:spacing w:after="0"/>
              <w:contextualSpacing/>
              <w:jc w:val="center"/>
              <w:rPr>
                <w:sz w:val="20"/>
                <w:szCs w:val="20"/>
              </w:rPr>
            </w:pPr>
            <w:r w:rsidRPr="00F6205B">
              <w:rPr>
                <w:sz w:val="20"/>
                <w:szCs w:val="20"/>
              </w:rPr>
              <w:t>--</w:t>
            </w:r>
          </w:p>
        </w:tc>
        <w:tc>
          <w:tcPr>
            <w:tcW w:w="1099" w:type="dxa"/>
            <w:tcBorders>
              <w:right w:val="single" w:sz="4" w:space="0" w:color="000000" w:themeColor="text1"/>
            </w:tcBorders>
            <w:vAlign w:val="center"/>
          </w:tcPr>
          <w:p w14:paraId="27DFA09C" w14:textId="77777777" w:rsidR="00436707" w:rsidRPr="00F6205B" w:rsidRDefault="00436707" w:rsidP="0044249F">
            <w:pPr>
              <w:keepNext/>
              <w:keepLines/>
              <w:tabs>
                <w:tab w:val="decimal" w:pos="395"/>
              </w:tabs>
              <w:spacing w:after="0"/>
              <w:contextualSpacing/>
              <w:jc w:val="center"/>
              <w:rPr>
                <w:sz w:val="20"/>
                <w:szCs w:val="20"/>
              </w:rPr>
            </w:pPr>
            <w:r w:rsidRPr="00F6205B">
              <w:rPr>
                <w:sz w:val="20"/>
                <w:szCs w:val="20"/>
              </w:rPr>
              <w:t>--</w:t>
            </w:r>
          </w:p>
        </w:tc>
        <w:tc>
          <w:tcPr>
            <w:tcW w:w="1159" w:type="dxa"/>
            <w:tcBorders>
              <w:left w:val="single" w:sz="4" w:space="0" w:color="000000" w:themeColor="text1"/>
              <w:right w:val="single" w:sz="4" w:space="0" w:color="auto"/>
            </w:tcBorders>
            <w:vAlign w:val="center"/>
          </w:tcPr>
          <w:p w14:paraId="49213F29" w14:textId="77777777" w:rsidR="00436707" w:rsidRPr="00F6205B" w:rsidRDefault="00436707" w:rsidP="0044249F">
            <w:pPr>
              <w:keepNext/>
              <w:keepLines/>
              <w:tabs>
                <w:tab w:val="decimal" w:pos="361"/>
              </w:tabs>
              <w:spacing w:after="0"/>
              <w:contextualSpacing/>
              <w:jc w:val="center"/>
              <w:rPr>
                <w:sz w:val="20"/>
                <w:szCs w:val="20"/>
              </w:rPr>
            </w:pPr>
            <w:r w:rsidRPr="00F6205B">
              <w:rPr>
                <w:sz w:val="20"/>
                <w:szCs w:val="20"/>
              </w:rPr>
              <w:t>3%</w:t>
            </w:r>
          </w:p>
        </w:tc>
      </w:tr>
      <w:tr w:rsidR="00436707" w:rsidRPr="00F6205B" w14:paraId="5BC17A38" w14:textId="77777777" w:rsidTr="009D6CA2">
        <w:trPr>
          <w:trHeight w:val="288"/>
          <w:jc w:val="center"/>
        </w:trPr>
        <w:tc>
          <w:tcPr>
            <w:tcW w:w="1965" w:type="dxa"/>
            <w:tcBorders>
              <w:left w:val="single" w:sz="4" w:space="0" w:color="auto"/>
              <w:right w:val="single" w:sz="4" w:space="0" w:color="000000" w:themeColor="text1"/>
            </w:tcBorders>
            <w:vAlign w:val="center"/>
          </w:tcPr>
          <w:p w14:paraId="3D2F5AA3" w14:textId="77777777" w:rsidR="00436707" w:rsidRPr="00F6205B" w:rsidRDefault="00436707" w:rsidP="0044249F">
            <w:pPr>
              <w:keepNext/>
              <w:keepLines/>
              <w:spacing w:after="0"/>
              <w:contextualSpacing/>
              <w:rPr>
                <w:sz w:val="20"/>
                <w:szCs w:val="20"/>
              </w:rPr>
            </w:pPr>
            <w:r w:rsidRPr="00F6205B">
              <w:rPr>
                <w:sz w:val="20"/>
                <w:szCs w:val="20"/>
              </w:rPr>
              <w:t>Water heating</w:t>
            </w:r>
          </w:p>
        </w:tc>
        <w:tc>
          <w:tcPr>
            <w:tcW w:w="1099" w:type="dxa"/>
            <w:tcBorders>
              <w:right w:val="single" w:sz="4" w:space="0" w:color="000000" w:themeColor="text1"/>
            </w:tcBorders>
            <w:vAlign w:val="center"/>
          </w:tcPr>
          <w:p w14:paraId="5CB4FE26" w14:textId="77777777" w:rsidR="00436707" w:rsidRPr="00F6205B" w:rsidRDefault="00436707" w:rsidP="0044249F">
            <w:pPr>
              <w:keepNext/>
              <w:keepLines/>
              <w:tabs>
                <w:tab w:val="decimal" w:pos="358"/>
              </w:tabs>
              <w:spacing w:after="0"/>
              <w:contextualSpacing/>
              <w:jc w:val="center"/>
              <w:rPr>
                <w:sz w:val="20"/>
                <w:szCs w:val="20"/>
              </w:rPr>
            </w:pPr>
            <w:r w:rsidRPr="00F6205B">
              <w:rPr>
                <w:sz w:val="20"/>
                <w:szCs w:val="20"/>
              </w:rPr>
              <w:t>5%</w:t>
            </w:r>
          </w:p>
        </w:tc>
        <w:tc>
          <w:tcPr>
            <w:tcW w:w="1099" w:type="dxa"/>
            <w:tcBorders>
              <w:right w:val="single" w:sz="4" w:space="0" w:color="000000" w:themeColor="text1"/>
            </w:tcBorders>
            <w:vAlign w:val="center"/>
          </w:tcPr>
          <w:p w14:paraId="2686D6F7" w14:textId="77777777" w:rsidR="00436707" w:rsidRPr="00F6205B" w:rsidRDefault="00436707" w:rsidP="0044249F">
            <w:pPr>
              <w:keepNext/>
              <w:keepLines/>
              <w:tabs>
                <w:tab w:val="decimal" w:pos="339"/>
              </w:tabs>
              <w:spacing w:after="0"/>
              <w:contextualSpacing/>
              <w:jc w:val="center"/>
              <w:rPr>
                <w:sz w:val="20"/>
                <w:szCs w:val="20"/>
              </w:rPr>
            </w:pPr>
            <w:r w:rsidRPr="00F6205B">
              <w:rPr>
                <w:sz w:val="20"/>
                <w:szCs w:val="20"/>
              </w:rPr>
              <w:t>2%</w:t>
            </w:r>
          </w:p>
        </w:tc>
        <w:tc>
          <w:tcPr>
            <w:tcW w:w="1099" w:type="dxa"/>
            <w:tcBorders>
              <w:right w:val="single" w:sz="4" w:space="0" w:color="000000" w:themeColor="text1"/>
            </w:tcBorders>
            <w:vAlign w:val="center"/>
          </w:tcPr>
          <w:p w14:paraId="1DF18F6F" w14:textId="77777777" w:rsidR="00436707" w:rsidRPr="00F6205B" w:rsidRDefault="00436707" w:rsidP="0044249F">
            <w:pPr>
              <w:keepNext/>
              <w:keepLines/>
              <w:tabs>
                <w:tab w:val="decimal" w:pos="395"/>
              </w:tabs>
              <w:spacing w:after="0"/>
              <w:contextualSpacing/>
              <w:jc w:val="center"/>
              <w:rPr>
                <w:sz w:val="20"/>
                <w:szCs w:val="20"/>
              </w:rPr>
            </w:pPr>
            <w:r w:rsidRPr="00F6205B">
              <w:rPr>
                <w:sz w:val="20"/>
                <w:szCs w:val="20"/>
              </w:rPr>
              <w:t>0%</w:t>
            </w:r>
          </w:p>
        </w:tc>
        <w:tc>
          <w:tcPr>
            <w:tcW w:w="1159" w:type="dxa"/>
            <w:tcBorders>
              <w:left w:val="single" w:sz="4" w:space="0" w:color="000000" w:themeColor="text1"/>
              <w:right w:val="single" w:sz="4" w:space="0" w:color="auto"/>
            </w:tcBorders>
            <w:vAlign w:val="center"/>
          </w:tcPr>
          <w:p w14:paraId="571856A9" w14:textId="77777777" w:rsidR="00436707" w:rsidRPr="00F6205B" w:rsidRDefault="00436707" w:rsidP="0044249F">
            <w:pPr>
              <w:keepNext/>
              <w:keepLines/>
              <w:tabs>
                <w:tab w:val="decimal" w:pos="361"/>
              </w:tabs>
              <w:spacing w:after="0"/>
              <w:contextualSpacing/>
              <w:jc w:val="center"/>
              <w:rPr>
                <w:sz w:val="20"/>
                <w:szCs w:val="20"/>
              </w:rPr>
            </w:pPr>
            <w:r w:rsidRPr="00F6205B">
              <w:rPr>
                <w:sz w:val="20"/>
                <w:szCs w:val="20"/>
              </w:rPr>
              <w:t>2%</w:t>
            </w:r>
          </w:p>
        </w:tc>
      </w:tr>
      <w:tr w:rsidR="00436707" w:rsidRPr="00F6205B" w14:paraId="78F28524" w14:textId="77777777" w:rsidTr="009D6CA2">
        <w:trPr>
          <w:trHeight w:val="288"/>
          <w:jc w:val="center"/>
        </w:trPr>
        <w:tc>
          <w:tcPr>
            <w:tcW w:w="1965" w:type="dxa"/>
            <w:tcBorders>
              <w:left w:val="single" w:sz="4" w:space="0" w:color="auto"/>
              <w:right w:val="single" w:sz="4" w:space="0" w:color="000000" w:themeColor="text1"/>
            </w:tcBorders>
            <w:vAlign w:val="center"/>
          </w:tcPr>
          <w:p w14:paraId="287A949B" w14:textId="77777777" w:rsidR="00436707" w:rsidRPr="00F6205B" w:rsidRDefault="00436707" w:rsidP="0044249F">
            <w:pPr>
              <w:keepNext/>
              <w:keepLines/>
              <w:spacing w:after="0"/>
              <w:contextualSpacing/>
              <w:rPr>
                <w:sz w:val="20"/>
                <w:szCs w:val="20"/>
              </w:rPr>
            </w:pPr>
            <w:r w:rsidRPr="00F6205B">
              <w:rPr>
                <w:sz w:val="20"/>
                <w:szCs w:val="20"/>
              </w:rPr>
              <w:t>Lights &amp; appliances</w:t>
            </w:r>
          </w:p>
        </w:tc>
        <w:tc>
          <w:tcPr>
            <w:tcW w:w="1099" w:type="dxa"/>
            <w:tcBorders>
              <w:right w:val="single" w:sz="4" w:space="0" w:color="000000" w:themeColor="text1"/>
            </w:tcBorders>
            <w:vAlign w:val="center"/>
          </w:tcPr>
          <w:p w14:paraId="01A3C51F" w14:textId="77777777" w:rsidR="00436707" w:rsidRPr="00F6205B" w:rsidRDefault="00436707" w:rsidP="0044249F">
            <w:pPr>
              <w:keepNext/>
              <w:keepLines/>
              <w:tabs>
                <w:tab w:val="decimal" w:pos="358"/>
              </w:tabs>
              <w:spacing w:after="0"/>
              <w:contextualSpacing/>
              <w:jc w:val="center"/>
              <w:rPr>
                <w:sz w:val="20"/>
                <w:szCs w:val="20"/>
              </w:rPr>
            </w:pPr>
            <w:r w:rsidRPr="00F6205B">
              <w:rPr>
                <w:sz w:val="20"/>
                <w:szCs w:val="20"/>
              </w:rPr>
              <w:t>--</w:t>
            </w:r>
          </w:p>
        </w:tc>
        <w:tc>
          <w:tcPr>
            <w:tcW w:w="1099" w:type="dxa"/>
            <w:tcBorders>
              <w:right w:val="single" w:sz="4" w:space="0" w:color="000000" w:themeColor="text1"/>
            </w:tcBorders>
            <w:vAlign w:val="center"/>
          </w:tcPr>
          <w:p w14:paraId="02CDDC54" w14:textId="77777777" w:rsidR="00436707" w:rsidRPr="00F6205B" w:rsidRDefault="00436707" w:rsidP="0044249F">
            <w:pPr>
              <w:keepNext/>
              <w:keepLines/>
              <w:tabs>
                <w:tab w:val="decimal" w:pos="339"/>
              </w:tabs>
              <w:spacing w:after="0"/>
              <w:contextualSpacing/>
              <w:jc w:val="center"/>
              <w:rPr>
                <w:sz w:val="20"/>
                <w:szCs w:val="20"/>
              </w:rPr>
            </w:pPr>
            <w:r w:rsidRPr="00F6205B">
              <w:rPr>
                <w:sz w:val="20"/>
                <w:szCs w:val="20"/>
              </w:rPr>
              <w:t>--</w:t>
            </w:r>
          </w:p>
        </w:tc>
        <w:tc>
          <w:tcPr>
            <w:tcW w:w="1099" w:type="dxa"/>
            <w:tcBorders>
              <w:right w:val="single" w:sz="4" w:space="0" w:color="000000" w:themeColor="text1"/>
            </w:tcBorders>
            <w:vAlign w:val="center"/>
          </w:tcPr>
          <w:p w14:paraId="2E8A407C" w14:textId="77777777" w:rsidR="00436707" w:rsidRPr="00F6205B" w:rsidRDefault="00436707" w:rsidP="0044249F">
            <w:pPr>
              <w:keepNext/>
              <w:keepLines/>
              <w:tabs>
                <w:tab w:val="decimal" w:pos="395"/>
              </w:tabs>
              <w:spacing w:after="0"/>
              <w:contextualSpacing/>
              <w:jc w:val="center"/>
              <w:rPr>
                <w:sz w:val="20"/>
                <w:szCs w:val="20"/>
              </w:rPr>
            </w:pPr>
            <w:r w:rsidRPr="00F6205B">
              <w:rPr>
                <w:sz w:val="20"/>
                <w:szCs w:val="20"/>
              </w:rPr>
              <w:t>--</w:t>
            </w:r>
          </w:p>
        </w:tc>
        <w:tc>
          <w:tcPr>
            <w:tcW w:w="1159" w:type="dxa"/>
            <w:tcBorders>
              <w:left w:val="single" w:sz="4" w:space="0" w:color="000000" w:themeColor="text1"/>
              <w:right w:val="single" w:sz="4" w:space="0" w:color="auto"/>
            </w:tcBorders>
            <w:vAlign w:val="center"/>
          </w:tcPr>
          <w:p w14:paraId="08D89C58" w14:textId="77777777" w:rsidR="00436707" w:rsidRPr="00F6205B" w:rsidRDefault="00436707" w:rsidP="0044249F">
            <w:pPr>
              <w:keepNext/>
              <w:keepLines/>
              <w:tabs>
                <w:tab w:val="decimal" w:pos="361"/>
              </w:tabs>
              <w:spacing w:after="0"/>
              <w:contextualSpacing/>
              <w:jc w:val="center"/>
              <w:rPr>
                <w:sz w:val="20"/>
                <w:szCs w:val="20"/>
              </w:rPr>
            </w:pPr>
            <w:r w:rsidRPr="00F6205B">
              <w:rPr>
                <w:sz w:val="20"/>
                <w:szCs w:val="20"/>
              </w:rPr>
              <w:t>7%</w:t>
            </w:r>
          </w:p>
        </w:tc>
      </w:tr>
      <w:tr w:rsidR="00436707" w:rsidRPr="00F6205B" w14:paraId="5C95B831" w14:textId="77777777" w:rsidTr="009D6CA2">
        <w:trPr>
          <w:trHeight w:val="288"/>
          <w:jc w:val="center"/>
        </w:trPr>
        <w:tc>
          <w:tcPr>
            <w:tcW w:w="1965" w:type="dxa"/>
            <w:tcBorders>
              <w:left w:val="single" w:sz="4" w:space="0" w:color="auto"/>
              <w:right w:val="single" w:sz="4" w:space="0" w:color="000000" w:themeColor="text1"/>
            </w:tcBorders>
            <w:vAlign w:val="center"/>
          </w:tcPr>
          <w:p w14:paraId="0AEA9BDF" w14:textId="77777777" w:rsidR="00436707" w:rsidRPr="00F6205B" w:rsidRDefault="00436707" w:rsidP="0044249F">
            <w:pPr>
              <w:keepNext/>
              <w:keepLines/>
              <w:spacing w:after="0"/>
              <w:contextualSpacing/>
              <w:rPr>
                <w:sz w:val="20"/>
                <w:szCs w:val="20"/>
              </w:rPr>
            </w:pPr>
            <w:r w:rsidRPr="00F6205B">
              <w:rPr>
                <w:sz w:val="20"/>
                <w:szCs w:val="20"/>
              </w:rPr>
              <w:t>Photovoltaics</w:t>
            </w:r>
          </w:p>
        </w:tc>
        <w:tc>
          <w:tcPr>
            <w:tcW w:w="1099" w:type="dxa"/>
            <w:tcBorders>
              <w:right w:val="single" w:sz="4" w:space="0" w:color="000000" w:themeColor="text1"/>
            </w:tcBorders>
            <w:vAlign w:val="center"/>
          </w:tcPr>
          <w:p w14:paraId="656A7787" w14:textId="77777777" w:rsidR="00436707" w:rsidRPr="00F6205B" w:rsidRDefault="00436707" w:rsidP="0044249F">
            <w:pPr>
              <w:keepNext/>
              <w:keepLines/>
              <w:tabs>
                <w:tab w:val="decimal" w:pos="358"/>
              </w:tabs>
              <w:spacing w:after="0"/>
              <w:contextualSpacing/>
              <w:jc w:val="center"/>
              <w:rPr>
                <w:sz w:val="20"/>
                <w:szCs w:val="20"/>
              </w:rPr>
            </w:pPr>
            <w:r w:rsidRPr="00F6205B">
              <w:rPr>
                <w:sz w:val="20"/>
                <w:szCs w:val="20"/>
              </w:rPr>
              <w:t>--</w:t>
            </w:r>
          </w:p>
        </w:tc>
        <w:tc>
          <w:tcPr>
            <w:tcW w:w="1099" w:type="dxa"/>
            <w:tcBorders>
              <w:right w:val="single" w:sz="4" w:space="0" w:color="000000" w:themeColor="text1"/>
            </w:tcBorders>
            <w:vAlign w:val="center"/>
          </w:tcPr>
          <w:p w14:paraId="407854C1" w14:textId="77777777" w:rsidR="00436707" w:rsidRPr="00F6205B" w:rsidRDefault="00436707" w:rsidP="0044249F">
            <w:pPr>
              <w:keepNext/>
              <w:keepLines/>
              <w:tabs>
                <w:tab w:val="decimal" w:pos="339"/>
              </w:tabs>
              <w:spacing w:after="0"/>
              <w:contextualSpacing/>
              <w:jc w:val="center"/>
              <w:rPr>
                <w:sz w:val="20"/>
                <w:szCs w:val="20"/>
              </w:rPr>
            </w:pPr>
            <w:r w:rsidRPr="00F6205B">
              <w:rPr>
                <w:sz w:val="20"/>
                <w:szCs w:val="20"/>
              </w:rPr>
              <w:t>--</w:t>
            </w:r>
          </w:p>
        </w:tc>
        <w:tc>
          <w:tcPr>
            <w:tcW w:w="1099" w:type="dxa"/>
            <w:tcBorders>
              <w:right w:val="single" w:sz="4" w:space="0" w:color="000000" w:themeColor="text1"/>
            </w:tcBorders>
            <w:vAlign w:val="center"/>
          </w:tcPr>
          <w:p w14:paraId="63583A5E" w14:textId="77777777" w:rsidR="00436707" w:rsidRPr="00F6205B" w:rsidRDefault="00436707" w:rsidP="0044249F">
            <w:pPr>
              <w:keepNext/>
              <w:keepLines/>
              <w:tabs>
                <w:tab w:val="decimal" w:pos="395"/>
              </w:tabs>
              <w:spacing w:after="0"/>
              <w:contextualSpacing/>
              <w:jc w:val="center"/>
              <w:rPr>
                <w:sz w:val="20"/>
                <w:szCs w:val="20"/>
              </w:rPr>
            </w:pPr>
            <w:r w:rsidRPr="00F6205B">
              <w:rPr>
                <w:sz w:val="20"/>
                <w:szCs w:val="20"/>
              </w:rPr>
              <w:t>--</w:t>
            </w:r>
          </w:p>
        </w:tc>
        <w:tc>
          <w:tcPr>
            <w:tcW w:w="1159" w:type="dxa"/>
            <w:tcBorders>
              <w:left w:val="single" w:sz="4" w:space="0" w:color="000000" w:themeColor="text1"/>
              <w:right w:val="single" w:sz="4" w:space="0" w:color="auto"/>
            </w:tcBorders>
            <w:vAlign w:val="center"/>
          </w:tcPr>
          <w:p w14:paraId="4AC40236" w14:textId="77777777" w:rsidR="00436707" w:rsidRPr="00F6205B" w:rsidRDefault="00436707" w:rsidP="0044249F">
            <w:pPr>
              <w:keepNext/>
              <w:keepLines/>
              <w:tabs>
                <w:tab w:val="decimal" w:pos="361"/>
              </w:tabs>
              <w:spacing w:after="0"/>
              <w:contextualSpacing/>
              <w:jc w:val="center"/>
              <w:rPr>
                <w:sz w:val="20"/>
                <w:szCs w:val="20"/>
              </w:rPr>
            </w:pPr>
            <w:r w:rsidRPr="00F6205B">
              <w:rPr>
                <w:sz w:val="20"/>
                <w:szCs w:val="20"/>
              </w:rPr>
              <w:t>14%</w:t>
            </w:r>
          </w:p>
        </w:tc>
      </w:tr>
      <w:tr w:rsidR="00436707" w:rsidRPr="00F6205B" w14:paraId="4EE32B2C" w14:textId="77777777" w:rsidTr="009D6CA2">
        <w:trPr>
          <w:trHeight w:val="288"/>
          <w:jc w:val="center"/>
        </w:trPr>
        <w:tc>
          <w:tcPr>
            <w:tcW w:w="1965" w:type="dxa"/>
            <w:tcBorders>
              <w:left w:val="single" w:sz="4" w:space="0" w:color="auto"/>
              <w:bottom w:val="single" w:sz="4" w:space="0" w:color="auto"/>
              <w:right w:val="single" w:sz="4" w:space="0" w:color="000000" w:themeColor="text1"/>
            </w:tcBorders>
            <w:vAlign w:val="center"/>
          </w:tcPr>
          <w:p w14:paraId="76C82330" w14:textId="77777777" w:rsidR="00436707" w:rsidRPr="00F6205B" w:rsidRDefault="00436707" w:rsidP="0044249F">
            <w:pPr>
              <w:keepNext/>
              <w:keepLines/>
              <w:spacing w:after="0"/>
              <w:contextualSpacing/>
              <w:rPr>
                <w:i/>
                <w:sz w:val="20"/>
                <w:szCs w:val="20"/>
              </w:rPr>
            </w:pPr>
            <w:r w:rsidRPr="00F6205B">
              <w:rPr>
                <w:i/>
                <w:sz w:val="20"/>
                <w:szCs w:val="20"/>
              </w:rPr>
              <w:t>Total</w:t>
            </w:r>
          </w:p>
        </w:tc>
        <w:tc>
          <w:tcPr>
            <w:tcW w:w="1099" w:type="dxa"/>
            <w:tcBorders>
              <w:bottom w:val="single" w:sz="4" w:space="0" w:color="auto"/>
              <w:right w:val="single" w:sz="4" w:space="0" w:color="000000" w:themeColor="text1"/>
            </w:tcBorders>
            <w:vAlign w:val="center"/>
          </w:tcPr>
          <w:p w14:paraId="76FADE26" w14:textId="77777777" w:rsidR="00436707" w:rsidRPr="000D4DC7" w:rsidRDefault="00436707" w:rsidP="0044249F">
            <w:pPr>
              <w:keepNext/>
              <w:keepLines/>
              <w:tabs>
                <w:tab w:val="decimal" w:pos="358"/>
              </w:tabs>
              <w:spacing w:after="0"/>
              <w:contextualSpacing/>
              <w:jc w:val="center"/>
              <w:rPr>
                <w:i/>
                <w:sz w:val="20"/>
                <w:szCs w:val="20"/>
              </w:rPr>
            </w:pPr>
            <w:r w:rsidRPr="000D4DC7">
              <w:rPr>
                <w:i/>
                <w:sz w:val="20"/>
                <w:szCs w:val="20"/>
              </w:rPr>
              <w:t>54%</w:t>
            </w:r>
          </w:p>
        </w:tc>
        <w:tc>
          <w:tcPr>
            <w:tcW w:w="1099" w:type="dxa"/>
            <w:tcBorders>
              <w:bottom w:val="single" w:sz="4" w:space="0" w:color="auto"/>
              <w:right w:val="single" w:sz="4" w:space="0" w:color="000000" w:themeColor="text1"/>
            </w:tcBorders>
            <w:vAlign w:val="center"/>
          </w:tcPr>
          <w:p w14:paraId="11293F6F" w14:textId="77777777" w:rsidR="00436707" w:rsidRPr="000D4DC7" w:rsidRDefault="00436707" w:rsidP="0044249F">
            <w:pPr>
              <w:keepNext/>
              <w:keepLines/>
              <w:tabs>
                <w:tab w:val="decimal" w:pos="339"/>
              </w:tabs>
              <w:spacing w:after="0"/>
              <w:contextualSpacing/>
              <w:jc w:val="center"/>
              <w:rPr>
                <w:i/>
                <w:sz w:val="20"/>
                <w:szCs w:val="20"/>
              </w:rPr>
            </w:pPr>
            <w:r w:rsidRPr="000D4DC7">
              <w:rPr>
                <w:i/>
                <w:sz w:val="20"/>
                <w:szCs w:val="20"/>
              </w:rPr>
              <w:t>24%</w:t>
            </w:r>
          </w:p>
        </w:tc>
        <w:tc>
          <w:tcPr>
            <w:tcW w:w="1099" w:type="dxa"/>
            <w:tcBorders>
              <w:bottom w:val="single" w:sz="4" w:space="0" w:color="auto"/>
              <w:right w:val="single" w:sz="4" w:space="0" w:color="000000" w:themeColor="text1"/>
            </w:tcBorders>
            <w:vAlign w:val="center"/>
          </w:tcPr>
          <w:p w14:paraId="767340E4" w14:textId="77777777" w:rsidR="00436707" w:rsidRPr="000D4DC7" w:rsidRDefault="00436707" w:rsidP="0044249F">
            <w:pPr>
              <w:keepNext/>
              <w:keepLines/>
              <w:tabs>
                <w:tab w:val="decimal" w:pos="395"/>
              </w:tabs>
              <w:spacing w:after="0"/>
              <w:contextualSpacing/>
              <w:jc w:val="center"/>
              <w:rPr>
                <w:i/>
                <w:sz w:val="20"/>
                <w:szCs w:val="20"/>
              </w:rPr>
            </w:pPr>
            <w:r w:rsidRPr="000D4DC7">
              <w:rPr>
                <w:i/>
                <w:sz w:val="20"/>
                <w:szCs w:val="20"/>
              </w:rPr>
              <w:t>2%</w:t>
            </w:r>
          </w:p>
        </w:tc>
        <w:tc>
          <w:tcPr>
            <w:tcW w:w="1159" w:type="dxa"/>
            <w:tcBorders>
              <w:left w:val="single" w:sz="4" w:space="0" w:color="000000" w:themeColor="text1"/>
              <w:bottom w:val="single" w:sz="4" w:space="0" w:color="auto"/>
              <w:right w:val="single" w:sz="4" w:space="0" w:color="auto"/>
            </w:tcBorders>
            <w:vAlign w:val="center"/>
          </w:tcPr>
          <w:p w14:paraId="3E8D542D" w14:textId="77777777" w:rsidR="00436707" w:rsidRPr="000D4DC7" w:rsidRDefault="00436707" w:rsidP="0044249F">
            <w:pPr>
              <w:keepNext/>
              <w:keepLines/>
              <w:tabs>
                <w:tab w:val="decimal" w:pos="361"/>
              </w:tabs>
              <w:spacing w:after="0"/>
              <w:contextualSpacing/>
              <w:jc w:val="center"/>
              <w:rPr>
                <w:i/>
                <w:sz w:val="20"/>
                <w:szCs w:val="20"/>
              </w:rPr>
            </w:pPr>
            <w:r w:rsidRPr="000D4DC7">
              <w:rPr>
                <w:i/>
                <w:sz w:val="20"/>
                <w:szCs w:val="20"/>
              </w:rPr>
              <w:t>21%</w:t>
            </w:r>
          </w:p>
        </w:tc>
      </w:tr>
      <w:tr w:rsidR="008E7D18" w:rsidRPr="00F6205B" w14:paraId="10C7D8B2" w14:textId="77777777" w:rsidTr="009D6CA2">
        <w:trPr>
          <w:trHeight w:val="288"/>
          <w:jc w:val="center"/>
        </w:trPr>
        <w:tc>
          <w:tcPr>
            <w:tcW w:w="6421" w:type="dxa"/>
            <w:gridSpan w:val="5"/>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7BFC153E" w14:textId="77777777" w:rsidR="00436707" w:rsidRPr="00F6205B" w:rsidRDefault="00436707" w:rsidP="0044249F">
            <w:pPr>
              <w:keepNext/>
              <w:keepLines/>
              <w:spacing w:after="0"/>
              <w:contextualSpacing/>
              <w:jc w:val="center"/>
              <w:rPr>
                <w:b/>
                <w:color w:val="FFFFFF" w:themeColor="background1"/>
                <w:sz w:val="20"/>
                <w:szCs w:val="20"/>
              </w:rPr>
            </w:pPr>
            <w:r w:rsidRPr="00F6205B">
              <w:rPr>
                <w:b/>
                <w:color w:val="FFFFFF" w:themeColor="background1"/>
                <w:sz w:val="20"/>
                <w:szCs w:val="20"/>
              </w:rPr>
              <w:t xml:space="preserve">Model Runs Excluding Solar Technologies </w:t>
            </w:r>
          </w:p>
        </w:tc>
      </w:tr>
      <w:tr w:rsidR="00436707" w:rsidRPr="00F6205B" w14:paraId="1851C929" w14:textId="77777777" w:rsidTr="009D6CA2">
        <w:trPr>
          <w:trHeight w:val="288"/>
          <w:jc w:val="center"/>
        </w:trPr>
        <w:tc>
          <w:tcPr>
            <w:tcW w:w="1965" w:type="dxa"/>
            <w:tcBorders>
              <w:top w:val="single" w:sz="4" w:space="0" w:color="auto"/>
              <w:left w:val="single" w:sz="4" w:space="0" w:color="auto"/>
              <w:right w:val="single" w:sz="4" w:space="0" w:color="000000" w:themeColor="text1"/>
            </w:tcBorders>
            <w:vAlign w:val="center"/>
          </w:tcPr>
          <w:p w14:paraId="5DD0F12A" w14:textId="77777777" w:rsidR="00436707" w:rsidRPr="00F6205B" w:rsidRDefault="00436707" w:rsidP="0044249F">
            <w:pPr>
              <w:keepNext/>
              <w:keepLines/>
              <w:spacing w:after="0"/>
              <w:contextualSpacing/>
              <w:rPr>
                <w:sz w:val="20"/>
                <w:szCs w:val="20"/>
              </w:rPr>
            </w:pPr>
            <w:r w:rsidRPr="00F6205B">
              <w:rPr>
                <w:sz w:val="20"/>
                <w:szCs w:val="20"/>
              </w:rPr>
              <w:t>Heating</w:t>
            </w:r>
          </w:p>
        </w:tc>
        <w:tc>
          <w:tcPr>
            <w:tcW w:w="1099" w:type="dxa"/>
            <w:tcBorders>
              <w:top w:val="single" w:sz="4" w:space="0" w:color="auto"/>
              <w:right w:val="single" w:sz="4" w:space="0" w:color="000000" w:themeColor="text1"/>
            </w:tcBorders>
            <w:vAlign w:val="center"/>
          </w:tcPr>
          <w:p w14:paraId="33C0C38E" w14:textId="77777777" w:rsidR="00436707" w:rsidRPr="00F6205B" w:rsidRDefault="00436707" w:rsidP="0044249F">
            <w:pPr>
              <w:keepNext/>
              <w:keepLines/>
              <w:tabs>
                <w:tab w:val="decimal" w:pos="403"/>
              </w:tabs>
              <w:spacing w:after="0"/>
              <w:contextualSpacing/>
              <w:jc w:val="center"/>
              <w:rPr>
                <w:sz w:val="20"/>
                <w:szCs w:val="20"/>
              </w:rPr>
            </w:pPr>
            <w:r w:rsidRPr="00F6205B">
              <w:rPr>
                <w:sz w:val="20"/>
                <w:szCs w:val="20"/>
              </w:rPr>
              <w:t>61%</w:t>
            </w:r>
          </w:p>
        </w:tc>
        <w:tc>
          <w:tcPr>
            <w:tcW w:w="1099" w:type="dxa"/>
            <w:tcBorders>
              <w:top w:val="single" w:sz="4" w:space="0" w:color="auto"/>
              <w:right w:val="single" w:sz="4" w:space="0" w:color="000000" w:themeColor="text1"/>
            </w:tcBorders>
            <w:vAlign w:val="center"/>
          </w:tcPr>
          <w:p w14:paraId="051AFCA0" w14:textId="77777777" w:rsidR="00436707" w:rsidRPr="00F6205B" w:rsidRDefault="00436707" w:rsidP="0044249F">
            <w:pPr>
              <w:keepNext/>
              <w:keepLines/>
              <w:tabs>
                <w:tab w:val="decimal" w:pos="339"/>
              </w:tabs>
              <w:spacing w:after="0"/>
              <w:contextualSpacing/>
              <w:jc w:val="center"/>
              <w:rPr>
                <w:sz w:val="20"/>
                <w:szCs w:val="20"/>
              </w:rPr>
            </w:pPr>
            <w:r w:rsidRPr="00F6205B">
              <w:rPr>
                <w:sz w:val="20"/>
                <w:szCs w:val="20"/>
              </w:rPr>
              <w:t>27%</w:t>
            </w:r>
          </w:p>
        </w:tc>
        <w:tc>
          <w:tcPr>
            <w:tcW w:w="1099" w:type="dxa"/>
            <w:tcBorders>
              <w:top w:val="single" w:sz="4" w:space="0" w:color="auto"/>
              <w:right w:val="single" w:sz="4" w:space="0" w:color="000000" w:themeColor="text1"/>
            </w:tcBorders>
            <w:vAlign w:val="center"/>
          </w:tcPr>
          <w:p w14:paraId="775A3806" w14:textId="77777777" w:rsidR="00436707" w:rsidRPr="00F6205B" w:rsidRDefault="00436707" w:rsidP="0044249F">
            <w:pPr>
              <w:keepNext/>
              <w:keepLines/>
              <w:tabs>
                <w:tab w:val="decimal" w:pos="395"/>
              </w:tabs>
              <w:spacing w:after="0"/>
              <w:contextualSpacing/>
              <w:jc w:val="center"/>
              <w:rPr>
                <w:sz w:val="20"/>
                <w:szCs w:val="20"/>
              </w:rPr>
            </w:pPr>
            <w:r w:rsidRPr="00F6205B">
              <w:rPr>
                <w:sz w:val="20"/>
                <w:szCs w:val="20"/>
              </w:rPr>
              <w:t>2%</w:t>
            </w:r>
          </w:p>
        </w:tc>
        <w:tc>
          <w:tcPr>
            <w:tcW w:w="1159" w:type="dxa"/>
            <w:tcBorders>
              <w:top w:val="single" w:sz="4" w:space="0" w:color="auto"/>
              <w:left w:val="single" w:sz="4" w:space="0" w:color="000000" w:themeColor="text1"/>
              <w:right w:val="single" w:sz="4" w:space="0" w:color="auto"/>
            </w:tcBorders>
            <w:vAlign w:val="center"/>
          </w:tcPr>
          <w:p w14:paraId="5B243D55" w14:textId="77777777" w:rsidR="00436707" w:rsidRPr="00F6205B" w:rsidRDefault="00436707" w:rsidP="0044249F">
            <w:pPr>
              <w:keepNext/>
              <w:keepLines/>
              <w:tabs>
                <w:tab w:val="decimal" w:pos="361"/>
              </w:tabs>
              <w:spacing w:after="0"/>
              <w:contextualSpacing/>
              <w:jc w:val="center"/>
              <w:rPr>
                <w:sz w:val="20"/>
                <w:szCs w:val="20"/>
              </w:rPr>
            </w:pPr>
            <w:r w:rsidRPr="00F6205B">
              <w:rPr>
                <w:sz w:val="20"/>
                <w:szCs w:val="20"/>
              </w:rPr>
              <w:t>- 5%</w:t>
            </w:r>
          </w:p>
        </w:tc>
      </w:tr>
      <w:tr w:rsidR="00436707" w:rsidRPr="00F6205B" w14:paraId="4665B48C" w14:textId="77777777" w:rsidTr="009D6CA2">
        <w:trPr>
          <w:trHeight w:val="288"/>
          <w:jc w:val="center"/>
        </w:trPr>
        <w:tc>
          <w:tcPr>
            <w:tcW w:w="1965" w:type="dxa"/>
            <w:tcBorders>
              <w:left w:val="single" w:sz="4" w:space="0" w:color="auto"/>
              <w:right w:val="single" w:sz="4" w:space="0" w:color="000000" w:themeColor="text1"/>
            </w:tcBorders>
            <w:vAlign w:val="center"/>
          </w:tcPr>
          <w:p w14:paraId="149EF739" w14:textId="77777777" w:rsidR="00436707" w:rsidRPr="00F6205B" w:rsidRDefault="00436707" w:rsidP="0044249F">
            <w:pPr>
              <w:keepNext/>
              <w:keepLines/>
              <w:spacing w:after="0"/>
              <w:contextualSpacing/>
              <w:rPr>
                <w:sz w:val="20"/>
                <w:szCs w:val="20"/>
              </w:rPr>
            </w:pPr>
            <w:r w:rsidRPr="00F6205B">
              <w:rPr>
                <w:sz w:val="20"/>
                <w:szCs w:val="20"/>
              </w:rPr>
              <w:t>Cooling</w:t>
            </w:r>
          </w:p>
        </w:tc>
        <w:tc>
          <w:tcPr>
            <w:tcW w:w="1099" w:type="dxa"/>
            <w:tcBorders>
              <w:right w:val="single" w:sz="4" w:space="0" w:color="000000" w:themeColor="text1"/>
            </w:tcBorders>
            <w:vAlign w:val="center"/>
          </w:tcPr>
          <w:p w14:paraId="317F0A91" w14:textId="77777777" w:rsidR="00436707" w:rsidRPr="00F6205B" w:rsidRDefault="00436707" w:rsidP="0044249F">
            <w:pPr>
              <w:keepNext/>
              <w:keepLines/>
              <w:tabs>
                <w:tab w:val="decimal" w:pos="403"/>
              </w:tabs>
              <w:spacing w:after="0"/>
              <w:contextualSpacing/>
              <w:jc w:val="center"/>
              <w:rPr>
                <w:sz w:val="20"/>
                <w:szCs w:val="20"/>
              </w:rPr>
            </w:pPr>
            <w:r w:rsidRPr="00F6205B">
              <w:rPr>
                <w:sz w:val="20"/>
                <w:szCs w:val="20"/>
              </w:rPr>
              <w:t>--</w:t>
            </w:r>
          </w:p>
        </w:tc>
        <w:tc>
          <w:tcPr>
            <w:tcW w:w="1099" w:type="dxa"/>
            <w:tcBorders>
              <w:right w:val="single" w:sz="4" w:space="0" w:color="000000" w:themeColor="text1"/>
            </w:tcBorders>
            <w:vAlign w:val="center"/>
          </w:tcPr>
          <w:p w14:paraId="71C533BD" w14:textId="77777777" w:rsidR="00436707" w:rsidRPr="00F6205B" w:rsidRDefault="00436707" w:rsidP="0044249F">
            <w:pPr>
              <w:keepNext/>
              <w:keepLines/>
              <w:tabs>
                <w:tab w:val="decimal" w:pos="339"/>
              </w:tabs>
              <w:spacing w:after="0"/>
              <w:contextualSpacing/>
              <w:jc w:val="center"/>
              <w:rPr>
                <w:sz w:val="20"/>
                <w:szCs w:val="20"/>
              </w:rPr>
            </w:pPr>
            <w:r w:rsidRPr="00F6205B">
              <w:rPr>
                <w:sz w:val="20"/>
                <w:szCs w:val="20"/>
              </w:rPr>
              <w:t>--</w:t>
            </w:r>
          </w:p>
        </w:tc>
        <w:tc>
          <w:tcPr>
            <w:tcW w:w="1099" w:type="dxa"/>
            <w:tcBorders>
              <w:right w:val="single" w:sz="4" w:space="0" w:color="000000" w:themeColor="text1"/>
            </w:tcBorders>
            <w:vAlign w:val="center"/>
          </w:tcPr>
          <w:p w14:paraId="355EDC69" w14:textId="77777777" w:rsidR="00436707" w:rsidRPr="00F6205B" w:rsidRDefault="00436707" w:rsidP="0044249F">
            <w:pPr>
              <w:keepNext/>
              <w:keepLines/>
              <w:tabs>
                <w:tab w:val="decimal" w:pos="395"/>
              </w:tabs>
              <w:spacing w:after="0"/>
              <w:contextualSpacing/>
              <w:jc w:val="center"/>
              <w:rPr>
                <w:sz w:val="20"/>
                <w:szCs w:val="20"/>
              </w:rPr>
            </w:pPr>
            <w:r w:rsidRPr="00F6205B">
              <w:rPr>
                <w:sz w:val="20"/>
                <w:szCs w:val="20"/>
              </w:rPr>
              <w:t>--</w:t>
            </w:r>
          </w:p>
        </w:tc>
        <w:tc>
          <w:tcPr>
            <w:tcW w:w="1159" w:type="dxa"/>
            <w:tcBorders>
              <w:left w:val="single" w:sz="4" w:space="0" w:color="000000" w:themeColor="text1"/>
              <w:right w:val="single" w:sz="4" w:space="0" w:color="auto"/>
            </w:tcBorders>
            <w:vAlign w:val="center"/>
          </w:tcPr>
          <w:p w14:paraId="133A80A3" w14:textId="77777777" w:rsidR="00436707" w:rsidRPr="00F6205B" w:rsidRDefault="00436707" w:rsidP="0044249F">
            <w:pPr>
              <w:keepNext/>
              <w:keepLines/>
              <w:tabs>
                <w:tab w:val="decimal" w:pos="361"/>
              </w:tabs>
              <w:spacing w:after="0"/>
              <w:contextualSpacing/>
              <w:jc w:val="center"/>
              <w:rPr>
                <w:sz w:val="20"/>
                <w:szCs w:val="20"/>
              </w:rPr>
            </w:pPr>
            <w:r w:rsidRPr="00F6205B">
              <w:rPr>
                <w:sz w:val="20"/>
                <w:szCs w:val="20"/>
              </w:rPr>
              <w:t>3%</w:t>
            </w:r>
          </w:p>
        </w:tc>
      </w:tr>
      <w:tr w:rsidR="00436707" w:rsidRPr="00F6205B" w14:paraId="0EBF7277" w14:textId="77777777" w:rsidTr="009D6CA2">
        <w:trPr>
          <w:trHeight w:val="288"/>
          <w:jc w:val="center"/>
        </w:trPr>
        <w:tc>
          <w:tcPr>
            <w:tcW w:w="1965" w:type="dxa"/>
            <w:tcBorders>
              <w:left w:val="single" w:sz="4" w:space="0" w:color="auto"/>
              <w:right w:val="single" w:sz="4" w:space="0" w:color="000000" w:themeColor="text1"/>
            </w:tcBorders>
            <w:vAlign w:val="center"/>
          </w:tcPr>
          <w:p w14:paraId="46CC35B4" w14:textId="77777777" w:rsidR="00436707" w:rsidRPr="00F6205B" w:rsidRDefault="00436707" w:rsidP="0044249F">
            <w:pPr>
              <w:keepNext/>
              <w:keepLines/>
              <w:spacing w:after="0"/>
              <w:contextualSpacing/>
              <w:rPr>
                <w:sz w:val="20"/>
                <w:szCs w:val="20"/>
              </w:rPr>
            </w:pPr>
            <w:r w:rsidRPr="00F6205B">
              <w:rPr>
                <w:sz w:val="20"/>
                <w:szCs w:val="20"/>
              </w:rPr>
              <w:t>Water heating</w:t>
            </w:r>
          </w:p>
        </w:tc>
        <w:tc>
          <w:tcPr>
            <w:tcW w:w="1099" w:type="dxa"/>
            <w:tcBorders>
              <w:right w:val="single" w:sz="4" w:space="0" w:color="000000" w:themeColor="text1"/>
            </w:tcBorders>
            <w:vAlign w:val="center"/>
          </w:tcPr>
          <w:p w14:paraId="233501E0" w14:textId="77777777" w:rsidR="00436707" w:rsidRPr="00F6205B" w:rsidRDefault="00436707" w:rsidP="0044249F">
            <w:pPr>
              <w:keepNext/>
              <w:keepLines/>
              <w:tabs>
                <w:tab w:val="decimal" w:pos="403"/>
              </w:tabs>
              <w:spacing w:after="0"/>
              <w:contextualSpacing/>
              <w:jc w:val="center"/>
              <w:rPr>
                <w:sz w:val="20"/>
                <w:szCs w:val="20"/>
              </w:rPr>
            </w:pPr>
            <w:r w:rsidRPr="00F6205B">
              <w:rPr>
                <w:sz w:val="20"/>
                <w:szCs w:val="20"/>
              </w:rPr>
              <w:t>2%</w:t>
            </w:r>
          </w:p>
        </w:tc>
        <w:tc>
          <w:tcPr>
            <w:tcW w:w="1099" w:type="dxa"/>
            <w:tcBorders>
              <w:right w:val="single" w:sz="4" w:space="0" w:color="000000" w:themeColor="text1"/>
            </w:tcBorders>
            <w:vAlign w:val="center"/>
          </w:tcPr>
          <w:p w14:paraId="4395ACCA" w14:textId="77777777" w:rsidR="00436707" w:rsidRPr="00F6205B" w:rsidRDefault="00436707" w:rsidP="0044249F">
            <w:pPr>
              <w:keepNext/>
              <w:keepLines/>
              <w:tabs>
                <w:tab w:val="decimal" w:pos="339"/>
              </w:tabs>
              <w:spacing w:after="0"/>
              <w:contextualSpacing/>
              <w:jc w:val="center"/>
              <w:rPr>
                <w:sz w:val="20"/>
                <w:szCs w:val="20"/>
              </w:rPr>
            </w:pPr>
            <w:r w:rsidRPr="00F6205B">
              <w:rPr>
                <w:sz w:val="20"/>
                <w:szCs w:val="20"/>
              </w:rPr>
              <w:t>1%</w:t>
            </w:r>
          </w:p>
        </w:tc>
        <w:tc>
          <w:tcPr>
            <w:tcW w:w="1099" w:type="dxa"/>
            <w:tcBorders>
              <w:right w:val="single" w:sz="4" w:space="0" w:color="000000" w:themeColor="text1"/>
            </w:tcBorders>
            <w:vAlign w:val="center"/>
          </w:tcPr>
          <w:p w14:paraId="6012A6FC" w14:textId="77777777" w:rsidR="00436707" w:rsidRPr="00F6205B" w:rsidRDefault="00436707" w:rsidP="0044249F">
            <w:pPr>
              <w:keepNext/>
              <w:keepLines/>
              <w:tabs>
                <w:tab w:val="decimal" w:pos="395"/>
              </w:tabs>
              <w:spacing w:after="0"/>
              <w:contextualSpacing/>
              <w:jc w:val="center"/>
              <w:rPr>
                <w:sz w:val="20"/>
                <w:szCs w:val="20"/>
              </w:rPr>
            </w:pPr>
            <w:r w:rsidRPr="00F6205B">
              <w:rPr>
                <w:sz w:val="20"/>
                <w:szCs w:val="20"/>
              </w:rPr>
              <w:t>0%</w:t>
            </w:r>
          </w:p>
        </w:tc>
        <w:tc>
          <w:tcPr>
            <w:tcW w:w="1159" w:type="dxa"/>
            <w:tcBorders>
              <w:left w:val="single" w:sz="4" w:space="0" w:color="000000" w:themeColor="text1"/>
              <w:right w:val="single" w:sz="4" w:space="0" w:color="auto"/>
            </w:tcBorders>
            <w:vAlign w:val="center"/>
          </w:tcPr>
          <w:p w14:paraId="469CF713" w14:textId="77777777" w:rsidR="00436707" w:rsidRPr="00F6205B" w:rsidRDefault="00436707" w:rsidP="0044249F">
            <w:pPr>
              <w:keepNext/>
              <w:keepLines/>
              <w:tabs>
                <w:tab w:val="decimal" w:pos="361"/>
              </w:tabs>
              <w:spacing w:after="0"/>
              <w:contextualSpacing/>
              <w:jc w:val="center"/>
              <w:rPr>
                <w:sz w:val="20"/>
                <w:szCs w:val="20"/>
              </w:rPr>
            </w:pPr>
            <w:r w:rsidRPr="00F6205B">
              <w:rPr>
                <w:sz w:val="20"/>
                <w:szCs w:val="20"/>
              </w:rPr>
              <w:t>2%</w:t>
            </w:r>
          </w:p>
        </w:tc>
      </w:tr>
      <w:tr w:rsidR="00436707" w:rsidRPr="00F6205B" w14:paraId="49C6D36C" w14:textId="77777777" w:rsidTr="009D6CA2">
        <w:trPr>
          <w:trHeight w:val="288"/>
          <w:jc w:val="center"/>
        </w:trPr>
        <w:tc>
          <w:tcPr>
            <w:tcW w:w="1965" w:type="dxa"/>
            <w:tcBorders>
              <w:left w:val="single" w:sz="4" w:space="0" w:color="auto"/>
              <w:right w:val="single" w:sz="4" w:space="0" w:color="000000" w:themeColor="text1"/>
            </w:tcBorders>
            <w:vAlign w:val="center"/>
          </w:tcPr>
          <w:p w14:paraId="6196FB8C" w14:textId="77777777" w:rsidR="00436707" w:rsidRPr="00F6205B" w:rsidRDefault="00436707" w:rsidP="0044249F">
            <w:pPr>
              <w:keepNext/>
              <w:keepLines/>
              <w:spacing w:after="0"/>
              <w:contextualSpacing/>
              <w:rPr>
                <w:sz w:val="20"/>
                <w:szCs w:val="20"/>
              </w:rPr>
            </w:pPr>
            <w:r w:rsidRPr="00F6205B">
              <w:rPr>
                <w:sz w:val="20"/>
                <w:szCs w:val="20"/>
              </w:rPr>
              <w:t>Lights &amp; appliances</w:t>
            </w:r>
          </w:p>
        </w:tc>
        <w:tc>
          <w:tcPr>
            <w:tcW w:w="1099" w:type="dxa"/>
            <w:tcBorders>
              <w:right w:val="single" w:sz="4" w:space="0" w:color="000000" w:themeColor="text1"/>
            </w:tcBorders>
            <w:vAlign w:val="center"/>
          </w:tcPr>
          <w:p w14:paraId="783D0C2A" w14:textId="77777777" w:rsidR="00436707" w:rsidRPr="00F6205B" w:rsidRDefault="00436707" w:rsidP="0044249F">
            <w:pPr>
              <w:keepNext/>
              <w:keepLines/>
              <w:tabs>
                <w:tab w:val="decimal" w:pos="403"/>
              </w:tabs>
              <w:spacing w:after="0"/>
              <w:contextualSpacing/>
              <w:jc w:val="center"/>
              <w:rPr>
                <w:sz w:val="20"/>
                <w:szCs w:val="20"/>
              </w:rPr>
            </w:pPr>
            <w:r w:rsidRPr="00F6205B">
              <w:rPr>
                <w:sz w:val="20"/>
                <w:szCs w:val="20"/>
              </w:rPr>
              <w:t>--</w:t>
            </w:r>
          </w:p>
        </w:tc>
        <w:tc>
          <w:tcPr>
            <w:tcW w:w="1099" w:type="dxa"/>
            <w:tcBorders>
              <w:right w:val="single" w:sz="4" w:space="0" w:color="000000" w:themeColor="text1"/>
            </w:tcBorders>
            <w:vAlign w:val="center"/>
          </w:tcPr>
          <w:p w14:paraId="59088D16" w14:textId="77777777" w:rsidR="00436707" w:rsidRPr="00F6205B" w:rsidRDefault="00436707" w:rsidP="0044249F">
            <w:pPr>
              <w:keepNext/>
              <w:keepLines/>
              <w:tabs>
                <w:tab w:val="decimal" w:pos="339"/>
              </w:tabs>
              <w:spacing w:after="0"/>
              <w:contextualSpacing/>
              <w:jc w:val="center"/>
              <w:rPr>
                <w:sz w:val="20"/>
                <w:szCs w:val="20"/>
              </w:rPr>
            </w:pPr>
            <w:r w:rsidRPr="00F6205B">
              <w:rPr>
                <w:sz w:val="20"/>
                <w:szCs w:val="20"/>
              </w:rPr>
              <w:t>--</w:t>
            </w:r>
          </w:p>
        </w:tc>
        <w:tc>
          <w:tcPr>
            <w:tcW w:w="1099" w:type="dxa"/>
            <w:tcBorders>
              <w:right w:val="single" w:sz="4" w:space="0" w:color="000000" w:themeColor="text1"/>
            </w:tcBorders>
            <w:vAlign w:val="center"/>
          </w:tcPr>
          <w:p w14:paraId="38195923" w14:textId="77777777" w:rsidR="00436707" w:rsidRPr="00F6205B" w:rsidRDefault="00436707" w:rsidP="0044249F">
            <w:pPr>
              <w:keepNext/>
              <w:keepLines/>
              <w:tabs>
                <w:tab w:val="decimal" w:pos="395"/>
              </w:tabs>
              <w:spacing w:after="0"/>
              <w:contextualSpacing/>
              <w:jc w:val="center"/>
              <w:rPr>
                <w:sz w:val="20"/>
                <w:szCs w:val="20"/>
              </w:rPr>
            </w:pPr>
            <w:r w:rsidRPr="00F6205B">
              <w:rPr>
                <w:sz w:val="20"/>
                <w:szCs w:val="20"/>
              </w:rPr>
              <w:t>--</w:t>
            </w:r>
          </w:p>
        </w:tc>
        <w:tc>
          <w:tcPr>
            <w:tcW w:w="1159" w:type="dxa"/>
            <w:tcBorders>
              <w:left w:val="single" w:sz="4" w:space="0" w:color="000000" w:themeColor="text1"/>
              <w:right w:val="single" w:sz="4" w:space="0" w:color="auto"/>
            </w:tcBorders>
            <w:vAlign w:val="center"/>
          </w:tcPr>
          <w:p w14:paraId="3F7D6CE1" w14:textId="77777777" w:rsidR="00436707" w:rsidRPr="00F6205B" w:rsidRDefault="00436707" w:rsidP="0044249F">
            <w:pPr>
              <w:keepNext/>
              <w:keepLines/>
              <w:tabs>
                <w:tab w:val="decimal" w:pos="361"/>
              </w:tabs>
              <w:spacing w:after="0"/>
              <w:contextualSpacing/>
              <w:jc w:val="center"/>
              <w:rPr>
                <w:sz w:val="20"/>
                <w:szCs w:val="20"/>
              </w:rPr>
            </w:pPr>
            <w:r w:rsidRPr="00F6205B">
              <w:rPr>
                <w:sz w:val="20"/>
                <w:szCs w:val="20"/>
              </w:rPr>
              <w:t>8%</w:t>
            </w:r>
          </w:p>
        </w:tc>
      </w:tr>
      <w:tr w:rsidR="00436707" w:rsidRPr="00F6205B" w14:paraId="28CDF7B1" w14:textId="77777777" w:rsidTr="009D6CA2">
        <w:trPr>
          <w:trHeight w:val="288"/>
          <w:jc w:val="center"/>
        </w:trPr>
        <w:tc>
          <w:tcPr>
            <w:tcW w:w="1965" w:type="dxa"/>
            <w:tcBorders>
              <w:left w:val="single" w:sz="4" w:space="0" w:color="auto"/>
              <w:bottom w:val="single" w:sz="4" w:space="0" w:color="auto"/>
              <w:right w:val="single" w:sz="4" w:space="0" w:color="000000" w:themeColor="text1"/>
            </w:tcBorders>
            <w:vAlign w:val="center"/>
          </w:tcPr>
          <w:p w14:paraId="6BA9AE59" w14:textId="77777777" w:rsidR="00436707" w:rsidRPr="00F6205B" w:rsidRDefault="00436707" w:rsidP="0044249F">
            <w:pPr>
              <w:keepNext/>
              <w:keepLines/>
              <w:spacing w:after="0"/>
              <w:contextualSpacing/>
              <w:rPr>
                <w:i/>
                <w:sz w:val="20"/>
                <w:szCs w:val="20"/>
              </w:rPr>
            </w:pPr>
            <w:r w:rsidRPr="00F6205B">
              <w:rPr>
                <w:i/>
                <w:sz w:val="20"/>
                <w:szCs w:val="20"/>
              </w:rPr>
              <w:t>Total</w:t>
            </w:r>
          </w:p>
        </w:tc>
        <w:tc>
          <w:tcPr>
            <w:tcW w:w="1099" w:type="dxa"/>
            <w:tcBorders>
              <w:bottom w:val="single" w:sz="4" w:space="0" w:color="auto"/>
              <w:right w:val="single" w:sz="4" w:space="0" w:color="000000" w:themeColor="text1"/>
            </w:tcBorders>
            <w:vAlign w:val="center"/>
          </w:tcPr>
          <w:p w14:paraId="67927D8C" w14:textId="77777777" w:rsidR="00436707" w:rsidRPr="000D4DC7" w:rsidRDefault="00436707" w:rsidP="0044249F">
            <w:pPr>
              <w:keepNext/>
              <w:keepLines/>
              <w:tabs>
                <w:tab w:val="decimal" w:pos="403"/>
              </w:tabs>
              <w:spacing w:after="0"/>
              <w:contextualSpacing/>
              <w:jc w:val="center"/>
              <w:rPr>
                <w:i/>
                <w:sz w:val="20"/>
                <w:szCs w:val="20"/>
              </w:rPr>
            </w:pPr>
            <w:r w:rsidRPr="000D4DC7">
              <w:rPr>
                <w:i/>
                <w:sz w:val="20"/>
                <w:szCs w:val="20"/>
              </w:rPr>
              <w:t>63%</w:t>
            </w:r>
          </w:p>
        </w:tc>
        <w:tc>
          <w:tcPr>
            <w:tcW w:w="1099" w:type="dxa"/>
            <w:tcBorders>
              <w:bottom w:val="single" w:sz="4" w:space="0" w:color="auto"/>
              <w:right w:val="single" w:sz="4" w:space="0" w:color="000000" w:themeColor="text1"/>
            </w:tcBorders>
            <w:vAlign w:val="center"/>
          </w:tcPr>
          <w:p w14:paraId="79E74F61" w14:textId="77777777" w:rsidR="00436707" w:rsidRPr="000D4DC7" w:rsidRDefault="00436707" w:rsidP="0044249F">
            <w:pPr>
              <w:keepNext/>
              <w:keepLines/>
              <w:tabs>
                <w:tab w:val="decimal" w:pos="339"/>
              </w:tabs>
              <w:spacing w:after="0"/>
              <w:contextualSpacing/>
              <w:jc w:val="center"/>
              <w:rPr>
                <w:i/>
                <w:sz w:val="20"/>
                <w:szCs w:val="20"/>
              </w:rPr>
            </w:pPr>
            <w:r w:rsidRPr="000D4DC7">
              <w:rPr>
                <w:i/>
                <w:sz w:val="20"/>
                <w:szCs w:val="20"/>
              </w:rPr>
              <w:t>28%</w:t>
            </w:r>
          </w:p>
        </w:tc>
        <w:tc>
          <w:tcPr>
            <w:tcW w:w="1099" w:type="dxa"/>
            <w:tcBorders>
              <w:bottom w:val="single" w:sz="4" w:space="0" w:color="auto"/>
              <w:right w:val="single" w:sz="4" w:space="0" w:color="000000" w:themeColor="text1"/>
            </w:tcBorders>
            <w:vAlign w:val="center"/>
          </w:tcPr>
          <w:p w14:paraId="39DD2F2E" w14:textId="77777777" w:rsidR="00436707" w:rsidRPr="000D4DC7" w:rsidRDefault="00436707" w:rsidP="0044249F">
            <w:pPr>
              <w:keepNext/>
              <w:keepLines/>
              <w:tabs>
                <w:tab w:val="decimal" w:pos="395"/>
              </w:tabs>
              <w:spacing w:after="0"/>
              <w:contextualSpacing/>
              <w:jc w:val="center"/>
              <w:rPr>
                <w:i/>
                <w:sz w:val="20"/>
                <w:szCs w:val="20"/>
              </w:rPr>
            </w:pPr>
            <w:r w:rsidRPr="000D4DC7">
              <w:rPr>
                <w:i/>
                <w:sz w:val="20"/>
                <w:szCs w:val="20"/>
              </w:rPr>
              <w:t>2%</w:t>
            </w:r>
          </w:p>
        </w:tc>
        <w:tc>
          <w:tcPr>
            <w:tcW w:w="1159" w:type="dxa"/>
            <w:tcBorders>
              <w:left w:val="single" w:sz="4" w:space="0" w:color="000000" w:themeColor="text1"/>
              <w:bottom w:val="single" w:sz="4" w:space="0" w:color="auto"/>
              <w:right w:val="single" w:sz="4" w:space="0" w:color="auto"/>
            </w:tcBorders>
            <w:vAlign w:val="center"/>
          </w:tcPr>
          <w:p w14:paraId="7567C3C3" w14:textId="77777777" w:rsidR="00436707" w:rsidRPr="000D4DC7" w:rsidRDefault="00436707" w:rsidP="0044249F">
            <w:pPr>
              <w:keepNext/>
              <w:keepLines/>
              <w:tabs>
                <w:tab w:val="decimal" w:pos="361"/>
              </w:tabs>
              <w:spacing w:after="0"/>
              <w:contextualSpacing/>
              <w:jc w:val="center"/>
              <w:rPr>
                <w:i/>
                <w:sz w:val="20"/>
                <w:szCs w:val="20"/>
              </w:rPr>
            </w:pPr>
            <w:r w:rsidRPr="000D4DC7">
              <w:rPr>
                <w:i/>
                <w:sz w:val="20"/>
                <w:szCs w:val="20"/>
              </w:rPr>
              <w:t>8%</w:t>
            </w:r>
          </w:p>
        </w:tc>
      </w:tr>
    </w:tbl>
    <w:p w14:paraId="00A411DA" w14:textId="77777777" w:rsidR="00436707" w:rsidRPr="000D4DC7" w:rsidRDefault="00436707" w:rsidP="00436707">
      <w:pPr>
        <w:keepNext/>
        <w:ind w:left="1620"/>
        <w:rPr>
          <w:sz w:val="18"/>
        </w:rPr>
      </w:pPr>
      <w:r w:rsidRPr="000D4DC7">
        <w:rPr>
          <w:sz w:val="18"/>
        </w:rPr>
        <w:t>* Negative savings indicate a consumption increase.</w:t>
      </w:r>
    </w:p>
    <w:p w14:paraId="314D95CA" w14:textId="77777777" w:rsidR="00436707" w:rsidRPr="00F6205B" w:rsidRDefault="00436707" w:rsidP="00436707">
      <w:pPr>
        <w:keepNext/>
        <w:keepLines/>
      </w:pPr>
      <w:r w:rsidRPr="00F6205B">
        <w:br w:type="page"/>
      </w:r>
    </w:p>
    <w:p w14:paraId="087825B4" w14:textId="1CB22C97" w:rsidR="00436707" w:rsidRPr="00F6205B" w:rsidRDefault="00800617" w:rsidP="00436707">
      <w:pPr>
        <w:keepNext/>
        <w:keepLines/>
      </w:pPr>
      <w:r w:rsidRPr="00F6205B">
        <w:lastRenderedPageBreak/>
        <w:fldChar w:fldCharType="begin"/>
      </w:r>
      <w:r w:rsidRPr="00F6205B">
        <w:instrText xml:space="preserve"> REF _Ref439317250 \h </w:instrText>
      </w:r>
      <w:r w:rsidR="00F6205B">
        <w:instrText xml:space="preserve"> \* MERGEFORMAT </w:instrText>
      </w:r>
      <w:r w:rsidRPr="00F6205B">
        <w:fldChar w:fldCharType="separate"/>
      </w:r>
      <w:r w:rsidR="00FA26A9" w:rsidRPr="00F6205B">
        <w:t xml:space="preserve">Figure </w:t>
      </w:r>
      <w:r w:rsidR="00FA26A9">
        <w:rPr>
          <w:noProof/>
        </w:rPr>
        <w:t>11</w:t>
      </w:r>
      <w:r w:rsidRPr="00F6205B">
        <w:fldChar w:fldCharType="end"/>
      </w:r>
      <w:r w:rsidRPr="00F6205B">
        <w:t xml:space="preserve"> </w:t>
      </w:r>
      <w:r w:rsidR="00436707" w:rsidRPr="00F6205B">
        <w:t xml:space="preserve">presents the percentage of first-year savings (in MMBtus) associated with key end uses. Heating accounts for the majority of potential savings among all end uses. </w:t>
      </w:r>
    </w:p>
    <w:p w14:paraId="044B15AA" w14:textId="3A781F76" w:rsidR="00436707" w:rsidRPr="00F6205B" w:rsidRDefault="00436707" w:rsidP="004F23CF">
      <w:pPr>
        <w:pStyle w:val="Caption"/>
      </w:pPr>
      <w:bookmarkStart w:id="182" w:name="_Ref363045658"/>
      <w:bookmarkStart w:id="183" w:name="_Ref439317250"/>
      <w:bookmarkStart w:id="184" w:name="_Toc391887397"/>
      <w:bookmarkStart w:id="185" w:name="_Toc439931804"/>
      <w:bookmarkStart w:id="186" w:name="_Toc373318447"/>
      <w:r w:rsidRPr="00F6205B">
        <w:t>Figure</w:t>
      </w:r>
      <w:bookmarkEnd w:id="182"/>
      <w:r w:rsidR="004F23CF" w:rsidRPr="00F6205B">
        <w:t xml:space="preserve"> </w:t>
      </w:r>
      <w:fldSimple w:instr=" SEQ Figure \* ARABIC ">
        <w:r w:rsidR="00FA26A9">
          <w:rPr>
            <w:noProof/>
          </w:rPr>
          <w:t>11</w:t>
        </w:r>
      </w:fldSimple>
      <w:bookmarkEnd w:id="183"/>
      <w:r w:rsidRPr="00F6205B">
        <w:t>: Total Technical Potential Savings by End Use—% MMBtu Savings</w:t>
      </w:r>
      <w:bookmarkEnd w:id="184"/>
      <w:r w:rsidR="005632ED" w:rsidRPr="00F6205B">
        <w:t>*</w:t>
      </w:r>
      <w:bookmarkEnd w:id="185"/>
    </w:p>
    <w:bookmarkEnd w:id="186"/>
    <w:p w14:paraId="161ADDB6" w14:textId="77777777" w:rsidR="00346A82" w:rsidRPr="00F6205B" w:rsidRDefault="00346A82" w:rsidP="00346A82">
      <w:pPr>
        <w:pStyle w:val="Caption"/>
        <w:spacing w:before="0" w:after="120"/>
        <w:rPr>
          <w:b w:val="0"/>
          <w:bCs w:val="0"/>
          <w:sz w:val="18"/>
        </w:rPr>
      </w:pPr>
      <w:r w:rsidRPr="00F6205B">
        <w:rPr>
          <w:b w:val="0"/>
          <w:bCs w:val="0"/>
          <w:sz w:val="18"/>
        </w:rPr>
        <w:t>Base: all single-family homes (population-weighted)</w:t>
      </w:r>
    </w:p>
    <w:p w14:paraId="1D5F9B27" w14:textId="57FC13FA" w:rsidR="00436707" w:rsidRPr="00F6205B" w:rsidRDefault="001C0808" w:rsidP="00202BAB">
      <w:pPr>
        <w:keepNext/>
        <w:keepLines/>
        <w:spacing w:after="0"/>
        <w:jc w:val="center"/>
      </w:pPr>
      <w:r w:rsidRPr="00F6205B">
        <w:rPr>
          <w:noProof/>
          <w:lang w:bidi="ar-SA"/>
        </w:rPr>
        <w:drawing>
          <wp:inline distT="0" distB="0" distL="0" distR="0" wp14:anchorId="432AA601" wp14:editId="49C110A3">
            <wp:extent cx="2438400" cy="24872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38400" cy="2487295"/>
                    </a:xfrm>
                    <a:prstGeom prst="rect">
                      <a:avLst/>
                    </a:prstGeom>
                    <a:noFill/>
                  </pic:spPr>
                </pic:pic>
              </a:graphicData>
            </a:graphic>
          </wp:inline>
        </w:drawing>
      </w:r>
      <w:r w:rsidRPr="00F6205B">
        <w:rPr>
          <w:noProof/>
          <w:lang w:bidi="ar-SA"/>
        </w:rPr>
        <w:drawing>
          <wp:inline distT="0" distB="0" distL="0" distR="0" wp14:anchorId="74C7FCBB" wp14:editId="0EA81423">
            <wp:extent cx="2438400" cy="24872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38400" cy="2487295"/>
                    </a:xfrm>
                    <a:prstGeom prst="rect">
                      <a:avLst/>
                    </a:prstGeom>
                    <a:noFill/>
                  </pic:spPr>
                </pic:pic>
              </a:graphicData>
            </a:graphic>
          </wp:inline>
        </w:drawing>
      </w:r>
    </w:p>
    <w:p w14:paraId="6CB6EC9C" w14:textId="7FB2E796" w:rsidR="00202BAB" w:rsidRPr="00F6205B" w:rsidRDefault="00202BAB" w:rsidP="00202BAB">
      <w:pPr>
        <w:keepNext/>
        <w:keepLines/>
        <w:ind w:left="720"/>
        <w:rPr>
          <w:sz w:val="18"/>
        </w:rPr>
      </w:pPr>
      <w:r w:rsidRPr="00F6205B">
        <w:rPr>
          <w:sz w:val="18"/>
        </w:rPr>
        <w:t>* DHW = domestic hot water. L&amp;A = lights and appliances. PV = photovoltaics.</w:t>
      </w:r>
    </w:p>
    <w:p w14:paraId="2BA9675D" w14:textId="37E7E91D" w:rsidR="00202BAB" w:rsidRPr="00F6205B" w:rsidRDefault="00202BAB" w:rsidP="00436707">
      <w:pPr>
        <w:keepNext/>
        <w:keepLines/>
      </w:pPr>
    </w:p>
    <w:p w14:paraId="56E6BFD8" w14:textId="77777777" w:rsidR="00993F12" w:rsidRPr="00F6205B" w:rsidRDefault="00993F12" w:rsidP="00436707">
      <w:pPr>
        <w:keepNext/>
        <w:keepLines/>
      </w:pPr>
    </w:p>
    <w:p w14:paraId="77CFF2B1" w14:textId="5C6F0F43" w:rsidR="00436707" w:rsidRPr="00F6205B" w:rsidRDefault="00436707" w:rsidP="00436707">
      <w:pPr>
        <w:keepNext/>
        <w:keepLines/>
      </w:pPr>
      <w:r w:rsidRPr="00F6205B">
        <w:br w:type="page"/>
      </w:r>
    </w:p>
    <w:p w14:paraId="7F9E7419" w14:textId="52340573" w:rsidR="00436707" w:rsidRPr="00F6205B" w:rsidRDefault="00436707" w:rsidP="00436707">
      <w:pPr>
        <w:keepNext/>
        <w:keepLines/>
      </w:pPr>
      <w:r w:rsidRPr="00F6205B">
        <w:lastRenderedPageBreak/>
        <w:t>There is a larger relative savings opportunity for fuel oil and natural gas as they have greater shares of potential savings than they do of baseline consumption, while the opposite is true for electricity and propane (</w:t>
      </w:r>
      <w:r w:rsidR="00D023BB">
        <w:fldChar w:fldCharType="begin"/>
      </w:r>
      <w:r w:rsidR="00D023BB">
        <w:instrText xml:space="preserve"> REF _Ref439317795 \h </w:instrText>
      </w:r>
      <w:r w:rsidR="00D023BB">
        <w:fldChar w:fldCharType="separate"/>
      </w:r>
      <w:r w:rsidR="00FA26A9" w:rsidRPr="00F6205B">
        <w:t xml:space="preserve">Table </w:t>
      </w:r>
      <w:r w:rsidR="00FA26A9">
        <w:rPr>
          <w:noProof/>
        </w:rPr>
        <w:t>15</w:t>
      </w:r>
      <w:r w:rsidR="00D023BB">
        <w:fldChar w:fldCharType="end"/>
      </w:r>
      <w:r w:rsidRPr="00F6205B">
        <w:t xml:space="preserve">). This is because consumption in MMBtus is greatest for the heating end use and nearly 90% of homes in the sample heat with either oil or gas. Individual measure upgrades serve to shed some light on where the greatest technical potential for heat loss reduction lies. </w:t>
      </w:r>
      <w:bookmarkStart w:id="187" w:name="_Ref363046602"/>
    </w:p>
    <w:p w14:paraId="7CD8D066" w14:textId="0D7C8CD5" w:rsidR="00436707" w:rsidRPr="00F6205B" w:rsidRDefault="00436707" w:rsidP="004F23CF">
      <w:pPr>
        <w:pStyle w:val="Caption"/>
      </w:pPr>
      <w:bookmarkStart w:id="188" w:name="_Ref366833404"/>
      <w:bookmarkStart w:id="189" w:name="_Ref439317795"/>
      <w:bookmarkStart w:id="190" w:name="_Toc391887351"/>
      <w:bookmarkStart w:id="191" w:name="_Toc439931846"/>
      <w:bookmarkStart w:id="192" w:name="_Toc373324123"/>
      <w:r w:rsidRPr="00F6205B">
        <w:t>Table</w:t>
      </w:r>
      <w:bookmarkEnd w:id="187"/>
      <w:bookmarkEnd w:id="188"/>
      <w:r w:rsidR="004F23CF" w:rsidRPr="00F6205B">
        <w:t xml:space="preserve"> </w:t>
      </w:r>
      <w:fldSimple w:instr=" SEQ Table \* ARABIC ">
        <w:r w:rsidR="00FA26A9">
          <w:rPr>
            <w:noProof/>
          </w:rPr>
          <w:t>15</w:t>
        </w:r>
      </w:fldSimple>
      <w:bookmarkEnd w:id="189"/>
      <w:r w:rsidRPr="00F6205B">
        <w:t>: Fuel Type Share of Baseline Consumption and Savings Potential</w:t>
      </w:r>
      <w:bookmarkEnd w:id="190"/>
      <w:bookmarkEnd w:id="191"/>
    </w:p>
    <w:bookmarkEnd w:id="192"/>
    <w:p w14:paraId="1D6931AC" w14:textId="77777777" w:rsidR="00346A82" w:rsidRPr="00F6205B" w:rsidRDefault="00346A82" w:rsidP="00346A82">
      <w:pPr>
        <w:pStyle w:val="Caption"/>
        <w:spacing w:before="0" w:after="120"/>
        <w:rPr>
          <w:b w:val="0"/>
          <w:bCs w:val="0"/>
          <w:sz w:val="18"/>
        </w:rPr>
      </w:pPr>
      <w:r w:rsidRPr="00F6205B">
        <w:rPr>
          <w:b w:val="0"/>
          <w:bCs w:val="0"/>
          <w:sz w:val="18"/>
        </w:rPr>
        <w:t>Base: all single-family homes (population-weighted)</w:t>
      </w:r>
    </w:p>
    <w:tbl>
      <w:tblPr>
        <w:tblW w:w="5739"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710"/>
        <w:gridCol w:w="1537"/>
        <w:gridCol w:w="1246"/>
        <w:gridCol w:w="1246"/>
      </w:tblGrid>
      <w:tr w:rsidR="00436707" w:rsidRPr="00F6205B" w14:paraId="02F7067B" w14:textId="77777777" w:rsidTr="00541A8E">
        <w:trPr>
          <w:trHeight w:val="288"/>
          <w:jc w:val="center"/>
        </w:trPr>
        <w:tc>
          <w:tcPr>
            <w:tcW w:w="1710" w:type="dxa"/>
            <w:vMerge w:val="restart"/>
            <w:tcBorders>
              <w:top w:val="single" w:sz="4" w:space="0" w:color="auto"/>
              <w:left w:val="single" w:sz="4" w:space="0" w:color="auto"/>
              <w:right w:val="single" w:sz="4" w:space="0" w:color="000000" w:themeColor="text1"/>
            </w:tcBorders>
            <w:shd w:val="clear" w:color="auto" w:fill="0B4D2C" w:themeFill="background2" w:themeFillShade="BF"/>
            <w:vAlign w:val="center"/>
          </w:tcPr>
          <w:p w14:paraId="6F1589B0" w14:textId="584FDB14" w:rsidR="00436707" w:rsidRPr="00F6205B" w:rsidRDefault="00541A8E" w:rsidP="0044249F">
            <w:pPr>
              <w:keepNext/>
              <w:keepLines/>
              <w:spacing w:after="0" w:line="240" w:lineRule="auto"/>
              <w:contextualSpacing/>
              <w:rPr>
                <w:b/>
                <w:sz w:val="20"/>
                <w:szCs w:val="20"/>
              </w:rPr>
            </w:pPr>
            <w:r w:rsidRPr="00F6205B">
              <w:rPr>
                <w:b/>
                <w:sz w:val="20"/>
                <w:szCs w:val="20"/>
              </w:rPr>
              <w:t>Fuel type</w:t>
            </w:r>
          </w:p>
        </w:tc>
        <w:tc>
          <w:tcPr>
            <w:tcW w:w="1537" w:type="dxa"/>
            <w:vMerge w:val="restart"/>
            <w:tcBorders>
              <w:top w:val="single" w:sz="4" w:space="0" w:color="auto"/>
              <w:left w:val="single" w:sz="4" w:space="0" w:color="000000" w:themeColor="text1"/>
              <w:right w:val="single" w:sz="4" w:space="0" w:color="000000" w:themeColor="text1"/>
            </w:tcBorders>
            <w:shd w:val="clear" w:color="auto" w:fill="0B4D2C" w:themeFill="background2" w:themeFillShade="BF"/>
            <w:vAlign w:val="center"/>
          </w:tcPr>
          <w:p w14:paraId="28500AB1" w14:textId="2E51D0DD" w:rsidR="00436707" w:rsidRPr="00F6205B" w:rsidRDefault="00436707" w:rsidP="0044249F">
            <w:pPr>
              <w:keepNext/>
              <w:keepLines/>
              <w:spacing w:after="0" w:line="240" w:lineRule="auto"/>
              <w:contextualSpacing/>
              <w:jc w:val="center"/>
              <w:rPr>
                <w:b/>
                <w:sz w:val="20"/>
                <w:szCs w:val="20"/>
              </w:rPr>
            </w:pPr>
            <w:r w:rsidRPr="00F6205B">
              <w:rPr>
                <w:b/>
                <w:sz w:val="20"/>
                <w:szCs w:val="20"/>
              </w:rPr>
              <w:t>S</w:t>
            </w:r>
            <w:r w:rsidR="00541A8E" w:rsidRPr="00F6205B">
              <w:rPr>
                <w:b/>
                <w:sz w:val="20"/>
                <w:szCs w:val="20"/>
              </w:rPr>
              <w:t>hare of Baseline Consumption (</w:t>
            </w:r>
            <w:r w:rsidRPr="00F6205B">
              <w:rPr>
                <w:b/>
                <w:sz w:val="20"/>
                <w:szCs w:val="20"/>
              </w:rPr>
              <w:t>MMBtu</w:t>
            </w:r>
            <w:r w:rsidR="00541A8E" w:rsidRPr="00F6205B">
              <w:rPr>
                <w:b/>
                <w:sz w:val="20"/>
                <w:szCs w:val="20"/>
              </w:rPr>
              <w:t>)</w:t>
            </w:r>
          </w:p>
        </w:tc>
        <w:tc>
          <w:tcPr>
            <w:tcW w:w="2492" w:type="dxa"/>
            <w:gridSpan w:val="2"/>
            <w:tcBorders>
              <w:top w:val="single" w:sz="4" w:space="0" w:color="auto"/>
              <w:left w:val="single" w:sz="4" w:space="0" w:color="000000" w:themeColor="text1"/>
              <w:bottom w:val="single" w:sz="4" w:space="0" w:color="000000" w:themeColor="text1"/>
              <w:right w:val="single" w:sz="4" w:space="0" w:color="auto"/>
            </w:tcBorders>
            <w:shd w:val="clear" w:color="auto" w:fill="0B4D2C" w:themeFill="background2" w:themeFillShade="BF"/>
            <w:vAlign w:val="center"/>
          </w:tcPr>
          <w:p w14:paraId="21B6F58E" w14:textId="77777777" w:rsidR="00436707" w:rsidRPr="00F6205B" w:rsidRDefault="00436707" w:rsidP="0044249F">
            <w:pPr>
              <w:keepNext/>
              <w:keepLines/>
              <w:spacing w:after="0" w:line="240" w:lineRule="auto"/>
              <w:contextualSpacing/>
              <w:jc w:val="center"/>
              <w:rPr>
                <w:b/>
                <w:sz w:val="20"/>
                <w:szCs w:val="20"/>
              </w:rPr>
            </w:pPr>
            <w:r w:rsidRPr="00F6205B">
              <w:rPr>
                <w:b/>
                <w:sz w:val="20"/>
                <w:szCs w:val="20"/>
              </w:rPr>
              <w:t>Share of Savings Potential*</w:t>
            </w:r>
          </w:p>
        </w:tc>
      </w:tr>
      <w:tr w:rsidR="00436707" w:rsidRPr="00F6205B" w14:paraId="6DF6603E" w14:textId="77777777" w:rsidTr="00541A8E">
        <w:trPr>
          <w:trHeight w:val="288"/>
          <w:jc w:val="center"/>
        </w:trPr>
        <w:tc>
          <w:tcPr>
            <w:tcW w:w="1710" w:type="dxa"/>
            <w:vMerge/>
            <w:tcBorders>
              <w:left w:val="single" w:sz="4" w:space="0" w:color="auto"/>
              <w:bottom w:val="single" w:sz="4" w:space="0" w:color="auto"/>
              <w:right w:val="single" w:sz="4" w:space="0" w:color="000000" w:themeColor="text1"/>
            </w:tcBorders>
            <w:shd w:val="clear" w:color="auto" w:fill="0B4D2C" w:themeFill="background2" w:themeFillShade="BF"/>
            <w:vAlign w:val="center"/>
          </w:tcPr>
          <w:p w14:paraId="59C05182" w14:textId="77777777" w:rsidR="00436707" w:rsidRPr="00F6205B" w:rsidRDefault="00436707" w:rsidP="0044249F">
            <w:pPr>
              <w:keepNext/>
              <w:keepLines/>
              <w:spacing w:after="0" w:line="240" w:lineRule="auto"/>
              <w:contextualSpacing/>
              <w:rPr>
                <w:b/>
                <w:sz w:val="20"/>
                <w:szCs w:val="20"/>
              </w:rPr>
            </w:pPr>
          </w:p>
        </w:tc>
        <w:tc>
          <w:tcPr>
            <w:tcW w:w="1537" w:type="dxa"/>
            <w:vMerge/>
            <w:tcBorders>
              <w:left w:val="single" w:sz="4" w:space="0" w:color="000000" w:themeColor="text1"/>
              <w:bottom w:val="single" w:sz="4" w:space="0" w:color="auto"/>
              <w:right w:val="single" w:sz="4" w:space="0" w:color="000000" w:themeColor="text1"/>
            </w:tcBorders>
            <w:shd w:val="clear" w:color="auto" w:fill="0B4D2C" w:themeFill="background2" w:themeFillShade="BF"/>
            <w:vAlign w:val="center"/>
          </w:tcPr>
          <w:p w14:paraId="4203C43E" w14:textId="77777777" w:rsidR="00436707" w:rsidRPr="00F6205B" w:rsidRDefault="00436707" w:rsidP="0044249F">
            <w:pPr>
              <w:keepNext/>
              <w:keepLines/>
              <w:spacing w:after="0" w:line="240" w:lineRule="auto"/>
              <w:contextualSpacing/>
              <w:jc w:val="center"/>
              <w:rPr>
                <w:b/>
                <w:sz w:val="20"/>
                <w:szCs w:val="20"/>
              </w:rPr>
            </w:pPr>
          </w:p>
        </w:tc>
        <w:tc>
          <w:tcPr>
            <w:tcW w:w="124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0B4D2C" w:themeFill="background2" w:themeFillShade="BF"/>
            <w:vAlign w:val="center"/>
          </w:tcPr>
          <w:p w14:paraId="258C4B1A" w14:textId="3DEF5A52" w:rsidR="00436707" w:rsidRPr="00F6205B" w:rsidRDefault="00541A8E" w:rsidP="00541A8E">
            <w:pPr>
              <w:keepNext/>
              <w:keepLines/>
              <w:spacing w:after="0" w:line="240" w:lineRule="auto"/>
              <w:contextualSpacing/>
              <w:jc w:val="center"/>
              <w:rPr>
                <w:b/>
                <w:sz w:val="20"/>
                <w:szCs w:val="20"/>
              </w:rPr>
            </w:pPr>
            <w:r w:rsidRPr="00F6205B">
              <w:rPr>
                <w:b/>
                <w:sz w:val="20"/>
                <w:szCs w:val="20"/>
              </w:rPr>
              <w:t>Including Solar</w:t>
            </w:r>
          </w:p>
        </w:tc>
        <w:tc>
          <w:tcPr>
            <w:tcW w:w="1246" w:type="dxa"/>
            <w:tcBorders>
              <w:top w:val="single" w:sz="4" w:space="0" w:color="000000" w:themeColor="text1"/>
              <w:left w:val="single" w:sz="4" w:space="0" w:color="000000" w:themeColor="text1"/>
              <w:bottom w:val="single" w:sz="4" w:space="0" w:color="auto"/>
              <w:right w:val="single" w:sz="4" w:space="0" w:color="auto"/>
            </w:tcBorders>
            <w:shd w:val="clear" w:color="auto" w:fill="0B4D2C" w:themeFill="background2" w:themeFillShade="BF"/>
            <w:vAlign w:val="center"/>
          </w:tcPr>
          <w:p w14:paraId="1229F05A" w14:textId="32A008D2" w:rsidR="00436707" w:rsidRPr="00F6205B" w:rsidRDefault="00436707" w:rsidP="00541A8E">
            <w:pPr>
              <w:keepNext/>
              <w:keepLines/>
              <w:spacing w:after="0" w:line="240" w:lineRule="auto"/>
              <w:contextualSpacing/>
              <w:jc w:val="center"/>
              <w:rPr>
                <w:b/>
                <w:sz w:val="20"/>
                <w:szCs w:val="20"/>
              </w:rPr>
            </w:pPr>
            <w:r w:rsidRPr="00F6205B">
              <w:rPr>
                <w:b/>
                <w:sz w:val="20"/>
                <w:szCs w:val="20"/>
              </w:rPr>
              <w:t>Excluding Solar</w:t>
            </w:r>
          </w:p>
        </w:tc>
      </w:tr>
      <w:tr w:rsidR="00436707" w:rsidRPr="00F6205B" w14:paraId="6EADE0D8" w14:textId="77777777" w:rsidTr="00541A8E">
        <w:trPr>
          <w:trHeight w:val="288"/>
          <w:jc w:val="center"/>
        </w:trPr>
        <w:tc>
          <w:tcPr>
            <w:tcW w:w="1710" w:type="dxa"/>
            <w:tcBorders>
              <w:top w:val="single" w:sz="4" w:space="0" w:color="auto"/>
              <w:left w:val="single" w:sz="4" w:space="0" w:color="auto"/>
              <w:bottom w:val="single" w:sz="4" w:space="0" w:color="000000" w:themeColor="text1"/>
              <w:right w:val="single" w:sz="4" w:space="0" w:color="000000" w:themeColor="text1"/>
            </w:tcBorders>
            <w:vAlign w:val="center"/>
          </w:tcPr>
          <w:p w14:paraId="1FD72987" w14:textId="77777777" w:rsidR="00436707" w:rsidRPr="00F6205B" w:rsidRDefault="00436707" w:rsidP="00541A8E">
            <w:pPr>
              <w:keepNext/>
              <w:keepLines/>
              <w:spacing w:after="0" w:line="240" w:lineRule="auto"/>
              <w:contextualSpacing/>
              <w:rPr>
                <w:sz w:val="20"/>
                <w:szCs w:val="20"/>
              </w:rPr>
            </w:pPr>
            <w:r w:rsidRPr="00F6205B">
              <w:rPr>
                <w:sz w:val="20"/>
                <w:szCs w:val="20"/>
              </w:rPr>
              <w:t xml:space="preserve">Fuel oil </w:t>
            </w:r>
          </w:p>
        </w:tc>
        <w:tc>
          <w:tcPr>
            <w:tcW w:w="1537"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C60F564" w14:textId="369B4FB6" w:rsidR="00436707" w:rsidRPr="00F6205B" w:rsidRDefault="00D023BB" w:rsidP="0044249F">
            <w:pPr>
              <w:keepNext/>
              <w:keepLines/>
              <w:tabs>
                <w:tab w:val="decimal" w:pos="397"/>
              </w:tabs>
              <w:spacing w:after="0" w:line="240" w:lineRule="auto"/>
              <w:contextualSpacing/>
              <w:jc w:val="center"/>
              <w:rPr>
                <w:sz w:val="20"/>
                <w:szCs w:val="20"/>
              </w:rPr>
            </w:pPr>
            <w:r>
              <w:rPr>
                <w:sz w:val="20"/>
                <w:szCs w:val="20"/>
              </w:rPr>
              <w:t>49</w:t>
            </w:r>
            <w:r w:rsidR="00436707" w:rsidRPr="00F6205B">
              <w:rPr>
                <w:sz w:val="20"/>
                <w:szCs w:val="20"/>
              </w:rPr>
              <w:t>%</w:t>
            </w:r>
          </w:p>
        </w:tc>
        <w:tc>
          <w:tcPr>
            <w:tcW w:w="1246"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EB2AC88" w14:textId="6B5D8F16" w:rsidR="00436707" w:rsidRPr="00F6205B" w:rsidRDefault="00D023BB" w:rsidP="0044249F">
            <w:pPr>
              <w:keepNext/>
              <w:keepLines/>
              <w:tabs>
                <w:tab w:val="decimal" w:pos="289"/>
              </w:tabs>
              <w:spacing w:after="0" w:line="240" w:lineRule="auto"/>
              <w:contextualSpacing/>
              <w:jc w:val="center"/>
              <w:rPr>
                <w:sz w:val="20"/>
                <w:szCs w:val="20"/>
              </w:rPr>
            </w:pPr>
            <w:r>
              <w:rPr>
                <w:sz w:val="20"/>
                <w:szCs w:val="20"/>
              </w:rPr>
              <w:t>54</w:t>
            </w:r>
            <w:r w:rsidR="00436707" w:rsidRPr="00F6205B">
              <w:rPr>
                <w:sz w:val="20"/>
                <w:szCs w:val="20"/>
              </w:rPr>
              <w:t>%</w:t>
            </w:r>
          </w:p>
        </w:tc>
        <w:tc>
          <w:tcPr>
            <w:tcW w:w="1246" w:type="dxa"/>
            <w:tcBorders>
              <w:top w:val="single" w:sz="4" w:space="0" w:color="auto"/>
              <w:left w:val="single" w:sz="4" w:space="0" w:color="000000" w:themeColor="text1"/>
              <w:bottom w:val="single" w:sz="4" w:space="0" w:color="000000" w:themeColor="text1"/>
              <w:right w:val="single" w:sz="4" w:space="0" w:color="auto"/>
            </w:tcBorders>
            <w:vAlign w:val="center"/>
          </w:tcPr>
          <w:p w14:paraId="3791C7E1" w14:textId="5947715F" w:rsidR="00436707" w:rsidRPr="00F6205B" w:rsidRDefault="00D023BB" w:rsidP="0044249F">
            <w:pPr>
              <w:keepNext/>
              <w:keepLines/>
              <w:tabs>
                <w:tab w:val="decimal" w:pos="194"/>
              </w:tabs>
              <w:spacing w:after="0" w:line="240" w:lineRule="auto"/>
              <w:contextualSpacing/>
              <w:jc w:val="center"/>
              <w:rPr>
                <w:sz w:val="20"/>
                <w:szCs w:val="20"/>
              </w:rPr>
            </w:pPr>
            <w:r>
              <w:rPr>
                <w:sz w:val="20"/>
                <w:szCs w:val="20"/>
              </w:rPr>
              <w:t>63</w:t>
            </w:r>
            <w:r w:rsidR="00436707" w:rsidRPr="00F6205B">
              <w:rPr>
                <w:sz w:val="20"/>
                <w:szCs w:val="20"/>
              </w:rPr>
              <w:t>%</w:t>
            </w:r>
          </w:p>
        </w:tc>
      </w:tr>
      <w:tr w:rsidR="00436707" w:rsidRPr="00F6205B" w14:paraId="24F70FE4" w14:textId="77777777" w:rsidTr="00541A8E">
        <w:trPr>
          <w:trHeight w:val="288"/>
          <w:jc w:val="center"/>
        </w:trPr>
        <w:tc>
          <w:tcPr>
            <w:tcW w:w="171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F97C411" w14:textId="77777777" w:rsidR="00436707" w:rsidRPr="00F6205B" w:rsidRDefault="00436707" w:rsidP="00541A8E">
            <w:pPr>
              <w:keepNext/>
              <w:keepLines/>
              <w:spacing w:after="0" w:line="240" w:lineRule="auto"/>
              <w:contextualSpacing/>
              <w:rPr>
                <w:sz w:val="20"/>
                <w:szCs w:val="20"/>
              </w:rPr>
            </w:pPr>
            <w:r w:rsidRPr="00F6205B">
              <w:rPr>
                <w:sz w:val="20"/>
                <w:szCs w:val="20"/>
              </w:rPr>
              <w:t>Natural gas</w:t>
            </w:r>
          </w:p>
        </w:tc>
        <w:tc>
          <w:tcPr>
            <w:tcW w:w="15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4994EC" w14:textId="777A4E34" w:rsidR="00436707" w:rsidRPr="00F6205B" w:rsidRDefault="00D023BB" w:rsidP="0044249F">
            <w:pPr>
              <w:keepNext/>
              <w:keepLines/>
              <w:tabs>
                <w:tab w:val="decimal" w:pos="397"/>
              </w:tabs>
              <w:spacing w:after="0" w:line="240" w:lineRule="auto"/>
              <w:contextualSpacing/>
              <w:jc w:val="center"/>
              <w:rPr>
                <w:sz w:val="20"/>
                <w:szCs w:val="20"/>
              </w:rPr>
            </w:pPr>
            <w:r>
              <w:rPr>
                <w:sz w:val="20"/>
                <w:szCs w:val="20"/>
              </w:rPr>
              <w:t>22</w:t>
            </w:r>
            <w:r w:rsidR="00436707" w:rsidRPr="00F6205B">
              <w:rPr>
                <w:sz w:val="20"/>
                <w:szCs w:val="20"/>
              </w:rPr>
              <w:t>%</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E2E5EB" w14:textId="21BEA3AB" w:rsidR="00436707" w:rsidRPr="00F6205B" w:rsidRDefault="00D023BB" w:rsidP="0044249F">
            <w:pPr>
              <w:keepNext/>
              <w:keepLines/>
              <w:tabs>
                <w:tab w:val="decimal" w:pos="289"/>
              </w:tabs>
              <w:spacing w:after="0" w:line="240" w:lineRule="auto"/>
              <w:contextualSpacing/>
              <w:jc w:val="center"/>
              <w:rPr>
                <w:sz w:val="20"/>
                <w:szCs w:val="20"/>
              </w:rPr>
            </w:pPr>
            <w:r>
              <w:rPr>
                <w:sz w:val="20"/>
                <w:szCs w:val="20"/>
              </w:rPr>
              <w:t>24</w:t>
            </w:r>
            <w:r w:rsidR="00436707" w:rsidRPr="00F6205B">
              <w:rPr>
                <w:sz w:val="20"/>
                <w:szCs w:val="20"/>
              </w:rPr>
              <w:t>%</w:t>
            </w:r>
          </w:p>
        </w:tc>
        <w:tc>
          <w:tcPr>
            <w:tcW w:w="1246"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49B4D74" w14:textId="3C016C45" w:rsidR="00436707" w:rsidRPr="00F6205B" w:rsidRDefault="00D023BB" w:rsidP="0044249F">
            <w:pPr>
              <w:keepNext/>
              <w:keepLines/>
              <w:tabs>
                <w:tab w:val="decimal" w:pos="194"/>
              </w:tabs>
              <w:spacing w:after="0" w:line="240" w:lineRule="auto"/>
              <w:contextualSpacing/>
              <w:jc w:val="center"/>
              <w:rPr>
                <w:sz w:val="20"/>
                <w:szCs w:val="20"/>
              </w:rPr>
            </w:pPr>
            <w:r>
              <w:rPr>
                <w:sz w:val="20"/>
                <w:szCs w:val="20"/>
              </w:rPr>
              <w:t>28</w:t>
            </w:r>
            <w:r w:rsidR="00436707" w:rsidRPr="00F6205B">
              <w:rPr>
                <w:sz w:val="20"/>
                <w:szCs w:val="20"/>
              </w:rPr>
              <w:t>%</w:t>
            </w:r>
          </w:p>
        </w:tc>
      </w:tr>
      <w:tr w:rsidR="00436707" w:rsidRPr="00F6205B" w14:paraId="60FEF6B0" w14:textId="77777777" w:rsidTr="00541A8E">
        <w:trPr>
          <w:trHeight w:val="288"/>
          <w:jc w:val="center"/>
        </w:trPr>
        <w:tc>
          <w:tcPr>
            <w:tcW w:w="171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52972DF" w14:textId="77777777" w:rsidR="00436707" w:rsidRPr="00F6205B" w:rsidRDefault="00436707" w:rsidP="00541A8E">
            <w:pPr>
              <w:keepNext/>
              <w:keepLines/>
              <w:spacing w:after="0" w:line="240" w:lineRule="auto"/>
              <w:contextualSpacing/>
              <w:rPr>
                <w:sz w:val="20"/>
                <w:szCs w:val="20"/>
              </w:rPr>
            </w:pPr>
            <w:r w:rsidRPr="00F6205B">
              <w:rPr>
                <w:sz w:val="20"/>
                <w:szCs w:val="20"/>
              </w:rPr>
              <w:t>Propane</w:t>
            </w:r>
          </w:p>
        </w:tc>
        <w:tc>
          <w:tcPr>
            <w:tcW w:w="15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28B513" w14:textId="3E58E32F" w:rsidR="00436707" w:rsidRPr="00F6205B" w:rsidRDefault="00D023BB" w:rsidP="0044249F">
            <w:pPr>
              <w:keepNext/>
              <w:keepLines/>
              <w:tabs>
                <w:tab w:val="decimal" w:pos="397"/>
              </w:tabs>
              <w:spacing w:after="0" w:line="240" w:lineRule="auto"/>
              <w:contextualSpacing/>
              <w:jc w:val="center"/>
              <w:rPr>
                <w:sz w:val="20"/>
                <w:szCs w:val="20"/>
              </w:rPr>
            </w:pPr>
            <w:r>
              <w:rPr>
                <w:sz w:val="20"/>
                <w:szCs w:val="20"/>
              </w:rPr>
              <w:t>2</w:t>
            </w:r>
            <w:r w:rsidR="00436707" w:rsidRPr="00F6205B">
              <w:rPr>
                <w:sz w:val="20"/>
                <w:szCs w:val="20"/>
              </w:rPr>
              <w:t>%</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B74822" w14:textId="78C1C267" w:rsidR="00436707" w:rsidRPr="00F6205B" w:rsidRDefault="00D023BB" w:rsidP="00D023BB">
            <w:pPr>
              <w:keepNext/>
              <w:keepLines/>
              <w:tabs>
                <w:tab w:val="decimal" w:pos="451"/>
              </w:tabs>
              <w:spacing w:after="0" w:line="240" w:lineRule="auto"/>
              <w:contextualSpacing/>
              <w:rPr>
                <w:sz w:val="20"/>
                <w:szCs w:val="20"/>
              </w:rPr>
            </w:pPr>
            <w:r>
              <w:rPr>
                <w:sz w:val="20"/>
                <w:szCs w:val="20"/>
              </w:rPr>
              <w:t>2</w:t>
            </w:r>
            <w:r w:rsidR="00436707" w:rsidRPr="00F6205B">
              <w:rPr>
                <w:sz w:val="20"/>
                <w:szCs w:val="20"/>
              </w:rPr>
              <w:t>%</w:t>
            </w:r>
          </w:p>
        </w:tc>
        <w:tc>
          <w:tcPr>
            <w:tcW w:w="1246"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8571CF7" w14:textId="575AAE01" w:rsidR="00436707" w:rsidRPr="00F6205B" w:rsidRDefault="00D023BB" w:rsidP="0044249F">
            <w:pPr>
              <w:keepNext/>
              <w:keepLines/>
              <w:tabs>
                <w:tab w:val="decimal" w:pos="194"/>
              </w:tabs>
              <w:spacing w:after="0" w:line="240" w:lineRule="auto"/>
              <w:contextualSpacing/>
              <w:jc w:val="center"/>
              <w:rPr>
                <w:sz w:val="20"/>
                <w:szCs w:val="20"/>
              </w:rPr>
            </w:pPr>
            <w:r>
              <w:rPr>
                <w:sz w:val="20"/>
                <w:szCs w:val="20"/>
              </w:rPr>
              <w:t>2</w:t>
            </w:r>
            <w:r w:rsidR="00436707" w:rsidRPr="00F6205B">
              <w:rPr>
                <w:sz w:val="20"/>
                <w:szCs w:val="20"/>
              </w:rPr>
              <w:t>%</w:t>
            </w:r>
          </w:p>
        </w:tc>
      </w:tr>
      <w:tr w:rsidR="00436707" w:rsidRPr="00F6205B" w14:paraId="43112CD2" w14:textId="77777777" w:rsidTr="00541A8E">
        <w:trPr>
          <w:trHeight w:val="288"/>
          <w:jc w:val="center"/>
        </w:trPr>
        <w:tc>
          <w:tcPr>
            <w:tcW w:w="1710" w:type="dxa"/>
            <w:tcBorders>
              <w:top w:val="single" w:sz="4" w:space="0" w:color="000000" w:themeColor="text1"/>
              <w:left w:val="single" w:sz="4" w:space="0" w:color="auto"/>
              <w:bottom w:val="single" w:sz="4" w:space="0" w:color="auto"/>
              <w:right w:val="single" w:sz="4" w:space="0" w:color="000000" w:themeColor="text1"/>
            </w:tcBorders>
            <w:vAlign w:val="center"/>
          </w:tcPr>
          <w:p w14:paraId="304A984D" w14:textId="77777777" w:rsidR="00436707" w:rsidRPr="00F6205B" w:rsidRDefault="00436707" w:rsidP="00541A8E">
            <w:pPr>
              <w:keepNext/>
              <w:keepLines/>
              <w:spacing w:after="0" w:line="240" w:lineRule="auto"/>
              <w:contextualSpacing/>
              <w:rPr>
                <w:sz w:val="20"/>
                <w:szCs w:val="20"/>
              </w:rPr>
            </w:pPr>
            <w:r w:rsidRPr="00F6205B">
              <w:rPr>
                <w:sz w:val="20"/>
                <w:szCs w:val="20"/>
              </w:rPr>
              <w:t>Electricity</w:t>
            </w:r>
          </w:p>
        </w:tc>
        <w:tc>
          <w:tcPr>
            <w:tcW w:w="1537"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8C19E0F" w14:textId="0DD26C50" w:rsidR="00436707" w:rsidRPr="00F6205B" w:rsidRDefault="00D023BB" w:rsidP="0044249F">
            <w:pPr>
              <w:keepNext/>
              <w:keepLines/>
              <w:tabs>
                <w:tab w:val="decimal" w:pos="397"/>
              </w:tabs>
              <w:spacing w:after="0" w:line="240" w:lineRule="auto"/>
              <w:contextualSpacing/>
              <w:jc w:val="center"/>
              <w:rPr>
                <w:sz w:val="20"/>
                <w:szCs w:val="20"/>
              </w:rPr>
            </w:pPr>
            <w:r>
              <w:rPr>
                <w:sz w:val="20"/>
                <w:szCs w:val="20"/>
              </w:rPr>
              <w:t>27</w:t>
            </w:r>
            <w:r w:rsidR="00436707" w:rsidRPr="00F6205B">
              <w:rPr>
                <w:sz w:val="20"/>
                <w:szCs w:val="20"/>
              </w:rPr>
              <w:t>%</w:t>
            </w:r>
          </w:p>
        </w:tc>
        <w:tc>
          <w:tcPr>
            <w:tcW w:w="124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6D9885A" w14:textId="423BF43C" w:rsidR="00436707" w:rsidRPr="00F6205B" w:rsidRDefault="00D023BB" w:rsidP="0044249F">
            <w:pPr>
              <w:keepNext/>
              <w:keepLines/>
              <w:tabs>
                <w:tab w:val="decimal" w:pos="289"/>
              </w:tabs>
              <w:spacing w:after="0" w:line="240" w:lineRule="auto"/>
              <w:contextualSpacing/>
              <w:jc w:val="center"/>
              <w:rPr>
                <w:sz w:val="20"/>
                <w:szCs w:val="20"/>
              </w:rPr>
            </w:pPr>
            <w:r>
              <w:rPr>
                <w:sz w:val="20"/>
                <w:szCs w:val="20"/>
              </w:rPr>
              <w:t>21</w:t>
            </w:r>
            <w:r w:rsidR="00436707" w:rsidRPr="00F6205B">
              <w:rPr>
                <w:sz w:val="20"/>
                <w:szCs w:val="20"/>
              </w:rPr>
              <w:t>%</w:t>
            </w:r>
          </w:p>
        </w:tc>
        <w:tc>
          <w:tcPr>
            <w:tcW w:w="1246" w:type="dxa"/>
            <w:tcBorders>
              <w:top w:val="single" w:sz="4" w:space="0" w:color="000000" w:themeColor="text1"/>
              <w:left w:val="single" w:sz="4" w:space="0" w:color="000000" w:themeColor="text1"/>
              <w:bottom w:val="single" w:sz="4" w:space="0" w:color="auto"/>
              <w:right w:val="single" w:sz="4" w:space="0" w:color="auto"/>
            </w:tcBorders>
            <w:vAlign w:val="center"/>
          </w:tcPr>
          <w:p w14:paraId="1250DBE9" w14:textId="3E54EA6D" w:rsidR="00436707" w:rsidRPr="00F6205B" w:rsidRDefault="00D023BB" w:rsidP="0044249F">
            <w:pPr>
              <w:keepNext/>
              <w:keepLines/>
              <w:tabs>
                <w:tab w:val="decimal" w:pos="194"/>
              </w:tabs>
              <w:spacing w:after="0" w:line="240" w:lineRule="auto"/>
              <w:contextualSpacing/>
              <w:jc w:val="center"/>
              <w:rPr>
                <w:sz w:val="20"/>
                <w:szCs w:val="20"/>
              </w:rPr>
            </w:pPr>
            <w:r>
              <w:rPr>
                <w:sz w:val="20"/>
                <w:szCs w:val="20"/>
              </w:rPr>
              <w:t>8</w:t>
            </w:r>
            <w:r w:rsidR="00436707" w:rsidRPr="00F6205B">
              <w:rPr>
                <w:sz w:val="20"/>
                <w:szCs w:val="20"/>
              </w:rPr>
              <w:t>%</w:t>
            </w:r>
          </w:p>
        </w:tc>
      </w:tr>
    </w:tbl>
    <w:p w14:paraId="281F1465" w14:textId="0174E7D0" w:rsidR="00436707" w:rsidRPr="00F6205B" w:rsidRDefault="00436707" w:rsidP="00541A8E">
      <w:pPr>
        <w:keepNext/>
        <w:keepLines/>
        <w:spacing w:after="0"/>
        <w:ind w:left="1620" w:right="1638"/>
        <w:rPr>
          <w:sz w:val="18"/>
        </w:rPr>
      </w:pPr>
      <w:r w:rsidRPr="00F6205B">
        <w:rPr>
          <w:sz w:val="18"/>
        </w:rPr>
        <w:t>* Excluding ductless mini-splits raises the electric share of savings potential from</w:t>
      </w:r>
      <w:r w:rsidR="00541A8E" w:rsidRPr="00F6205B">
        <w:rPr>
          <w:sz w:val="18"/>
        </w:rPr>
        <w:t xml:space="preserve"> </w:t>
      </w:r>
      <w:r w:rsidRPr="00F6205B">
        <w:rPr>
          <w:sz w:val="18"/>
        </w:rPr>
        <w:t>20.9% to roughly 29.5% when solar technologies are included, and from 7.6%</w:t>
      </w:r>
      <w:r w:rsidR="00541A8E" w:rsidRPr="00F6205B">
        <w:rPr>
          <w:sz w:val="18"/>
        </w:rPr>
        <w:t xml:space="preserve"> </w:t>
      </w:r>
      <w:r w:rsidRPr="00F6205B">
        <w:rPr>
          <w:sz w:val="18"/>
        </w:rPr>
        <w:t>to roughly 19.8% when solar technologies are excluded.</w:t>
      </w:r>
    </w:p>
    <w:p w14:paraId="4B5E4088" w14:textId="77777777" w:rsidR="00436707" w:rsidRPr="00F6205B" w:rsidRDefault="00436707" w:rsidP="00436707">
      <w:pPr>
        <w:keepNext/>
        <w:keepLines/>
      </w:pPr>
    </w:p>
    <w:p w14:paraId="79DE7313" w14:textId="77777777" w:rsidR="00436707" w:rsidRPr="00F6205B" w:rsidRDefault="00436707" w:rsidP="00436707">
      <w:pPr>
        <w:keepNext/>
        <w:keepLines/>
      </w:pPr>
      <w:r w:rsidRPr="00F6205B">
        <w:br w:type="page"/>
      </w:r>
    </w:p>
    <w:p w14:paraId="65F19FA7" w14:textId="0782C8FB" w:rsidR="00436707" w:rsidRPr="00F6205B" w:rsidRDefault="007B49CF" w:rsidP="00436707">
      <w:pPr>
        <w:keepNext/>
        <w:keepLines/>
      </w:pPr>
      <w:r w:rsidRPr="00F6205B">
        <w:lastRenderedPageBreak/>
        <w:fldChar w:fldCharType="begin"/>
      </w:r>
      <w:r w:rsidRPr="00F6205B">
        <w:instrText xml:space="preserve"> REF _Ref439317781 \h </w:instrText>
      </w:r>
      <w:r w:rsidR="00F6205B">
        <w:instrText xml:space="preserve"> \* MERGEFORMAT </w:instrText>
      </w:r>
      <w:r w:rsidRPr="00F6205B">
        <w:fldChar w:fldCharType="separate"/>
      </w:r>
      <w:r w:rsidR="00FA26A9" w:rsidRPr="00F6205B">
        <w:t xml:space="preserve">Figure </w:t>
      </w:r>
      <w:r w:rsidR="00FA26A9">
        <w:rPr>
          <w:noProof/>
        </w:rPr>
        <w:t>12</w:t>
      </w:r>
      <w:r w:rsidRPr="00F6205B">
        <w:fldChar w:fldCharType="end"/>
      </w:r>
      <w:r w:rsidRPr="00F6205B">
        <w:t xml:space="preserve"> </w:t>
      </w:r>
      <w:r w:rsidR="00436707" w:rsidRPr="00F6205B">
        <w:t>shows the same information presented in</w:t>
      </w:r>
      <w:r w:rsidRPr="00F6205B">
        <w:t xml:space="preserve"> </w:t>
      </w:r>
      <w:r w:rsidRPr="00F6205B">
        <w:fldChar w:fldCharType="begin"/>
      </w:r>
      <w:r w:rsidRPr="00F6205B">
        <w:instrText xml:space="preserve"> REF _Ref439317795 \h </w:instrText>
      </w:r>
      <w:r w:rsidR="00F6205B">
        <w:instrText xml:space="preserve"> \* MERGEFORMAT </w:instrText>
      </w:r>
      <w:r w:rsidRPr="00F6205B">
        <w:fldChar w:fldCharType="separate"/>
      </w:r>
      <w:r w:rsidR="00FA26A9" w:rsidRPr="00F6205B">
        <w:t xml:space="preserve">Table </w:t>
      </w:r>
      <w:r w:rsidR="00FA26A9">
        <w:rPr>
          <w:noProof/>
        </w:rPr>
        <w:t>15</w:t>
      </w:r>
      <w:r w:rsidRPr="00F6205B">
        <w:fldChar w:fldCharType="end"/>
      </w:r>
      <w:r w:rsidR="00436707" w:rsidRPr="00F6205B">
        <w:t>, but in pie charts.</w:t>
      </w:r>
    </w:p>
    <w:p w14:paraId="0186BE56" w14:textId="26DB8BF1" w:rsidR="00436707" w:rsidRPr="00F6205B" w:rsidRDefault="00436707" w:rsidP="004F23CF">
      <w:pPr>
        <w:pStyle w:val="Caption"/>
      </w:pPr>
      <w:bookmarkStart w:id="193" w:name="_Ref373236643"/>
      <w:bookmarkStart w:id="194" w:name="_Ref439317781"/>
      <w:bookmarkStart w:id="195" w:name="_Toc373318448"/>
      <w:bookmarkStart w:id="196" w:name="_Toc391887398"/>
      <w:bookmarkStart w:id="197" w:name="_Toc439931805"/>
      <w:r w:rsidRPr="00F6205B">
        <w:t>Figure</w:t>
      </w:r>
      <w:bookmarkEnd w:id="193"/>
      <w:r w:rsidR="004F23CF" w:rsidRPr="00F6205B">
        <w:t xml:space="preserve"> </w:t>
      </w:r>
      <w:fldSimple w:instr=" SEQ Figure \* ARABIC ">
        <w:r w:rsidR="00FA26A9">
          <w:rPr>
            <w:noProof/>
          </w:rPr>
          <w:t>12</w:t>
        </w:r>
      </w:fldSimple>
      <w:bookmarkEnd w:id="194"/>
      <w:r w:rsidRPr="00F6205B">
        <w:t>: Total Technical Potential Savings by Fuel Type—% MMBtu Savings</w:t>
      </w:r>
      <w:bookmarkEnd w:id="195"/>
      <w:bookmarkEnd w:id="196"/>
      <w:bookmarkEnd w:id="197"/>
    </w:p>
    <w:p w14:paraId="7669889B" w14:textId="77777777" w:rsidR="00346A82" w:rsidRPr="00F6205B" w:rsidRDefault="00346A82" w:rsidP="00346A82">
      <w:pPr>
        <w:pStyle w:val="Caption"/>
        <w:spacing w:before="0" w:after="120"/>
        <w:rPr>
          <w:b w:val="0"/>
          <w:bCs w:val="0"/>
          <w:sz w:val="18"/>
        </w:rPr>
      </w:pPr>
      <w:r w:rsidRPr="00F6205B">
        <w:rPr>
          <w:b w:val="0"/>
          <w:bCs w:val="0"/>
          <w:sz w:val="18"/>
        </w:rPr>
        <w:t>Base: all single-family homes (population-weighted)</w:t>
      </w:r>
    </w:p>
    <w:p w14:paraId="2DB7FCCE" w14:textId="1D96B453" w:rsidR="00436707" w:rsidRPr="00F6205B" w:rsidRDefault="00310767" w:rsidP="00436707">
      <w:pPr>
        <w:keepNext/>
        <w:keepLines/>
        <w:jc w:val="center"/>
        <w:rPr>
          <w:noProof/>
          <w:lang w:bidi="ar-SA"/>
        </w:rPr>
      </w:pPr>
      <w:r w:rsidRPr="00F6205B">
        <w:rPr>
          <w:noProof/>
          <w:lang w:bidi="ar-SA"/>
        </w:rPr>
        <w:drawing>
          <wp:inline distT="0" distB="0" distL="0" distR="0" wp14:anchorId="6DB462B4" wp14:editId="61192ACD">
            <wp:extent cx="2438400" cy="24872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38400" cy="2487295"/>
                    </a:xfrm>
                    <a:prstGeom prst="rect">
                      <a:avLst/>
                    </a:prstGeom>
                    <a:noFill/>
                  </pic:spPr>
                </pic:pic>
              </a:graphicData>
            </a:graphic>
          </wp:inline>
        </w:drawing>
      </w:r>
      <w:r w:rsidRPr="00F6205B">
        <w:rPr>
          <w:noProof/>
          <w:lang w:bidi="ar-SA"/>
        </w:rPr>
        <w:drawing>
          <wp:inline distT="0" distB="0" distL="0" distR="0" wp14:anchorId="619CFA67" wp14:editId="1D8BDB22">
            <wp:extent cx="2438400" cy="248729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38400" cy="2487295"/>
                    </a:xfrm>
                    <a:prstGeom prst="rect">
                      <a:avLst/>
                    </a:prstGeom>
                    <a:noFill/>
                  </pic:spPr>
                </pic:pic>
              </a:graphicData>
            </a:graphic>
          </wp:inline>
        </w:drawing>
      </w:r>
    </w:p>
    <w:p w14:paraId="066A313C" w14:textId="77777777" w:rsidR="00436707" w:rsidRPr="00F6205B" w:rsidRDefault="00436707" w:rsidP="00436707">
      <w:pPr>
        <w:keepNext/>
      </w:pPr>
    </w:p>
    <w:p w14:paraId="32EF8415" w14:textId="3E90FA2C" w:rsidR="00436707" w:rsidRPr="00F6205B" w:rsidRDefault="00AD5548" w:rsidP="00436707">
      <w:pPr>
        <w:keepNext/>
      </w:pPr>
      <w:r w:rsidRPr="00F6205B">
        <w:fldChar w:fldCharType="begin"/>
      </w:r>
      <w:r w:rsidRPr="00F6205B">
        <w:instrText xml:space="preserve"> REF _Ref439317807 \h </w:instrText>
      </w:r>
      <w:r w:rsidR="00F6205B">
        <w:instrText xml:space="preserve"> \* MERGEFORMAT </w:instrText>
      </w:r>
      <w:r w:rsidRPr="00F6205B">
        <w:fldChar w:fldCharType="separate"/>
      </w:r>
      <w:r w:rsidR="00FA26A9" w:rsidRPr="00F6205B">
        <w:t xml:space="preserve">Table </w:t>
      </w:r>
      <w:r w:rsidR="00FA26A9">
        <w:rPr>
          <w:noProof/>
        </w:rPr>
        <w:t>16</w:t>
      </w:r>
      <w:r w:rsidRPr="00F6205B">
        <w:fldChar w:fldCharType="end"/>
      </w:r>
      <w:r w:rsidRPr="00F6205B">
        <w:t xml:space="preserve"> </w:t>
      </w:r>
      <w:r w:rsidR="00436707" w:rsidRPr="00F6205B">
        <w:t>shows the peak demand savings estimates associated with technical potent</w:t>
      </w:r>
      <w:r w:rsidR="00C44244">
        <w:t>ial efficiency upgrades for 2016 and 2025</w:t>
      </w:r>
      <w:r w:rsidR="00436707" w:rsidRPr="00F6205B">
        <w:t xml:space="preserve">. These estimates do not account for the impact of </w:t>
      </w:r>
      <w:r w:rsidR="00514295" w:rsidRPr="00F6205B">
        <w:t>photovoltaics</w:t>
      </w:r>
      <w:r w:rsidR="00436707" w:rsidRPr="00F6205B">
        <w:t xml:space="preserve"> as REM/Rate</w:t>
      </w:r>
      <w:r w:rsidR="00514295" w:rsidRPr="00F6205B">
        <w:t xml:space="preserve"> does not include photovoltaics</w:t>
      </w:r>
      <w:r w:rsidR="00436707" w:rsidRPr="00F6205B">
        <w:t xml:space="preserve"> in demand calculations. It is unlikely that photovoltaics would influence winter peak demand savings as the winter peak in New England is from 5-7 PM during the months of December and January.</w:t>
      </w:r>
      <w:r w:rsidR="00436707" w:rsidRPr="00F6205B">
        <w:rPr>
          <w:rStyle w:val="FootnoteReference"/>
        </w:rPr>
        <w:footnoteReference w:id="63"/>
      </w:r>
      <w:r w:rsidR="00436707" w:rsidRPr="00F6205B">
        <w:t xml:space="preserve"> </w:t>
      </w:r>
      <w:r w:rsidR="00F620C3">
        <w:fldChar w:fldCharType="begin"/>
      </w:r>
      <w:r w:rsidR="00F620C3">
        <w:instrText xml:space="preserve"> REF _Ref439317807 \h </w:instrText>
      </w:r>
      <w:r w:rsidR="00F620C3">
        <w:fldChar w:fldCharType="separate"/>
      </w:r>
      <w:r w:rsidR="00F620C3" w:rsidRPr="00F6205B">
        <w:t xml:space="preserve">Table </w:t>
      </w:r>
      <w:r w:rsidR="00F620C3">
        <w:rPr>
          <w:noProof/>
        </w:rPr>
        <w:t>16</w:t>
      </w:r>
      <w:r w:rsidR="00F620C3">
        <w:fldChar w:fldCharType="end"/>
      </w:r>
      <w:r w:rsidR="00F620C3">
        <w:t xml:space="preserve"> </w:t>
      </w:r>
      <w:r w:rsidR="00436707" w:rsidRPr="00F6205B">
        <w:t xml:space="preserve">shows the following: </w:t>
      </w:r>
    </w:p>
    <w:p w14:paraId="29AADB15" w14:textId="3A2A4D0A" w:rsidR="00436707" w:rsidRPr="00F6205B" w:rsidRDefault="00436707" w:rsidP="00F52E2F">
      <w:pPr>
        <w:pStyle w:val="ListParagraph"/>
        <w:keepNext/>
        <w:numPr>
          <w:ilvl w:val="0"/>
          <w:numId w:val="27"/>
        </w:numPr>
        <w:jc w:val="both"/>
      </w:pPr>
      <w:r w:rsidRPr="00F6205B">
        <w:t>The technical potential summer peak demand savings (including solar te</w:t>
      </w:r>
      <w:r w:rsidR="00C44244">
        <w:t>chnologies) are 2,038 MW in 2016 and 2,229 MW in 2025</w:t>
      </w:r>
      <w:r w:rsidRPr="00F6205B">
        <w:t>.</w:t>
      </w:r>
    </w:p>
    <w:p w14:paraId="1AA36E5D" w14:textId="79743038" w:rsidR="00436707" w:rsidRPr="00F6205B" w:rsidRDefault="00436707" w:rsidP="00F52E2F">
      <w:pPr>
        <w:pStyle w:val="ListParagraph"/>
        <w:keepNext/>
        <w:numPr>
          <w:ilvl w:val="0"/>
          <w:numId w:val="27"/>
        </w:numPr>
        <w:jc w:val="both"/>
      </w:pPr>
      <w:r w:rsidRPr="00F6205B">
        <w:t>Savings associated with winter peak demand are negative (i.e., winter peak demand increases by 23%</w:t>
      </w:r>
      <w:r w:rsidR="003A3905">
        <w:t xml:space="preserve"> to </w:t>
      </w:r>
      <w:r w:rsidRPr="00F6205B">
        <w:t>25%) becau</w:t>
      </w:r>
      <w:r w:rsidR="003A3905">
        <w:t>se ductless mini-split</w:t>
      </w:r>
      <w:r w:rsidRPr="00F6205B">
        <w:t>s were modeled at all homes.</w:t>
      </w:r>
      <w:r w:rsidRPr="00F6205B">
        <w:rPr>
          <w:rStyle w:val="FootnoteReference"/>
        </w:rPr>
        <w:footnoteReference w:id="64"/>
      </w:r>
    </w:p>
    <w:p w14:paraId="0ACDAAAF" w14:textId="77777777" w:rsidR="00436707" w:rsidRPr="00F6205B" w:rsidRDefault="00436707" w:rsidP="00436707">
      <w:pPr>
        <w:keepNext/>
      </w:pPr>
      <w:r w:rsidRPr="00F6205B">
        <w:t xml:space="preserve">The estimated baseline summer and winter peak demand levels are similar. Connecticut, as a whole, is a summer peaking state where the maximum demand for electricity occurs during the summer peak hours. Both the commercial and industrial sectors are significant contributors to the summer peak demand. Because this study only analyzes single-family homes, it is not surprising to see similar baseline summer and winter peak demand estimates. While cooling is typically the primary driver of summer peak demand, some </w:t>
      </w:r>
      <w:r w:rsidRPr="00F6205B">
        <w:lastRenderedPageBreak/>
        <w:t>homeowners will be at work during summer peak hours</w:t>
      </w:r>
      <w:r w:rsidRPr="00F6205B">
        <w:rPr>
          <w:rStyle w:val="FootnoteReference"/>
        </w:rPr>
        <w:footnoteReference w:id="65"/>
      </w:r>
      <w:r w:rsidRPr="00F6205B">
        <w:t xml:space="preserve"> with their air-conditioning turned off.</w:t>
      </w:r>
      <w:r w:rsidRPr="00F6205B">
        <w:rPr>
          <w:rStyle w:val="FootnoteReference"/>
        </w:rPr>
        <w:footnoteReference w:id="66"/>
      </w:r>
    </w:p>
    <w:p w14:paraId="0F19C2F2" w14:textId="33B9FCE0" w:rsidR="00436707" w:rsidRPr="00F6205B" w:rsidRDefault="00436707" w:rsidP="004F23CF">
      <w:pPr>
        <w:pStyle w:val="Caption"/>
        <w:rPr>
          <w:vertAlign w:val="superscript"/>
        </w:rPr>
      </w:pPr>
      <w:bookmarkStart w:id="198" w:name="_Ref363036100"/>
      <w:bookmarkStart w:id="199" w:name="_Ref439317807"/>
      <w:bookmarkStart w:id="200" w:name="_Toc391887352"/>
      <w:bookmarkStart w:id="201" w:name="_Toc439931847"/>
      <w:bookmarkStart w:id="202" w:name="_Toc373324124"/>
      <w:r w:rsidRPr="00F6205B">
        <w:t>Table</w:t>
      </w:r>
      <w:bookmarkEnd w:id="198"/>
      <w:r w:rsidR="004F23CF" w:rsidRPr="00F6205B">
        <w:t xml:space="preserve"> </w:t>
      </w:r>
      <w:fldSimple w:instr=" SEQ Table \* ARABIC ">
        <w:r w:rsidR="00FA26A9">
          <w:rPr>
            <w:noProof/>
          </w:rPr>
          <w:t>16</w:t>
        </w:r>
      </w:fldSimple>
      <w:bookmarkEnd w:id="199"/>
      <w:r w:rsidRPr="00F6205B">
        <w:t>: Technical Peak Electric Demand Savings Estimates (MW)</w:t>
      </w:r>
      <w:r w:rsidRPr="00F6205B">
        <w:rPr>
          <w:vertAlign w:val="superscript"/>
        </w:rPr>
        <w:t>*</w:t>
      </w:r>
      <w:bookmarkEnd w:id="200"/>
      <w:bookmarkEnd w:id="201"/>
    </w:p>
    <w:bookmarkEnd w:id="202"/>
    <w:p w14:paraId="7314B04D" w14:textId="77777777" w:rsidR="00346A82" w:rsidRPr="00F6205B" w:rsidRDefault="00346A82" w:rsidP="00346A82">
      <w:pPr>
        <w:pStyle w:val="Caption"/>
        <w:spacing w:before="0" w:after="120"/>
        <w:rPr>
          <w:b w:val="0"/>
          <w:bCs w:val="0"/>
          <w:sz w:val="18"/>
        </w:rPr>
      </w:pPr>
      <w:r w:rsidRPr="00F6205B">
        <w:rPr>
          <w:b w:val="0"/>
          <w:bCs w:val="0"/>
          <w:sz w:val="18"/>
        </w:rPr>
        <w:t>Base: all single-family homes (population-weighted)</w:t>
      </w:r>
    </w:p>
    <w:tbl>
      <w:tblPr>
        <w:tblStyle w:val="TableGrid"/>
        <w:tblW w:w="7374"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4032"/>
        <w:gridCol w:w="1099"/>
        <w:gridCol w:w="1099"/>
        <w:gridCol w:w="1144"/>
      </w:tblGrid>
      <w:tr w:rsidR="00436707" w:rsidRPr="00F6205B" w14:paraId="38FC21A0" w14:textId="77777777" w:rsidTr="00552D55">
        <w:trPr>
          <w:trHeight w:val="288"/>
          <w:jc w:val="center"/>
        </w:trPr>
        <w:tc>
          <w:tcPr>
            <w:tcW w:w="4032" w:type="dxa"/>
            <w:tcBorders>
              <w:top w:val="single" w:sz="4" w:space="0" w:color="auto"/>
              <w:left w:val="single" w:sz="4" w:space="0" w:color="auto"/>
              <w:bottom w:val="single" w:sz="4" w:space="0" w:color="auto"/>
              <w:right w:val="single" w:sz="4" w:space="0" w:color="000000" w:themeColor="text1"/>
            </w:tcBorders>
            <w:shd w:val="clear" w:color="auto" w:fill="0B4D2C" w:themeFill="background2" w:themeFillShade="BF"/>
            <w:vAlign w:val="center"/>
          </w:tcPr>
          <w:p w14:paraId="60F5690D" w14:textId="77777777" w:rsidR="00436707" w:rsidRPr="00F6205B" w:rsidRDefault="00436707" w:rsidP="0044249F">
            <w:pPr>
              <w:keepNext/>
              <w:keepLines/>
              <w:spacing w:after="0"/>
              <w:contextualSpacing/>
              <w:rPr>
                <w:b/>
                <w:sz w:val="20"/>
                <w:szCs w:val="20"/>
              </w:rPr>
            </w:pPr>
          </w:p>
        </w:tc>
        <w:tc>
          <w:tcPr>
            <w:tcW w:w="1099" w:type="dxa"/>
            <w:tcBorders>
              <w:top w:val="single" w:sz="4" w:space="0" w:color="auto"/>
              <w:bottom w:val="single" w:sz="4" w:space="0" w:color="auto"/>
              <w:right w:val="single" w:sz="4" w:space="0" w:color="000000" w:themeColor="text1"/>
            </w:tcBorders>
            <w:shd w:val="clear" w:color="auto" w:fill="0B4D2C" w:themeFill="background2" w:themeFillShade="BF"/>
            <w:vAlign w:val="center"/>
          </w:tcPr>
          <w:p w14:paraId="41CBFCBA" w14:textId="77777777" w:rsidR="00436707" w:rsidRPr="00F6205B" w:rsidRDefault="00436707" w:rsidP="0044249F">
            <w:pPr>
              <w:keepNext/>
              <w:keepLines/>
              <w:spacing w:after="0"/>
              <w:contextualSpacing/>
              <w:jc w:val="center"/>
              <w:rPr>
                <w:b/>
                <w:sz w:val="20"/>
                <w:szCs w:val="20"/>
              </w:rPr>
            </w:pPr>
            <w:r w:rsidRPr="00F6205B">
              <w:rPr>
                <w:b/>
                <w:sz w:val="20"/>
                <w:szCs w:val="20"/>
              </w:rPr>
              <w:t>Baseline</w:t>
            </w:r>
          </w:p>
        </w:tc>
        <w:tc>
          <w:tcPr>
            <w:tcW w:w="1099" w:type="dxa"/>
            <w:tcBorders>
              <w:top w:val="single" w:sz="4" w:space="0" w:color="auto"/>
              <w:bottom w:val="single" w:sz="4" w:space="0" w:color="auto"/>
              <w:right w:val="single" w:sz="4" w:space="0" w:color="000000" w:themeColor="text1"/>
            </w:tcBorders>
            <w:shd w:val="clear" w:color="auto" w:fill="0B4D2C" w:themeFill="background2" w:themeFillShade="BF"/>
            <w:vAlign w:val="center"/>
          </w:tcPr>
          <w:p w14:paraId="49AB3FB7" w14:textId="35E60C3B" w:rsidR="00436707" w:rsidRPr="00F6205B" w:rsidRDefault="00436707" w:rsidP="00C44244">
            <w:pPr>
              <w:keepNext/>
              <w:keepLines/>
              <w:spacing w:after="0"/>
              <w:contextualSpacing/>
              <w:jc w:val="center"/>
              <w:rPr>
                <w:b/>
                <w:sz w:val="20"/>
                <w:szCs w:val="20"/>
              </w:rPr>
            </w:pPr>
            <w:r w:rsidRPr="00F6205B">
              <w:rPr>
                <w:b/>
                <w:sz w:val="20"/>
                <w:szCs w:val="20"/>
              </w:rPr>
              <w:t>201</w:t>
            </w:r>
            <w:r w:rsidR="00C44244">
              <w:rPr>
                <w:b/>
                <w:sz w:val="20"/>
                <w:szCs w:val="20"/>
              </w:rPr>
              <w:t>6</w:t>
            </w:r>
            <w:r w:rsidRPr="00F6205B">
              <w:rPr>
                <w:b/>
                <w:sz w:val="20"/>
                <w:szCs w:val="20"/>
              </w:rPr>
              <w:t xml:space="preserve"> Savings</w:t>
            </w:r>
          </w:p>
        </w:tc>
        <w:tc>
          <w:tcPr>
            <w:tcW w:w="1144" w:type="dxa"/>
            <w:tcBorders>
              <w:top w:val="single" w:sz="4" w:space="0" w:color="auto"/>
              <w:left w:val="single" w:sz="4" w:space="0" w:color="000000" w:themeColor="text1"/>
              <w:bottom w:val="single" w:sz="4" w:space="0" w:color="auto"/>
              <w:right w:val="single" w:sz="4" w:space="0" w:color="auto"/>
            </w:tcBorders>
            <w:shd w:val="clear" w:color="auto" w:fill="0B4D2C" w:themeFill="background2" w:themeFillShade="BF"/>
            <w:vAlign w:val="center"/>
          </w:tcPr>
          <w:p w14:paraId="49B828A5" w14:textId="2B45A084" w:rsidR="00436707" w:rsidRPr="00F6205B" w:rsidRDefault="00436707" w:rsidP="0044249F">
            <w:pPr>
              <w:keepNext/>
              <w:keepLines/>
              <w:spacing w:after="0"/>
              <w:contextualSpacing/>
              <w:jc w:val="center"/>
              <w:rPr>
                <w:b/>
                <w:sz w:val="20"/>
                <w:szCs w:val="20"/>
              </w:rPr>
            </w:pPr>
            <w:r w:rsidRPr="00F6205B">
              <w:rPr>
                <w:b/>
                <w:sz w:val="20"/>
                <w:szCs w:val="20"/>
              </w:rPr>
              <w:t>2</w:t>
            </w:r>
            <w:r w:rsidR="00C44244">
              <w:rPr>
                <w:b/>
                <w:sz w:val="20"/>
                <w:szCs w:val="20"/>
              </w:rPr>
              <w:t>025</w:t>
            </w:r>
            <w:r w:rsidRPr="00F6205B">
              <w:rPr>
                <w:b/>
                <w:sz w:val="20"/>
                <w:szCs w:val="20"/>
              </w:rPr>
              <w:t xml:space="preserve"> Savings</w:t>
            </w:r>
          </w:p>
        </w:tc>
      </w:tr>
      <w:tr w:rsidR="00552D55" w:rsidRPr="00F6205B" w14:paraId="6FF54860" w14:textId="77777777" w:rsidTr="00552D55">
        <w:trPr>
          <w:trHeight w:val="288"/>
          <w:jc w:val="center"/>
        </w:trPr>
        <w:tc>
          <w:tcPr>
            <w:tcW w:w="7374" w:type="dxa"/>
            <w:gridSpan w:val="4"/>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3BA2CF3E" w14:textId="77777777" w:rsidR="00436707" w:rsidRPr="00F6205B" w:rsidRDefault="00436707" w:rsidP="0044249F">
            <w:pPr>
              <w:keepNext/>
              <w:keepLines/>
              <w:tabs>
                <w:tab w:val="decimal" w:pos="488"/>
              </w:tabs>
              <w:spacing w:after="0"/>
              <w:contextualSpacing/>
              <w:jc w:val="center"/>
              <w:rPr>
                <w:b/>
                <w:color w:val="FFFFFF" w:themeColor="background1"/>
                <w:sz w:val="20"/>
                <w:szCs w:val="20"/>
              </w:rPr>
            </w:pPr>
            <w:r w:rsidRPr="00F6205B">
              <w:rPr>
                <w:b/>
                <w:color w:val="FFFFFF" w:themeColor="background1"/>
                <w:sz w:val="20"/>
                <w:szCs w:val="20"/>
              </w:rPr>
              <w:t>Summer Peak Demand</w:t>
            </w:r>
          </w:p>
        </w:tc>
      </w:tr>
      <w:tr w:rsidR="00436707" w:rsidRPr="00F6205B" w14:paraId="24907D4C" w14:textId="77777777" w:rsidTr="00552D55">
        <w:trPr>
          <w:trHeight w:val="288"/>
          <w:jc w:val="center"/>
        </w:trPr>
        <w:tc>
          <w:tcPr>
            <w:tcW w:w="4032" w:type="dxa"/>
            <w:tcBorders>
              <w:top w:val="single" w:sz="4" w:space="0" w:color="auto"/>
              <w:left w:val="single" w:sz="4" w:space="0" w:color="auto"/>
              <w:right w:val="single" w:sz="4" w:space="0" w:color="000000" w:themeColor="text1"/>
            </w:tcBorders>
            <w:vAlign w:val="center"/>
          </w:tcPr>
          <w:p w14:paraId="2FE67653" w14:textId="3F7AF83E" w:rsidR="00436707" w:rsidRPr="00F6205B" w:rsidRDefault="00FD5524" w:rsidP="0044249F">
            <w:pPr>
              <w:keepNext/>
              <w:keepLines/>
              <w:spacing w:after="0"/>
              <w:contextualSpacing/>
              <w:rPr>
                <w:sz w:val="20"/>
                <w:szCs w:val="20"/>
              </w:rPr>
            </w:pPr>
            <w:r w:rsidRPr="00F6205B">
              <w:rPr>
                <w:sz w:val="20"/>
                <w:szCs w:val="20"/>
              </w:rPr>
              <w:t>Technical potential including s</w:t>
            </w:r>
            <w:r w:rsidR="00436707" w:rsidRPr="00F6205B">
              <w:rPr>
                <w:sz w:val="20"/>
                <w:szCs w:val="20"/>
              </w:rPr>
              <w:t>olar</w:t>
            </w:r>
          </w:p>
        </w:tc>
        <w:tc>
          <w:tcPr>
            <w:tcW w:w="1099" w:type="dxa"/>
            <w:vMerge w:val="restart"/>
            <w:tcBorders>
              <w:top w:val="single" w:sz="4" w:space="0" w:color="auto"/>
              <w:right w:val="single" w:sz="4" w:space="0" w:color="000000" w:themeColor="text1"/>
            </w:tcBorders>
            <w:vAlign w:val="center"/>
          </w:tcPr>
          <w:p w14:paraId="375613E9" w14:textId="406DAC0F" w:rsidR="00436707" w:rsidRPr="00F6205B" w:rsidRDefault="009722F4" w:rsidP="0044249F">
            <w:pPr>
              <w:keepNext/>
              <w:keepLines/>
              <w:tabs>
                <w:tab w:val="decimal" w:pos="560"/>
              </w:tabs>
              <w:spacing w:after="0"/>
              <w:contextualSpacing/>
              <w:rPr>
                <w:sz w:val="20"/>
                <w:szCs w:val="20"/>
              </w:rPr>
            </w:pPr>
            <w:r>
              <w:rPr>
                <w:sz w:val="20"/>
                <w:szCs w:val="20"/>
              </w:rPr>
              <w:t>3,663</w:t>
            </w:r>
          </w:p>
        </w:tc>
        <w:tc>
          <w:tcPr>
            <w:tcW w:w="1099" w:type="dxa"/>
            <w:tcBorders>
              <w:top w:val="single" w:sz="4" w:space="0" w:color="auto"/>
              <w:right w:val="single" w:sz="4" w:space="0" w:color="000000" w:themeColor="text1"/>
            </w:tcBorders>
            <w:vAlign w:val="center"/>
          </w:tcPr>
          <w:p w14:paraId="7C46AF9A" w14:textId="77777777" w:rsidR="00436707" w:rsidRPr="00F6205B" w:rsidRDefault="00436707" w:rsidP="0044249F">
            <w:pPr>
              <w:keepNext/>
              <w:keepLines/>
              <w:tabs>
                <w:tab w:val="decimal" w:pos="608"/>
              </w:tabs>
              <w:spacing w:after="0"/>
              <w:contextualSpacing/>
              <w:rPr>
                <w:sz w:val="20"/>
                <w:szCs w:val="20"/>
              </w:rPr>
            </w:pPr>
            <w:r w:rsidRPr="00F6205B">
              <w:rPr>
                <w:sz w:val="20"/>
                <w:szCs w:val="20"/>
              </w:rPr>
              <w:t>2,038</w:t>
            </w:r>
          </w:p>
        </w:tc>
        <w:tc>
          <w:tcPr>
            <w:tcW w:w="1144" w:type="dxa"/>
            <w:tcBorders>
              <w:top w:val="single" w:sz="4" w:space="0" w:color="auto"/>
              <w:left w:val="single" w:sz="4" w:space="0" w:color="000000" w:themeColor="text1"/>
              <w:right w:val="single" w:sz="4" w:space="0" w:color="auto"/>
            </w:tcBorders>
            <w:vAlign w:val="center"/>
          </w:tcPr>
          <w:p w14:paraId="3ECB9E9B" w14:textId="77777777" w:rsidR="00436707" w:rsidRPr="00F6205B" w:rsidRDefault="00436707" w:rsidP="0044249F">
            <w:pPr>
              <w:keepNext/>
              <w:keepLines/>
              <w:tabs>
                <w:tab w:val="decimal" w:pos="679"/>
              </w:tabs>
              <w:spacing w:after="0"/>
              <w:contextualSpacing/>
              <w:rPr>
                <w:sz w:val="20"/>
                <w:szCs w:val="20"/>
              </w:rPr>
            </w:pPr>
            <w:r w:rsidRPr="00F6205B">
              <w:rPr>
                <w:sz w:val="20"/>
                <w:szCs w:val="20"/>
              </w:rPr>
              <w:t>2,229</w:t>
            </w:r>
          </w:p>
        </w:tc>
      </w:tr>
      <w:tr w:rsidR="00436707" w:rsidRPr="00F6205B" w14:paraId="5D6BEC54" w14:textId="77777777" w:rsidTr="00552D55">
        <w:trPr>
          <w:trHeight w:val="288"/>
          <w:jc w:val="center"/>
        </w:trPr>
        <w:tc>
          <w:tcPr>
            <w:tcW w:w="4032" w:type="dxa"/>
            <w:tcBorders>
              <w:top w:val="single" w:sz="4" w:space="0" w:color="000000" w:themeColor="text1"/>
              <w:left w:val="single" w:sz="4" w:space="0" w:color="auto"/>
              <w:bottom w:val="single" w:sz="4" w:space="0" w:color="auto"/>
              <w:right w:val="single" w:sz="4" w:space="0" w:color="000000" w:themeColor="text1"/>
            </w:tcBorders>
            <w:vAlign w:val="center"/>
          </w:tcPr>
          <w:p w14:paraId="5623900B" w14:textId="24F8349C" w:rsidR="00436707" w:rsidRPr="00F6205B" w:rsidRDefault="00FD5524" w:rsidP="0044249F">
            <w:pPr>
              <w:keepNext/>
              <w:keepLines/>
              <w:spacing w:after="0"/>
              <w:contextualSpacing/>
              <w:rPr>
                <w:sz w:val="20"/>
                <w:szCs w:val="20"/>
              </w:rPr>
            </w:pPr>
            <w:r w:rsidRPr="00F6205B">
              <w:rPr>
                <w:sz w:val="20"/>
                <w:szCs w:val="20"/>
              </w:rPr>
              <w:t>Technical potential e</w:t>
            </w:r>
            <w:r w:rsidR="00436707" w:rsidRPr="00F6205B">
              <w:rPr>
                <w:sz w:val="20"/>
                <w:szCs w:val="20"/>
              </w:rPr>
              <w:t xml:space="preserve">xcluding </w:t>
            </w:r>
            <w:r w:rsidRPr="00F6205B">
              <w:rPr>
                <w:sz w:val="20"/>
                <w:szCs w:val="20"/>
              </w:rPr>
              <w:t>s</w:t>
            </w:r>
            <w:r w:rsidR="00436707" w:rsidRPr="00F6205B">
              <w:rPr>
                <w:sz w:val="20"/>
                <w:szCs w:val="20"/>
              </w:rPr>
              <w:t>olar</w:t>
            </w:r>
          </w:p>
        </w:tc>
        <w:tc>
          <w:tcPr>
            <w:tcW w:w="1099" w:type="dxa"/>
            <w:vMerge/>
            <w:tcBorders>
              <w:bottom w:val="single" w:sz="4" w:space="0" w:color="auto"/>
              <w:right w:val="single" w:sz="4" w:space="0" w:color="000000" w:themeColor="text1"/>
            </w:tcBorders>
            <w:vAlign w:val="center"/>
          </w:tcPr>
          <w:p w14:paraId="2D59E21E" w14:textId="77777777" w:rsidR="00436707" w:rsidRPr="00F6205B" w:rsidRDefault="00436707" w:rsidP="0044249F">
            <w:pPr>
              <w:tabs>
                <w:tab w:val="decimal" w:pos="489"/>
              </w:tabs>
              <w:contextualSpacing/>
              <w:rPr>
                <w:color w:val="000000"/>
                <w:sz w:val="20"/>
                <w:szCs w:val="20"/>
              </w:rPr>
            </w:pPr>
          </w:p>
        </w:tc>
        <w:tc>
          <w:tcPr>
            <w:tcW w:w="1099" w:type="dxa"/>
            <w:tcBorders>
              <w:top w:val="single" w:sz="4" w:space="0" w:color="000000" w:themeColor="text1"/>
              <w:bottom w:val="single" w:sz="4" w:space="0" w:color="auto"/>
              <w:right w:val="single" w:sz="4" w:space="0" w:color="000000" w:themeColor="text1"/>
            </w:tcBorders>
            <w:vAlign w:val="center"/>
          </w:tcPr>
          <w:p w14:paraId="6C4476DB" w14:textId="77777777" w:rsidR="00436707" w:rsidRPr="00F6205B" w:rsidRDefault="00436707" w:rsidP="0044249F">
            <w:pPr>
              <w:tabs>
                <w:tab w:val="decimal" w:pos="608"/>
              </w:tabs>
              <w:contextualSpacing/>
              <w:rPr>
                <w:color w:val="000000"/>
                <w:sz w:val="20"/>
                <w:szCs w:val="20"/>
              </w:rPr>
            </w:pPr>
            <w:r w:rsidRPr="00F6205B">
              <w:rPr>
                <w:color w:val="000000"/>
                <w:sz w:val="20"/>
                <w:szCs w:val="20"/>
              </w:rPr>
              <w:t>1,966</w:t>
            </w:r>
          </w:p>
        </w:tc>
        <w:tc>
          <w:tcPr>
            <w:tcW w:w="1144" w:type="dxa"/>
            <w:tcBorders>
              <w:top w:val="single" w:sz="4" w:space="0" w:color="000000" w:themeColor="text1"/>
              <w:left w:val="single" w:sz="4" w:space="0" w:color="000000" w:themeColor="text1"/>
              <w:bottom w:val="single" w:sz="4" w:space="0" w:color="auto"/>
              <w:right w:val="single" w:sz="4" w:space="0" w:color="auto"/>
            </w:tcBorders>
            <w:vAlign w:val="center"/>
          </w:tcPr>
          <w:p w14:paraId="1990A739" w14:textId="77777777" w:rsidR="00436707" w:rsidRPr="00F6205B" w:rsidRDefault="00436707" w:rsidP="0044249F">
            <w:pPr>
              <w:tabs>
                <w:tab w:val="decimal" w:pos="679"/>
              </w:tabs>
              <w:contextualSpacing/>
              <w:rPr>
                <w:color w:val="000000"/>
                <w:sz w:val="20"/>
                <w:szCs w:val="20"/>
              </w:rPr>
            </w:pPr>
            <w:r w:rsidRPr="00F6205B">
              <w:rPr>
                <w:color w:val="000000"/>
                <w:sz w:val="20"/>
                <w:szCs w:val="20"/>
              </w:rPr>
              <w:t>2,150</w:t>
            </w:r>
          </w:p>
        </w:tc>
      </w:tr>
      <w:tr w:rsidR="00552D55" w:rsidRPr="00F6205B" w14:paraId="5754B52F" w14:textId="77777777" w:rsidTr="00552D55">
        <w:trPr>
          <w:trHeight w:val="288"/>
          <w:jc w:val="center"/>
        </w:trPr>
        <w:tc>
          <w:tcPr>
            <w:tcW w:w="7374" w:type="dxa"/>
            <w:gridSpan w:val="4"/>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10563C51" w14:textId="77777777" w:rsidR="00436707" w:rsidRPr="00F6205B" w:rsidRDefault="00436707" w:rsidP="0044249F">
            <w:pPr>
              <w:keepNext/>
              <w:keepLines/>
              <w:tabs>
                <w:tab w:val="decimal" w:pos="488"/>
              </w:tabs>
              <w:spacing w:after="0"/>
              <w:contextualSpacing/>
              <w:jc w:val="center"/>
              <w:rPr>
                <w:b/>
                <w:color w:val="FFFFFF" w:themeColor="background1"/>
                <w:sz w:val="20"/>
                <w:szCs w:val="20"/>
              </w:rPr>
            </w:pPr>
            <w:r w:rsidRPr="00F6205B">
              <w:rPr>
                <w:b/>
                <w:color w:val="FFFFFF" w:themeColor="background1"/>
                <w:sz w:val="20"/>
                <w:szCs w:val="20"/>
              </w:rPr>
              <w:t>Winter Peak Demand</w:t>
            </w:r>
          </w:p>
        </w:tc>
      </w:tr>
      <w:tr w:rsidR="00FD5524" w:rsidRPr="00F6205B" w14:paraId="3FD22E08" w14:textId="77777777" w:rsidTr="00552D55">
        <w:trPr>
          <w:trHeight w:val="288"/>
          <w:jc w:val="center"/>
        </w:trPr>
        <w:tc>
          <w:tcPr>
            <w:tcW w:w="4032" w:type="dxa"/>
            <w:tcBorders>
              <w:top w:val="single" w:sz="4" w:space="0" w:color="auto"/>
              <w:left w:val="single" w:sz="4" w:space="0" w:color="auto"/>
              <w:bottom w:val="single" w:sz="4" w:space="0" w:color="000000" w:themeColor="text1"/>
              <w:right w:val="single" w:sz="4" w:space="0" w:color="000000" w:themeColor="text1"/>
            </w:tcBorders>
            <w:vAlign w:val="center"/>
          </w:tcPr>
          <w:p w14:paraId="67B7AA08" w14:textId="1D1A994F" w:rsidR="00FD5524" w:rsidRPr="00F6205B" w:rsidRDefault="00FD5524" w:rsidP="00FD5524">
            <w:pPr>
              <w:keepNext/>
              <w:keepLines/>
              <w:spacing w:after="0"/>
              <w:contextualSpacing/>
              <w:rPr>
                <w:sz w:val="20"/>
                <w:szCs w:val="20"/>
              </w:rPr>
            </w:pPr>
            <w:r w:rsidRPr="00F6205B">
              <w:rPr>
                <w:sz w:val="20"/>
                <w:szCs w:val="20"/>
              </w:rPr>
              <w:t>Technical potential including solar</w:t>
            </w:r>
          </w:p>
        </w:tc>
        <w:tc>
          <w:tcPr>
            <w:tcW w:w="1099" w:type="dxa"/>
            <w:vMerge w:val="restart"/>
            <w:tcBorders>
              <w:top w:val="single" w:sz="4" w:space="0" w:color="auto"/>
              <w:right w:val="single" w:sz="4" w:space="0" w:color="000000" w:themeColor="text1"/>
            </w:tcBorders>
            <w:vAlign w:val="center"/>
          </w:tcPr>
          <w:p w14:paraId="0C02EC92" w14:textId="3A97F19B" w:rsidR="00FD5524" w:rsidRPr="00F6205B" w:rsidRDefault="009722F4" w:rsidP="00FD5524">
            <w:pPr>
              <w:keepNext/>
              <w:keepLines/>
              <w:tabs>
                <w:tab w:val="decimal" w:pos="560"/>
              </w:tabs>
              <w:spacing w:after="0"/>
              <w:contextualSpacing/>
              <w:rPr>
                <w:sz w:val="20"/>
                <w:szCs w:val="20"/>
              </w:rPr>
            </w:pPr>
            <w:r>
              <w:rPr>
                <w:sz w:val="20"/>
                <w:szCs w:val="20"/>
              </w:rPr>
              <w:t>3,613</w:t>
            </w:r>
          </w:p>
        </w:tc>
        <w:tc>
          <w:tcPr>
            <w:tcW w:w="1099" w:type="dxa"/>
            <w:tcBorders>
              <w:top w:val="single" w:sz="4" w:space="0" w:color="auto"/>
              <w:bottom w:val="single" w:sz="4" w:space="0" w:color="000000" w:themeColor="text1"/>
              <w:right w:val="single" w:sz="4" w:space="0" w:color="000000" w:themeColor="text1"/>
            </w:tcBorders>
            <w:vAlign w:val="center"/>
          </w:tcPr>
          <w:p w14:paraId="673A5396" w14:textId="77777777" w:rsidR="00FD5524" w:rsidRPr="00F6205B" w:rsidRDefault="00FD5524" w:rsidP="00FD5524">
            <w:pPr>
              <w:keepNext/>
              <w:keepLines/>
              <w:tabs>
                <w:tab w:val="decimal" w:pos="698"/>
              </w:tabs>
              <w:spacing w:after="0"/>
              <w:contextualSpacing/>
              <w:rPr>
                <w:sz w:val="20"/>
                <w:szCs w:val="20"/>
              </w:rPr>
            </w:pPr>
            <w:r w:rsidRPr="00F6205B">
              <w:rPr>
                <w:sz w:val="20"/>
                <w:szCs w:val="20"/>
              </w:rPr>
              <w:t>-1,238</w:t>
            </w:r>
          </w:p>
        </w:tc>
        <w:tc>
          <w:tcPr>
            <w:tcW w:w="1144" w:type="dxa"/>
            <w:tcBorders>
              <w:top w:val="single" w:sz="4" w:space="0" w:color="auto"/>
              <w:left w:val="single" w:sz="4" w:space="0" w:color="000000" w:themeColor="text1"/>
              <w:bottom w:val="single" w:sz="4" w:space="0" w:color="000000" w:themeColor="text1"/>
              <w:right w:val="single" w:sz="4" w:space="0" w:color="auto"/>
            </w:tcBorders>
            <w:vAlign w:val="center"/>
          </w:tcPr>
          <w:p w14:paraId="43A58453" w14:textId="77777777" w:rsidR="00FD5524" w:rsidRPr="00F6205B" w:rsidRDefault="00FD5524" w:rsidP="00FD5524">
            <w:pPr>
              <w:keepNext/>
              <w:keepLines/>
              <w:tabs>
                <w:tab w:val="decimal" w:pos="679"/>
              </w:tabs>
              <w:spacing w:after="0"/>
              <w:contextualSpacing/>
              <w:rPr>
                <w:sz w:val="20"/>
                <w:szCs w:val="20"/>
              </w:rPr>
            </w:pPr>
            <w:r w:rsidRPr="00F6205B">
              <w:rPr>
                <w:sz w:val="20"/>
                <w:szCs w:val="20"/>
              </w:rPr>
              <w:t>-1,354</w:t>
            </w:r>
          </w:p>
        </w:tc>
      </w:tr>
      <w:tr w:rsidR="00FD5524" w:rsidRPr="00F6205B" w14:paraId="3C143615" w14:textId="77777777" w:rsidTr="00552D55">
        <w:trPr>
          <w:trHeight w:val="288"/>
          <w:jc w:val="center"/>
        </w:trPr>
        <w:tc>
          <w:tcPr>
            <w:tcW w:w="4032" w:type="dxa"/>
            <w:tcBorders>
              <w:top w:val="single" w:sz="4" w:space="0" w:color="000000" w:themeColor="text1"/>
              <w:left w:val="single" w:sz="4" w:space="0" w:color="auto"/>
              <w:bottom w:val="single" w:sz="4" w:space="0" w:color="auto"/>
              <w:right w:val="single" w:sz="4" w:space="0" w:color="000000" w:themeColor="text1"/>
            </w:tcBorders>
            <w:vAlign w:val="center"/>
          </w:tcPr>
          <w:p w14:paraId="7D3CC67D" w14:textId="3FD73EE7" w:rsidR="00FD5524" w:rsidRPr="00F6205B" w:rsidRDefault="00FD5524" w:rsidP="00FD5524">
            <w:pPr>
              <w:keepNext/>
              <w:keepLines/>
              <w:spacing w:after="0"/>
              <w:contextualSpacing/>
              <w:rPr>
                <w:sz w:val="20"/>
                <w:szCs w:val="20"/>
              </w:rPr>
            </w:pPr>
            <w:r w:rsidRPr="00F6205B">
              <w:rPr>
                <w:sz w:val="20"/>
                <w:szCs w:val="20"/>
              </w:rPr>
              <w:t>Technical potential excluding solar</w:t>
            </w:r>
          </w:p>
        </w:tc>
        <w:tc>
          <w:tcPr>
            <w:tcW w:w="1099" w:type="dxa"/>
            <w:vMerge/>
            <w:tcBorders>
              <w:bottom w:val="single" w:sz="4" w:space="0" w:color="auto"/>
              <w:right w:val="single" w:sz="4" w:space="0" w:color="000000" w:themeColor="text1"/>
            </w:tcBorders>
            <w:vAlign w:val="center"/>
          </w:tcPr>
          <w:p w14:paraId="1F97A498" w14:textId="77777777" w:rsidR="00FD5524" w:rsidRPr="00F6205B" w:rsidRDefault="00FD5524" w:rsidP="00FD5524">
            <w:pPr>
              <w:tabs>
                <w:tab w:val="decimal" w:pos="489"/>
              </w:tabs>
              <w:contextualSpacing/>
              <w:rPr>
                <w:color w:val="000000"/>
                <w:sz w:val="20"/>
                <w:szCs w:val="20"/>
              </w:rPr>
            </w:pPr>
          </w:p>
        </w:tc>
        <w:tc>
          <w:tcPr>
            <w:tcW w:w="1099" w:type="dxa"/>
            <w:tcBorders>
              <w:top w:val="single" w:sz="4" w:space="0" w:color="000000" w:themeColor="text1"/>
              <w:bottom w:val="single" w:sz="4" w:space="0" w:color="auto"/>
              <w:right w:val="single" w:sz="4" w:space="0" w:color="000000" w:themeColor="text1"/>
            </w:tcBorders>
            <w:vAlign w:val="center"/>
          </w:tcPr>
          <w:p w14:paraId="17922660" w14:textId="77777777" w:rsidR="00FD5524" w:rsidRPr="00F6205B" w:rsidRDefault="00FD5524" w:rsidP="00FD5524">
            <w:pPr>
              <w:tabs>
                <w:tab w:val="decimal" w:pos="698"/>
              </w:tabs>
              <w:contextualSpacing/>
              <w:rPr>
                <w:color w:val="000000"/>
                <w:sz w:val="20"/>
                <w:szCs w:val="20"/>
              </w:rPr>
            </w:pPr>
            <w:r w:rsidRPr="00F6205B">
              <w:rPr>
                <w:color w:val="000000"/>
                <w:sz w:val="20"/>
                <w:szCs w:val="20"/>
              </w:rPr>
              <w:t>-1,326</w:t>
            </w:r>
          </w:p>
        </w:tc>
        <w:tc>
          <w:tcPr>
            <w:tcW w:w="1144" w:type="dxa"/>
            <w:tcBorders>
              <w:top w:val="single" w:sz="4" w:space="0" w:color="000000" w:themeColor="text1"/>
              <w:left w:val="single" w:sz="4" w:space="0" w:color="000000" w:themeColor="text1"/>
              <w:bottom w:val="single" w:sz="4" w:space="0" w:color="auto"/>
              <w:right w:val="single" w:sz="4" w:space="0" w:color="auto"/>
            </w:tcBorders>
            <w:vAlign w:val="center"/>
          </w:tcPr>
          <w:p w14:paraId="5CD6EB78" w14:textId="77777777" w:rsidR="00FD5524" w:rsidRPr="00F6205B" w:rsidRDefault="00FD5524" w:rsidP="00FD5524">
            <w:pPr>
              <w:tabs>
                <w:tab w:val="decimal" w:pos="679"/>
              </w:tabs>
              <w:contextualSpacing/>
              <w:rPr>
                <w:color w:val="000000"/>
                <w:sz w:val="20"/>
                <w:szCs w:val="20"/>
              </w:rPr>
            </w:pPr>
            <w:r w:rsidRPr="00F6205B">
              <w:rPr>
                <w:color w:val="000000"/>
                <w:sz w:val="20"/>
                <w:szCs w:val="20"/>
              </w:rPr>
              <w:t>-1,450</w:t>
            </w:r>
          </w:p>
        </w:tc>
      </w:tr>
    </w:tbl>
    <w:p w14:paraId="6E6B9526" w14:textId="28FC7033" w:rsidR="00436707" w:rsidRPr="00F6205B" w:rsidRDefault="0029749E" w:rsidP="0029749E">
      <w:pPr>
        <w:tabs>
          <w:tab w:val="left" w:pos="1515"/>
        </w:tabs>
        <w:spacing w:after="0"/>
        <w:ind w:left="810"/>
        <w:rPr>
          <w:sz w:val="18"/>
          <w:szCs w:val="18"/>
        </w:rPr>
      </w:pPr>
      <w:r w:rsidRPr="00F6205B">
        <w:rPr>
          <w:sz w:val="18"/>
          <w:szCs w:val="18"/>
        </w:rPr>
        <w:t xml:space="preserve">* See the </w:t>
      </w:r>
      <w:r w:rsidRPr="00F6205B">
        <w:rPr>
          <w:sz w:val="18"/>
          <w:szCs w:val="18"/>
        </w:rPr>
        <w:fldChar w:fldCharType="begin"/>
      </w:r>
      <w:r w:rsidRPr="00F6205B">
        <w:rPr>
          <w:sz w:val="18"/>
          <w:szCs w:val="18"/>
        </w:rPr>
        <w:instrText xml:space="preserve"> REF _Ref439318115 \h  \* MERGEFORMAT </w:instrText>
      </w:r>
      <w:r w:rsidRPr="00F6205B">
        <w:rPr>
          <w:sz w:val="18"/>
          <w:szCs w:val="18"/>
        </w:rPr>
      </w:r>
      <w:r w:rsidRPr="00F6205B">
        <w:rPr>
          <w:sz w:val="18"/>
          <w:szCs w:val="18"/>
        </w:rPr>
        <w:fldChar w:fldCharType="separate"/>
      </w:r>
      <w:r w:rsidR="00FA26A9" w:rsidRPr="00FA26A9">
        <w:rPr>
          <w:sz w:val="18"/>
          <w:szCs w:val="18"/>
        </w:rPr>
        <w:t>Methodology</w:t>
      </w:r>
      <w:r w:rsidRPr="00F6205B">
        <w:rPr>
          <w:sz w:val="18"/>
          <w:szCs w:val="18"/>
        </w:rPr>
        <w:fldChar w:fldCharType="end"/>
      </w:r>
      <w:r w:rsidR="00436707" w:rsidRPr="00F6205B">
        <w:rPr>
          <w:sz w:val="18"/>
          <w:szCs w:val="18"/>
        </w:rPr>
        <w:t xml:space="preserve"> </w:t>
      </w:r>
      <w:r w:rsidRPr="00F6205B">
        <w:rPr>
          <w:sz w:val="18"/>
          <w:szCs w:val="18"/>
        </w:rPr>
        <w:t xml:space="preserve">section of this report </w:t>
      </w:r>
      <w:r w:rsidR="00436707" w:rsidRPr="00F6205B">
        <w:rPr>
          <w:sz w:val="18"/>
          <w:szCs w:val="18"/>
        </w:rPr>
        <w:t>for details on coincidence factors.</w:t>
      </w:r>
    </w:p>
    <w:p w14:paraId="3045C49F" w14:textId="010EAC5F" w:rsidR="00436707" w:rsidRPr="00F6205B" w:rsidRDefault="00436707" w:rsidP="00BC1DF3">
      <w:pPr>
        <w:tabs>
          <w:tab w:val="left" w:pos="1040"/>
        </w:tabs>
        <w:rPr>
          <w:sz w:val="20"/>
          <w:szCs w:val="20"/>
        </w:rPr>
      </w:pPr>
    </w:p>
    <w:p w14:paraId="7F94DE4D" w14:textId="72230EFD" w:rsidR="00436707" w:rsidRPr="00F6205B" w:rsidRDefault="00436707" w:rsidP="0010210B">
      <w:pPr>
        <w:pStyle w:val="Heading3"/>
        <w:numPr>
          <w:ilvl w:val="0"/>
          <w:numId w:val="0"/>
        </w:numPr>
        <w:jc w:val="both"/>
      </w:pPr>
      <w:bookmarkStart w:id="203" w:name="_Toc373322741"/>
      <w:bookmarkStart w:id="204" w:name="_Ref391036546"/>
      <w:bookmarkStart w:id="205" w:name="_Ref391646507"/>
      <w:bookmarkStart w:id="206" w:name="_Toc391887316"/>
      <w:bookmarkStart w:id="207" w:name="_Toc439939404"/>
      <w:r w:rsidRPr="00F6205B">
        <w:t>Individual Measures</w:t>
      </w:r>
      <w:bookmarkEnd w:id="203"/>
      <w:bookmarkEnd w:id="204"/>
      <w:bookmarkEnd w:id="205"/>
      <w:bookmarkEnd w:id="206"/>
      <w:bookmarkEnd w:id="207"/>
    </w:p>
    <w:p w14:paraId="0D212850" w14:textId="77777777" w:rsidR="00436707" w:rsidRPr="00F6205B" w:rsidRDefault="00436707" w:rsidP="00436707">
      <w:r w:rsidRPr="00F6205B">
        <w:t xml:space="preserve">The individually-modeled upgrade measures provide some context to the overall technical savings potential figures. All savings figures presented in this section are first-year savings, not accounting for growth rates. The savings from these figures are not additive as the measures in this section were modeled individually, not accounting for interactive effects with other measure upgrades, and some measures overlap for the same end use. </w:t>
      </w:r>
    </w:p>
    <w:p w14:paraId="4C142DC0" w14:textId="5A7A7FDF" w:rsidR="00436707" w:rsidRPr="00F6205B" w:rsidRDefault="00436707" w:rsidP="00436707">
      <w:r w:rsidRPr="00F6205B">
        <w:t xml:space="preserve">Throughout this section of the report, the sample sizes for individual measure upgrades represent the number of homes (out of a 180 home sample) where a particular upgrade applied. For example, </w:t>
      </w:r>
      <w:r w:rsidR="009D501C">
        <w:fldChar w:fldCharType="begin"/>
      </w:r>
      <w:r w:rsidR="009D501C">
        <w:instrText xml:space="preserve"> REF _Ref439697688 \h </w:instrText>
      </w:r>
      <w:r w:rsidR="009D501C">
        <w:fldChar w:fldCharType="separate"/>
      </w:r>
      <w:r w:rsidR="00FA26A9" w:rsidRPr="00F6205B">
        <w:t xml:space="preserve">Table </w:t>
      </w:r>
      <w:r w:rsidR="00FA26A9">
        <w:rPr>
          <w:noProof/>
        </w:rPr>
        <w:t>17</w:t>
      </w:r>
      <w:r w:rsidR="009D501C">
        <w:fldChar w:fldCharType="end"/>
      </w:r>
      <w:r w:rsidR="009D501C">
        <w:t xml:space="preserve"> </w:t>
      </w:r>
      <w:r w:rsidRPr="00F6205B">
        <w:t xml:space="preserve">shows that reduced air infiltration has a sample size of 143 homes. This means that 143 out of the 180 homes in the sample had air leakage levels that required reduction to achieve the technical potential efficiency level. </w:t>
      </w:r>
    </w:p>
    <w:p w14:paraId="3D2BEA6E" w14:textId="77777777" w:rsidR="00436707" w:rsidRPr="00F6205B" w:rsidRDefault="00436707" w:rsidP="0010210B">
      <w:pPr>
        <w:pStyle w:val="Heading4"/>
        <w:numPr>
          <w:ilvl w:val="0"/>
          <w:numId w:val="0"/>
        </w:numPr>
        <w:jc w:val="both"/>
      </w:pPr>
      <w:r w:rsidRPr="00F6205B">
        <w:t>Building Shell</w:t>
      </w:r>
    </w:p>
    <w:p w14:paraId="58CD42F8" w14:textId="732D02BA" w:rsidR="00436707" w:rsidRPr="00F6205B" w:rsidRDefault="00436707" w:rsidP="00436707">
      <w:r w:rsidRPr="00F6205B">
        <w:t>Reducing air infiltration in the models saves 7.1% of baseline MMBtu consumption; the only other upgrades which resulted in greater savings were the three varieties of heat pumps and photovoltaics (</w:t>
      </w:r>
      <w:r w:rsidR="009D501C">
        <w:fldChar w:fldCharType="begin"/>
      </w:r>
      <w:r w:rsidR="009D501C">
        <w:instrText xml:space="preserve"> REF _Ref439319636 \h </w:instrText>
      </w:r>
      <w:r w:rsidR="009D501C">
        <w:fldChar w:fldCharType="separate"/>
      </w:r>
      <w:r w:rsidR="00FA26A9" w:rsidRPr="00F6205B">
        <w:t xml:space="preserve">Table </w:t>
      </w:r>
      <w:r w:rsidR="00FA26A9">
        <w:rPr>
          <w:noProof/>
        </w:rPr>
        <w:t>21</w:t>
      </w:r>
      <w:r w:rsidR="009D501C">
        <w:fldChar w:fldCharType="end"/>
      </w:r>
      <w:r w:rsidRPr="00F6205B">
        <w:t>). Other building shell upgrades also led to substantial savings, notably windows and above-grade wall, flat attic, and frame floor insulation. The absence of a similar level of savings from HVAC upgrades suggests that potential savings in heating and cooling are attributable mostly to upgrades in the building shell.</w:t>
      </w:r>
    </w:p>
    <w:p w14:paraId="558F0919" w14:textId="57055A10" w:rsidR="00436707" w:rsidRPr="00F6205B" w:rsidRDefault="00436707" w:rsidP="004F23CF">
      <w:pPr>
        <w:pStyle w:val="Caption"/>
      </w:pPr>
      <w:bookmarkStart w:id="208" w:name="_Ref363041578"/>
      <w:bookmarkStart w:id="209" w:name="_Ref439697688"/>
      <w:bookmarkStart w:id="210" w:name="_Toc373324125"/>
      <w:bookmarkStart w:id="211" w:name="_Toc391887353"/>
      <w:bookmarkStart w:id="212" w:name="_Toc439931848"/>
      <w:r w:rsidRPr="00F6205B">
        <w:lastRenderedPageBreak/>
        <w:t>Table</w:t>
      </w:r>
      <w:bookmarkEnd w:id="208"/>
      <w:r w:rsidR="004F23CF" w:rsidRPr="00F6205B">
        <w:t xml:space="preserve"> </w:t>
      </w:r>
      <w:fldSimple w:instr=" SEQ Table \* ARABIC ">
        <w:r w:rsidR="00FA26A9">
          <w:rPr>
            <w:noProof/>
          </w:rPr>
          <w:t>17</w:t>
        </w:r>
      </w:fldSimple>
      <w:bookmarkEnd w:id="209"/>
      <w:r w:rsidRPr="00F6205B">
        <w:t>: Building Shell Savings Potential—First-Year</w:t>
      </w:r>
      <w:bookmarkEnd w:id="210"/>
      <w:bookmarkEnd w:id="211"/>
      <w:bookmarkEnd w:id="212"/>
    </w:p>
    <w:p w14:paraId="6D5EB26B" w14:textId="77777777" w:rsidR="00346A82" w:rsidRPr="00F6205B" w:rsidRDefault="00346A82" w:rsidP="00346A82">
      <w:pPr>
        <w:pStyle w:val="Caption"/>
        <w:spacing w:before="0" w:after="120"/>
        <w:rPr>
          <w:b w:val="0"/>
          <w:bCs w:val="0"/>
          <w:sz w:val="18"/>
        </w:rPr>
      </w:pPr>
      <w:r w:rsidRPr="00F6205B">
        <w:rPr>
          <w:b w:val="0"/>
          <w:bCs w:val="0"/>
          <w:sz w:val="18"/>
        </w:rPr>
        <w:t>Base: all single-family homes (population-weighted)</w:t>
      </w:r>
    </w:p>
    <w:tbl>
      <w:tblPr>
        <w:tblW w:w="10234"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91"/>
        <w:gridCol w:w="863"/>
        <w:gridCol w:w="1093"/>
        <w:gridCol w:w="1117"/>
        <w:gridCol w:w="1117"/>
        <w:gridCol w:w="1118"/>
        <w:gridCol w:w="1117"/>
        <w:gridCol w:w="1118"/>
      </w:tblGrid>
      <w:tr w:rsidR="00436707" w:rsidRPr="00F6205B" w14:paraId="3BE12DDE" w14:textId="77777777" w:rsidTr="00F35870">
        <w:trPr>
          <w:trHeight w:val="288"/>
          <w:jc w:val="center"/>
        </w:trPr>
        <w:tc>
          <w:tcPr>
            <w:tcW w:w="2691" w:type="dxa"/>
            <w:tcBorders>
              <w:top w:val="single" w:sz="4" w:space="0" w:color="auto"/>
              <w:left w:val="single" w:sz="4" w:space="0" w:color="auto"/>
              <w:bottom w:val="single" w:sz="4" w:space="0" w:color="auto"/>
              <w:right w:val="single" w:sz="4" w:space="0" w:color="000000" w:themeColor="text1"/>
            </w:tcBorders>
            <w:shd w:val="clear" w:color="auto" w:fill="0B4D2C" w:themeFill="background2" w:themeFillShade="BF"/>
            <w:vAlign w:val="center"/>
          </w:tcPr>
          <w:p w14:paraId="63E0023C" w14:textId="77777777" w:rsidR="00436707" w:rsidRPr="00F6205B" w:rsidRDefault="00436707" w:rsidP="0044249F">
            <w:pPr>
              <w:keepNext/>
              <w:keepLines/>
              <w:spacing w:after="0" w:line="240" w:lineRule="auto"/>
              <w:contextualSpacing/>
              <w:rPr>
                <w:b/>
                <w:sz w:val="20"/>
                <w:szCs w:val="20"/>
              </w:rPr>
            </w:pPr>
          </w:p>
        </w:tc>
        <w:tc>
          <w:tcPr>
            <w:tcW w:w="863" w:type="dxa"/>
            <w:tcBorders>
              <w:top w:val="single" w:sz="4" w:space="0" w:color="auto"/>
              <w:left w:val="single" w:sz="4" w:space="0" w:color="000000" w:themeColor="text1"/>
              <w:bottom w:val="single" w:sz="4" w:space="0" w:color="auto"/>
              <w:right w:val="single" w:sz="4" w:space="0" w:color="000000" w:themeColor="text1"/>
            </w:tcBorders>
            <w:shd w:val="clear" w:color="auto" w:fill="0B4D2C" w:themeFill="background2" w:themeFillShade="BF"/>
            <w:vAlign w:val="center"/>
          </w:tcPr>
          <w:p w14:paraId="23C297A2" w14:textId="72188F01" w:rsidR="00436707" w:rsidRPr="00F6205B" w:rsidRDefault="00014ECD" w:rsidP="0044249F">
            <w:pPr>
              <w:keepNext/>
              <w:keepLines/>
              <w:spacing w:after="0" w:line="240" w:lineRule="auto"/>
              <w:contextualSpacing/>
              <w:jc w:val="center"/>
              <w:rPr>
                <w:b/>
                <w:i/>
                <w:sz w:val="20"/>
                <w:szCs w:val="20"/>
              </w:rPr>
            </w:pPr>
            <w:r w:rsidRPr="00F6205B">
              <w:rPr>
                <w:b/>
                <w:i/>
                <w:sz w:val="20"/>
                <w:szCs w:val="20"/>
              </w:rPr>
              <w:t>N</w:t>
            </w:r>
          </w:p>
        </w:tc>
        <w:tc>
          <w:tcPr>
            <w:tcW w:w="1093" w:type="dxa"/>
            <w:tcBorders>
              <w:top w:val="single" w:sz="4" w:space="0" w:color="auto"/>
              <w:left w:val="single" w:sz="4" w:space="0" w:color="000000" w:themeColor="text1"/>
              <w:bottom w:val="single" w:sz="4" w:space="0" w:color="auto"/>
              <w:right w:val="single" w:sz="4" w:space="0" w:color="000000" w:themeColor="text1"/>
            </w:tcBorders>
            <w:shd w:val="clear" w:color="auto" w:fill="0B4D2C" w:themeFill="background2" w:themeFillShade="BF"/>
            <w:vAlign w:val="center"/>
          </w:tcPr>
          <w:p w14:paraId="7B3FE18A" w14:textId="77777777" w:rsidR="00436707" w:rsidRPr="00F6205B" w:rsidRDefault="00436707" w:rsidP="0044249F">
            <w:pPr>
              <w:keepNext/>
              <w:keepLines/>
              <w:spacing w:after="0" w:line="240" w:lineRule="auto"/>
              <w:contextualSpacing/>
              <w:jc w:val="center"/>
              <w:rPr>
                <w:b/>
                <w:sz w:val="20"/>
                <w:szCs w:val="20"/>
              </w:rPr>
            </w:pPr>
            <w:r w:rsidRPr="00F6205B">
              <w:rPr>
                <w:b/>
                <w:sz w:val="20"/>
                <w:szCs w:val="20"/>
              </w:rPr>
              <w:t>Percent Savings</w:t>
            </w:r>
            <w:r w:rsidRPr="00F6205B">
              <w:rPr>
                <w:b/>
                <w:sz w:val="20"/>
                <w:szCs w:val="20"/>
                <w:vertAlign w:val="superscript"/>
              </w:rPr>
              <w:t>i</w:t>
            </w:r>
          </w:p>
        </w:tc>
        <w:tc>
          <w:tcPr>
            <w:tcW w:w="1117" w:type="dxa"/>
            <w:tcBorders>
              <w:top w:val="single" w:sz="4" w:space="0" w:color="auto"/>
              <w:left w:val="single" w:sz="4" w:space="0" w:color="000000" w:themeColor="text1"/>
              <w:bottom w:val="single" w:sz="4" w:space="0" w:color="auto"/>
              <w:right w:val="single" w:sz="4" w:space="0" w:color="000000" w:themeColor="text1"/>
            </w:tcBorders>
            <w:shd w:val="clear" w:color="auto" w:fill="0B4D2C" w:themeFill="background2" w:themeFillShade="BF"/>
            <w:vAlign w:val="center"/>
            <w:hideMark/>
          </w:tcPr>
          <w:p w14:paraId="5CBC541B" w14:textId="5DA2F542" w:rsidR="00436707" w:rsidRPr="00F6205B" w:rsidRDefault="00014ECD" w:rsidP="0044249F">
            <w:pPr>
              <w:keepNext/>
              <w:keepLines/>
              <w:spacing w:after="0" w:line="240" w:lineRule="auto"/>
              <w:contextualSpacing/>
              <w:jc w:val="center"/>
              <w:rPr>
                <w:b/>
                <w:sz w:val="20"/>
                <w:szCs w:val="20"/>
              </w:rPr>
            </w:pPr>
            <w:r w:rsidRPr="00F6205B">
              <w:rPr>
                <w:b/>
                <w:sz w:val="20"/>
                <w:szCs w:val="20"/>
              </w:rPr>
              <w:t>Fuel Oil (gal</w:t>
            </w:r>
            <w:r w:rsidR="00436707" w:rsidRPr="00F6205B">
              <w:rPr>
                <w:b/>
                <w:sz w:val="20"/>
                <w:szCs w:val="20"/>
              </w:rPr>
              <w:t>)</w:t>
            </w:r>
            <w:r w:rsidR="00436707" w:rsidRPr="00F6205B">
              <w:rPr>
                <w:b/>
                <w:sz w:val="20"/>
                <w:vertAlign w:val="superscript"/>
              </w:rPr>
              <w:t>ii</w:t>
            </w:r>
          </w:p>
        </w:tc>
        <w:tc>
          <w:tcPr>
            <w:tcW w:w="1117" w:type="dxa"/>
            <w:tcBorders>
              <w:top w:val="single" w:sz="4" w:space="0" w:color="auto"/>
              <w:left w:val="single" w:sz="4" w:space="0" w:color="000000" w:themeColor="text1"/>
              <w:bottom w:val="single" w:sz="4" w:space="0" w:color="auto"/>
              <w:right w:val="single" w:sz="4" w:space="0" w:color="000000" w:themeColor="text1"/>
            </w:tcBorders>
            <w:shd w:val="clear" w:color="auto" w:fill="0B4D2C" w:themeFill="background2" w:themeFillShade="BF"/>
            <w:vAlign w:val="center"/>
            <w:hideMark/>
          </w:tcPr>
          <w:p w14:paraId="3FF37C15" w14:textId="77777777" w:rsidR="00436707" w:rsidRPr="00F6205B" w:rsidRDefault="00436707" w:rsidP="0044249F">
            <w:pPr>
              <w:keepNext/>
              <w:keepLines/>
              <w:spacing w:after="0" w:line="240" w:lineRule="auto"/>
              <w:contextualSpacing/>
              <w:jc w:val="center"/>
              <w:rPr>
                <w:b/>
                <w:sz w:val="20"/>
                <w:szCs w:val="20"/>
              </w:rPr>
            </w:pPr>
            <w:r w:rsidRPr="00F6205B">
              <w:rPr>
                <w:b/>
                <w:sz w:val="20"/>
                <w:szCs w:val="20"/>
              </w:rPr>
              <w:t>Nat. Gas (ccf)</w:t>
            </w:r>
            <w:r w:rsidRPr="00F6205B">
              <w:rPr>
                <w:b/>
                <w:sz w:val="20"/>
                <w:vertAlign w:val="superscript"/>
              </w:rPr>
              <w:t>ii</w:t>
            </w:r>
          </w:p>
        </w:tc>
        <w:tc>
          <w:tcPr>
            <w:tcW w:w="1118" w:type="dxa"/>
            <w:tcBorders>
              <w:top w:val="single" w:sz="4" w:space="0" w:color="auto"/>
              <w:left w:val="single" w:sz="4" w:space="0" w:color="000000" w:themeColor="text1"/>
              <w:bottom w:val="single" w:sz="4" w:space="0" w:color="auto"/>
              <w:right w:val="single" w:sz="4" w:space="0" w:color="000000" w:themeColor="text1"/>
            </w:tcBorders>
            <w:shd w:val="clear" w:color="auto" w:fill="0B4D2C" w:themeFill="background2" w:themeFillShade="BF"/>
            <w:vAlign w:val="center"/>
            <w:hideMark/>
          </w:tcPr>
          <w:p w14:paraId="7AEBF729" w14:textId="4D071720" w:rsidR="00436707" w:rsidRPr="00F6205B" w:rsidRDefault="00014ECD" w:rsidP="0044249F">
            <w:pPr>
              <w:keepNext/>
              <w:keepLines/>
              <w:spacing w:after="0" w:line="240" w:lineRule="auto"/>
              <w:contextualSpacing/>
              <w:jc w:val="center"/>
              <w:rPr>
                <w:b/>
                <w:sz w:val="20"/>
                <w:szCs w:val="20"/>
              </w:rPr>
            </w:pPr>
            <w:r w:rsidRPr="00F6205B">
              <w:rPr>
                <w:b/>
                <w:sz w:val="20"/>
                <w:szCs w:val="20"/>
              </w:rPr>
              <w:t>Propane (gal</w:t>
            </w:r>
            <w:r w:rsidR="00436707" w:rsidRPr="00F6205B">
              <w:rPr>
                <w:b/>
                <w:sz w:val="20"/>
                <w:szCs w:val="20"/>
              </w:rPr>
              <w:t>)</w:t>
            </w:r>
            <w:r w:rsidR="00436707" w:rsidRPr="00F6205B">
              <w:rPr>
                <w:b/>
                <w:sz w:val="20"/>
                <w:vertAlign w:val="superscript"/>
              </w:rPr>
              <w:t>ii</w:t>
            </w:r>
          </w:p>
        </w:tc>
        <w:tc>
          <w:tcPr>
            <w:tcW w:w="1117" w:type="dxa"/>
            <w:tcBorders>
              <w:top w:val="single" w:sz="4" w:space="0" w:color="auto"/>
              <w:left w:val="single" w:sz="4" w:space="0" w:color="000000" w:themeColor="text1"/>
              <w:bottom w:val="single" w:sz="4" w:space="0" w:color="auto"/>
              <w:right w:val="single" w:sz="4" w:space="0" w:color="000000" w:themeColor="text1"/>
            </w:tcBorders>
            <w:shd w:val="clear" w:color="auto" w:fill="0B4D2C" w:themeFill="background2" w:themeFillShade="BF"/>
            <w:vAlign w:val="center"/>
          </w:tcPr>
          <w:p w14:paraId="4975CF50" w14:textId="77777777" w:rsidR="00436707" w:rsidRPr="00F6205B" w:rsidRDefault="00436707" w:rsidP="0044249F">
            <w:pPr>
              <w:keepNext/>
              <w:keepLines/>
              <w:spacing w:after="0" w:line="240" w:lineRule="auto"/>
              <w:contextualSpacing/>
              <w:jc w:val="center"/>
              <w:rPr>
                <w:b/>
                <w:sz w:val="20"/>
                <w:szCs w:val="20"/>
              </w:rPr>
            </w:pPr>
            <w:r w:rsidRPr="00F6205B">
              <w:rPr>
                <w:b/>
                <w:sz w:val="20"/>
                <w:szCs w:val="20"/>
              </w:rPr>
              <w:t>Electric (kWh)</w:t>
            </w:r>
            <w:r w:rsidRPr="00F6205B">
              <w:rPr>
                <w:b/>
                <w:sz w:val="20"/>
                <w:vertAlign w:val="superscript"/>
              </w:rPr>
              <w:t>ii</w:t>
            </w:r>
          </w:p>
        </w:tc>
        <w:tc>
          <w:tcPr>
            <w:tcW w:w="1118" w:type="dxa"/>
            <w:tcBorders>
              <w:top w:val="single" w:sz="4" w:space="0" w:color="auto"/>
              <w:left w:val="single" w:sz="4" w:space="0" w:color="000000" w:themeColor="text1"/>
              <w:bottom w:val="single" w:sz="4" w:space="0" w:color="auto"/>
              <w:right w:val="single" w:sz="4" w:space="0" w:color="auto"/>
            </w:tcBorders>
            <w:shd w:val="clear" w:color="auto" w:fill="0B4D2C" w:themeFill="background2" w:themeFillShade="BF"/>
            <w:vAlign w:val="center"/>
          </w:tcPr>
          <w:p w14:paraId="479F0DCC" w14:textId="77777777" w:rsidR="00436707" w:rsidRPr="00F6205B" w:rsidRDefault="00436707" w:rsidP="0044249F">
            <w:pPr>
              <w:keepNext/>
              <w:keepLines/>
              <w:spacing w:after="0" w:line="240" w:lineRule="auto"/>
              <w:contextualSpacing/>
              <w:jc w:val="center"/>
              <w:rPr>
                <w:b/>
                <w:sz w:val="20"/>
                <w:szCs w:val="20"/>
              </w:rPr>
            </w:pPr>
            <w:r w:rsidRPr="00F6205B">
              <w:rPr>
                <w:b/>
                <w:sz w:val="20"/>
                <w:szCs w:val="20"/>
              </w:rPr>
              <w:t>Total MMBtu</w:t>
            </w:r>
            <w:r w:rsidRPr="00F6205B">
              <w:rPr>
                <w:b/>
                <w:sz w:val="20"/>
                <w:vertAlign w:val="superscript"/>
              </w:rPr>
              <w:t>ii</w:t>
            </w:r>
          </w:p>
        </w:tc>
      </w:tr>
      <w:tr w:rsidR="00906C88" w:rsidRPr="00F6205B" w14:paraId="2BDD93C6" w14:textId="77777777" w:rsidTr="00906C88">
        <w:trPr>
          <w:trHeight w:val="288"/>
          <w:jc w:val="center"/>
        </w:trPr>
        <w:tc>
          <w:tcPr>
            <w:tcW w:w="2691" w:type="dxa"/>
            <w:tcBorders>
              <w:top w:val="single" w:sz="4" w:space="0" w:color="auto"/>
              <w:left w:val="single" w:sz="4" w:space="0" w:color="auto"/>
              <w:bottom w:val="single" w:sz="4" w:space="0" w:color="000000" w:themeColor="text1"/>
              <w:right w:val="single" w:sz="4" w:space="0" w:color="000000" w:themeColor="text1"/>
            </w:tcBorders>
            <w:shd w:val="clear" w:color="auto" w:fill="404040" w:themeFill="text1" w:themeFillTint="BF"/>
            <w:vAlign w:val="center"/>
          </w:tcPr>
          <w:p w14:paraId="48A9608F" w14:textId="77777777" w:rsidR="00436707" w:rsidRPr="00F6205B" w:rsidRDefault="00436707" w:rsidP="0044249F">
            <w:pPr>
              <w:keepLines/>
              <w:spacing w:after="0" w:line="240" w:lineRule="auto"/>
              <w:contextualSpacing/>
              <w:jc w:val="right"/>
              <w:rPr>
                <w:color w:val="FFFFFF" w:themeColor="background1"/>
                <w:sz w:val="20"/>
                <w:szCs w:val="20"/>
              </w:rPr>
            </w:pPr>
            <w:r w:rsidRPr="00F6205B">
              <w:rPr>
                <w:color w:val="FFFFFF" w:themeColor="background1"/>
                <w:sz w:val="20"/>
                <w:szCs w:val="20"/>
              </w:rPr>
              <w:t>Baseline consumption</w:t>
            </w:r>
          </w:p>
        </w:tc>
        <w:tc>
          <w:tcPr>
            <w:tcW w:w="863"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404040" w:themeFill="text1" w:themeFillTint="BF"/>
            <w:vAlign w:val="center"/>
          </w:tcPr>
          <w:p w14:paraId="24EA2FA8" w14:textId="77777777" w:rsidR="00436707" w:rsidRPr="00F6205B" w:rsidRDefault="00436707" w:rsidP="0044249F">
            <w:pPr>
              <w:keepLines/>
              <w:spacing w:after="0" w:line="240" w:lineRule="auto"/>
              <w:contextualSpacing/>
              <w:jc w:val="center"/>
              <w:rPr>
                <w:color w:val="FFFFFF" w:themeColor="background1"/>
                <w:sz w:val="20"/>
                <w:szCs w:val="20"/>
              </w:rPr>
            </w:pPr>
            <w:r w:rsidRPr="00F6205B">
              <w:rPr>
                <w:color w:val="FFFFFF" w:themeColor="background1"/>
                <w:sz w:val="20"/>
                <w:szCs w:val="20"/>
              </w:rPr>
              <w:t>180</w:t>
            </w:r>
          </w:p>
        </w:tc>
        <w:tc>
          <w:tcPr>
            <w:tcW w:w="1093"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404040" w:themeFill="text1" w:themeFillTint="BF"/>
            <w:vAlign w:val="center"/>
          </w:tcPr>
          <w:p w14:paraId="4733147A" w14:textId="77777777" w:rsidR="00436707" w:rsidRPr="00F6205B" w:rsidRDefault="00436707" w:rsidP="0044249F">
            <w:pPr>
              <w:keepLines/>
              <w:spacing w:after="0" w:line="240" w:lineRule="auto"/>
              <w:contextualSpacing/>
              <w:jc w:val="center"/>
              <w:rPr>
                <w:color w:val="FFFFFF" w:themeColor="background1"/>
                <w:sz w:val="20"/>
                <w:szCs w:val="20"/>
              </w:rPr>
            </w:pPr>
            <w:r w:rsidRPr="00F6205B">
              <w:rPr>
                <w:color w:val="FFFFFF" w:themeColor="background1"/>
                <w:sz w:val="20"/>
                <w:szCs w:val="20"/>
              </w:rPr>
              <w:t>-</w:t>
            </w:r>
          </w:p>
        </w:tc>
        <w:tc>
          <w:tcPr>
            <w:tcW w:w="1117"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404040" w:themeFill="text1" w:themeFillTint="BF"/>
            <w:vAlign w:val="center"/>
          </w:tcPr>
          <w:p w14:paraId="0DA55B00" w14:textId="77777777" w:rsidR="00436707" w:rsidRPr="00F6205B" w:rsidRDefault="00436707" w:rsidP="0044249F">
            <w:pPr>
              <w:keepLines/>
              <w:spacing w:after="0" w:line="240" w:lineRule="auto"/>
              <w:contextualSpacing/>
              <w:jc w:val="center"/>
              <w:rPr>
                <w:color w:val="FFFFFF" w:themeColor="background1"/>
                <w:sz w:val="20"/>
                <w:szCs w:val="20"/>
              </w:rPr>
            </w:pPr>
            <w:r w:rsidRPr="00F6205B">
              <w:rPr>
                <w:color w:val="FFFFFF" w:themeColor="background1"/>
                <w:sz w:val="20"/>
                <w:szCs w:val="20"/>
              </w:rPr>
              <w:t>531.0</w:t>
            </w:r>
          </w:p>
        </w:tc>
        <w:tc>
          <w:tcPr>
            <w:tcW w:w="1117"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404040" w:themeFill="text1" w:themeFillTint="BF"/>
            <w:vAlign w:val="center"/>
          </w:tcPr>
          <w:p w14:paraId="1BA0B7D7" w14:textId="77777777" w:rsidR="00436707" w:rsidRPr="00F6205B" w:rsidRDefault="00436707" w:rsidP="0044249F">
            <w:pPr>
              <w:keepLines/>
              <w:spacing w:after="0" w:line="240" w:lineRule="auto"/>
              <w:contextualSpacing/>
              <w:jc w:val="center"/>
              <w:rPr>
                <w:color w:val="FFFFFF" w:themeColor="background1"/>
                <w:sz w:val="20"/>
                <w:szCs w:val="20"/>
              </w:rPr>
            </w:pPr>
            <w:r w:rsidRPr="00F6205B">
              <w:rPr>
                <w:color w:val="FFFFFF" w:themeColor="background1"/>
                <w:sz w:val="20"/>
                <w:szCs w:val="20"/>
              </w:rPr>
              <w:t>328.9</w:t>
            </w:r>
          </w:p>
        </w:tc>
        <w:tc>
          <w:tcPr>
            <w:tcW w:w="1118"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404040" w:themeFill="text1" w:themeFillTint="BF"/>
            <w:vAlign w:val="center"/>
          </w:tcPr>
          <w:p w14:paraId="7FB9665A" w14:textId="77777777" w:rsidR="00436707" w:rsidRPr="00F6205B" w:rsidRDefault="00436707" w:rsidP="0044249F">
            <w:pPr>
              <w:keepLines/>
              <w:spacing w:after="0" w:line="240" w:lineRule="auto"/>
              <w:contextualSpacing/>
              <w:jc w:val="center"/>
              <w:rPr>
                <w:color w:val="FFFFFF" w:themeColor="background1"/>
                <w:sz w:val="20"/>
                <w:szCs w:val="20"/>
              </w:rPr>
            </w:pPr>
            <w:r w:rsidRPr="00F6205B">
              <w:rPr>
                <w:color w:val="FFFFFF" w:themeColor="background1"/>
                <w:sz w:val="20"/>
                <w:szCs w:val="20"/>
              </w:rPr>
              <w:t>34.7</w:t>
            </w:r>
          </w:p>
        </w:tc>
        <w:tc>
          <w:tcPr>
            <w:tcW w:w="1117"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404040" w:themeFill="text1" w:themeFillTint="BF"/>
            <w:vAlign w:val="center"/>
          </w:tcPr>
          <w:p w14:paraId="06989431" w14:textId="77777777" w:rsidR="00436707" w:rsidRPr="00F6205B" w:rsidRDefault="00436707" w:rsidP="0044249F">
            <w:pPr>
              <w:keepLines/>
              <w:spacing w:after="0" w:line="240" w:lineRule="auto"/>
              <w:contextualSpacing/>
              <w:jc w:val="center"/>
              <w:rPr>
                <w:color w:val="FFFFFF" w:themeColor="background1"/>
                <w:sz w:val="20"/>
                <w:szCs w:val="20"/>
              </w:rPr>
            </w:pPr>
            <w:r w:rsidRPr="00F6205B">
              <w:rPr>
                <w:color w:val="FFFFFF" w:themeColor="background1"/>
                <w:sz w:val="20"/>
                <w:szCs w:val="20"/>
              </w:rPr>
              <w:t>12,034.2</w:t>
            </w:r>
          </w:p>
        </w:tc>
        <w:tc>
          <w:tcPr>
            <w:tcW w:w="1118" w:type="dxa"/>
            <w:tcBorders>
              <w:top w:val="single" w:sz="4" w:space="0" w:color="auto"/>
              <w:left w:val="single" w:sz="4" w:space="0" w:color="000000" w:themeColor="text1"/>
              <w:bottom w:val="single" w:sz="4" w:space="0" w:color="000000" w:themeColor="text1"/>
              <w:right w:val="single" w:sz="4" w:space="0" w:color="auto"/>
            </w:tcBorders>
            <w:shd w:val="clear" w:color="auto" w:fill="404040" w:themeFill="text1" w:themeFillTint="BF"/>
            <w:vAlign w:val="center"/>
          </w:tcPr>
          <w:p w14:paraId="2679DB44" w14:textId="77777777" w:rsidR="00436707" w:rsidRPr="00F6205B" w:rsidRDefault="00436707" w:rsidP="0044249F">
            <w:pPr>
              <w:keepLines/>
              <w:spacing w:after="0" w:line="240" w:lineRule="auto"/>
              <w:contextualSpacing/>
              <w:jc w:val="center"/>
              <w:rPr>
                <w:color w:val="FFFFFF" w:themeColor="background1"/>
                <w:sz w:val="20"/>
                <w:szCs w:val="20"/>
              </w:rPr>
            </w:pPr>
            <w:r w:rsidRPr="00F6205B">
              <w:rPr>
                <w:color w:val="FFFFFF" w:themeColor="background1"/>
                <w:sz w:val="20"/>
                <w:szCs w:val="20"/>
              </w:rPr>
              <w:t>156.6</w:t>
            </w:r>
          </w:p>
        </w:tc>
      </w:tr>
      <w:tr w:rsidR="00436707" w:rsidRPr="00F6205B" w14:paraId="5FFF97D8" w14:textId="77777777" w:rsidTr="00F35870">
        <w:trPr>
          <w:trHeight w:val="288"/>
          <w:jc w:val="center"/>
        </w:trPr>
        <w:tc>
          <w:tcPr>
            <w:tcW w:w="269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E7AE520" w14:textId="77777777" w:rsidR="00436707" w:rsidRPr="00F6205B" w:rsidRDefault="00436707" w:rsidP="0044249F">
            <w:pPr>
              <w:keepLines/>
              <w:spacing w:after="0" w:line="240" w:lineRule="auto"/>
              <w:contextualSpacing/>
              <w:jc w:val="right"/>
              <w:rPr>
                <w:sz w:val="20"/>
                <w:szCs w:val="20"/>
              </w:rPr>
            </w:pPr>
            <w:r w:rsidRPr="00F6205B">
              <w:rPr>
                <w:sz w:val="20"/>
                <w:szCs w:val="20"/>
              </w:rPr>
              <w:t>Reduce air infiltration</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B4E06D" w14:textId="77777777" w:rsidR="00436707" w:rsidRPr="00F6205B" w:rsidRDefault="00436707" w:rsidP="0044249F">
            <w:pPr>
              <w:keepLines/>
              <w:spacing w:after="0" w:line="240" w:lineRule="auto"/>
              <w:contextualSpacing/>
              <w:jc w:val="center"/>
              <w:rPr>
                <w:i/>
                <w:sz w:val="20"/>
                <w:szCs w:val="20"/>
              </w:rPr>
            </w:pPr>
            <w:r w:rsidRPr="00F6205B">
              <w:rPr>
                <w:i/>
                <w:sz w:val="20"/>
                <w:szCs w:val="20"/>
              </w:rPr>
              <w:t>142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12B3B3" w14:textId="77777777" w:rsidR="00436707" w:rsidRPr="00F6205B" w:rsidRDefault="00436707" w:rsidP="0044249F">
            <w:pPr>
              <w:keepLines/>
              <w:tabs>
                <w:tab w:val="decimal" w:pos="221"/>
              </w:tabs>
              <w:spacing w:after="0" w:line="240" w:lineRule="auto"/>
              <w:contextualSpacing/>
              <w:jc w:val="center"/>
              <w:rPr>
                <w:sz w:val="20"/>
                <w:szCs w:val="20"/>
              </w:rPr>
            </w:pPr>
            <w:r w:rsidRPr="00F6205B">
              <w:rPr>
                <w:sz w:val="20"/>
                <w:szCs w:val="20"/>
              </w:rPr>
              <w:t>7.1%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84CED8" w14:textId="77777777" w:rsidR="00436707" w:rsidRPr="00F6205B" w:rsidRDefault="00436707" w:rsidP="0044249F">
            <w:pPr>
              <w:keepLines/>
              <w:tabs>
                <w:tab w:val="decimal" w:pos="313"/>
              </w:tabs>
              <w:spacing w:after="0" w:line="240" w:lineRule="auto"/>
              <w:contextualSpacing/>
              <w:jc w:val="center"/>
              <w:rPr>
                <w:sz w:val="20"/>
                <w:szCs w:val="20"/>
              </w:rPr>
            </w:pPr>
            <w:r w:rsidRPr="00F6205B">
              <w:rPr>
                <w:sz w:val="20"/>
                <w:szCs w:val="20"/>
              </w:rPr>
              <w:t>51.8</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FFEEC4" w14:textId="77777777" w:rsidR="00436707" w:rsidRPr="00F6205B" w:rsidRDefault="00436707" w:rsidP="0044249F">
            <w:pPr>
              <w:keepLines/>
              <w:tabs>
                <w:tab w:val="decimal" w:pos="348"/>
              </w:tabs>
              <w:spacing w:after="0" w:line="240" w:lineRule="auto"/>
              <w:contextualSpacing/>
              <w:jc w:val="center"/>
              <w:rPr>
                <w:sz w:val="20"/>
                <w:szCs w:val="20"/>
              </w:rPr>
            </w:pPr>
            <w:r w:rsidRPr="00F6205B">
              <w:rPr>
                <w:sz w:val="20"/>
                <w:szCs w:val="20"/>
              </w:rPr>
              <w:t>29.7</w:t>
            </w:r>
          </w:p>
        </w:tc>
        <w:tc>
          <w:tcPr>
            <w:tcW w:w="11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7794D0" w14:textId="77777777" w:rsidR="00436707" w:rsidRPr="00F6205B" w:rsidRDefault="00436707" w:rsidP="0044249F">
            <w:pPr>
              <w:keepLines/>
              <w:tabs>
                <w:tab w:val="decimal" w:pos="168"/>
              </w:tabs>
              <w:spacing w:after="0" w:line="240" w:lineRule="auto"/>
              <w:contextualSpacing/>
              <w:jc w:val="center"/>
              <w:rPr>
                <w:sz w:val="20"/>
                <w:szCs w:val="20"/>
              </w:rPr>
            </w:pPr>
            <w:r w:rsidRPr="00F6205B">
              <w:rPr>
                <w:sz w:val="20"/>
                <w:szCs w:val="20"/>
              </w:rPr>
              <w:t>1.4</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94F7EE" w14:textId="77777777" w:rsidR="00436707" w:rsidRPr="00F6205B" w:rsidRDefault="00436707" w:rsidP="0044249F">
            <w:pPr>
              <w:keepLines/>
              <w:tabs>
                <w:tab w:val="decimal" w:pos="612"/>
              </w:tabs>
              <w:spacing w:after="0" w:line="240" w:lineRule="auto"/>
              <w:contextualSpacing/>
              <w:jc w:val="center"/>
              <w:rPr>
                <w:sz w:val="20"/>
                <w:szCs w:val="20"/>
              </w:rPr>
            </w:pPr>
            <w:r w:rsidRPr="00F6205B">
              <w:rPr>
                <w:sz w:val="20"/>
                <w:szCs w:val="20"/>
              </w:rPr>
              <w:t>142.0</w:t>
            </w:r>
          </w:p>
        </w:tc>
        <w:tc>
          <w:tcPr>
            <w:tcW w:w="1118"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6F855C7" w14:textId="77777777" w:rsidR="00436707" w:rsidRPr="00F6205B" w:rsidRDefault="00436707" w:rsidP="0044249F">
            <w:pPr>
              <w:keepLines/>
              <w:tabs>
                <w:tab w:val="decimal" w:pos="438"/>
              </w:tabs>
              <w:spacing w:after="0" w:line="240" w:lineRule="auto"/>
              <w:contextualSpacing/>
              <w:jc w:val="center"/>
              <w:rPr>
                <w:sz w:val="20"/>
                <w:szCs w:val="20"/>
              </w:rPr>
            </w:pPr>
            <w:r w:rsidRPr="00F6205B">
              <w:rPr>
                <w:sz w:val="20"/>
                <w:szCs w:val="20"/>
              </w:rPr>
              <w:t>11.1</w:t>
            </w:r>
          </w:p>
        </w:tc>
      </w:tr>
      <w:tr w:rsidR="00436707" w:rsidRPr="00F6205B" w14:paraId="1C6E8993" w14:textId="77777777" w:rsidTr="00906C88">
        <w:trPr>
          <w:trHeight w:val="288"/>
          <w:jc w:val="center"/>
        </w:trPr>
        <w:tc>
          <w:tcPr>
            <w:tcW w:w="269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6B713087" w14:textId="77777777" w:rsidR="00436707" w:rsidRPr="00F6205B" w:rsidRDefault="00436707" w:rsidP="0044249F">
            <w:pPr>
              <w:keepLines/>
              <w:spacing w:after="0" w:line="240" w:lineRule="auto"/>
              <w:contextualSpacing/>
              <w:jc w:val="right"/>
              <w:rPr>
                <w:sz w:val="20"/>
                <w:szCs w:val="20"/>
              </w:rPr>
            </w:pPr>
            <w:r w:rsidRPr="00F6205B">
              <w:rPr>
                <w:sz w:val="20"/>
                <w:szCs w:val="20"/>
              </w:rPr>
              <w:t>Upgrade windows</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705F9CEE" w14:textId="77777777" w:rsidR="00436707" w:rsidRPr="00F6205B" w:rsidRDefault="00436707" w:rsidP="0044249F">
            <w:pPr>
              <w:keepLines/>
              <w:spacing w:after="0" w:line="240" w:lineRule="auto"/>
              <w:contextualSpacing/>
              <w:jc w:val="center"/>
              <w:rPr>
                <w:i/>
                <w:sz w:val="20"/>
                <w:szCs w:val="20"/>
              </w:rPr>
            </w:pPr>
            <w:r w:rsidRPr="00F6205B">
              <w:rPr>
                <w:i/>
                <w:sz w:val="20"/>
                <w:szCs w:val="20"/>
              </w:rPr>
              <w:t>180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1F145A43" w14:textId="77777777" w:rsidR="00436707" w:rsidRPr="00F6205B" w:rsidRDefault="00436707" w:rsidP="0044249F">
            <w:pPr>
              <w:keepLines/>
              <w:tabs>
                <w:tab w:val="decimal" w:pos="221"/>
              </w:tabs>
              <w:spacing w:after="0" w:line="240" w:lineRule="auto"/>
              <w:contextualSpacing/>
              <w:jc w:val="center"/>
              <w:rPr>
                <w:sz w:val="20"/>
                <w:szCs w:val="20"/>
              </w:rPr>
            </w:pPr>
            <w:r w:rsidRPr="00F6205B">
              <w:rPr>
                <w:sz w:val="20"/>
                <w:szCs w:val="20"/>
              </w:rPr>
              <w:t>6.0%</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6AD7834B" w14:textId="77777777" w:rsidR="00436707" w:rsidRPr="00F6205B" w:rsidRDefault="00436707" w:rsidP="0044249F">
            <w:pPr>
              <w:keepLines/>
              <w:tabs>
                <w:tab w:val="decimal" w:pos="313"/>
              </w:tabs>
              <w:spacing w:after="0" w:line="240" w:lineRule="auto"/>
              <w:contextualSpacing/>
              <w:jc w:val="center"/>
              <w:rPr>
                <w:sz w:val="20"/>
                <w:szCs w:val="20"/>
              </w:rPr>
            </w:pPr>
            <w:r w:rsidRPr="00F6205B">
              <w:rPr>
                <w:sz w:val="20"/>
                <w:szCs w:val="20"/>
              </w:rPr>
              <w:t>35.0</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68D4D4F9" w14:textId="77777777" w:rsidR="00436707" w:rsidRPr="00F6205B" w:rsidRDefault="00436707" w:rsidP="0044249F">
            <w:pPr>
              <w:keepLines/>
              <w:tabs>
                <w:tab w:val="decimal" w:pos="348"/>
              </w:tabs>
              <w:spacing w:after="0" w:line="240" w:lineRule="auto"/>
              <w:contextualSpacing/>
              <w:jc w:val="center"/>
              <w:rPr>
                <w:sz w:val="20"/>
                <w:szCs w:val="20"/>
              </w:rPr>
            </w:pPr>
            <w:r w:rsidRPr="00F6205B">
              <w:rPr>
                <w:sz w:val="20"/>
                <w:szCs w:val="20"/>
              </w:rPr>
              <w:t>21.1</w:t>
            </w:r>
          </w:p>
        </w:tc>
        <w:tc>
          <w:tcPr>
            <w:tcW w:w="1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47FB30B2" w14:textId="77777777" w:rsidR="00436707" w:rsidRPr="00F6205B" w:rsidRDefault="00436707" w:rsidP="0044249F">
            <w:pPr>
              <w:keepLines/>
              <w:tabs>
                <w:tab w:val="decimal" w:pos="168"/>
              </w:tabs>
              <w:spacing w:after="0" w:line="240" w:lineRule="auto"/>
              <w:contextualSpacing/>
              <w:jc w:val="center"/>
              <w:rPr>
                <w:sz w:val="20"/>
                <w:szCs w:val="20"/>
              </w:rPr>
            </w:pPr>
            <w:r w:rsidRPr="00F6205B">
              <w:rPr>
                <w:sz w:val="20"/>
                <w:szCs w:val="20"/>
              </w:rPr>
              <w:t>2.1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0A87E725" w14:textId="77777777" w:rsidR="00436707" w:rsidRPr="00F6205B" w:rsidRDefault="00436707" w:rsidP="0044249F">
            <w:pPr>
              <w:keepLines/>
              <w:tabs>
                <w:tab w:val="decimal" w:pos="612"/>
              </w:tabs>
              <w:spacing w:after="0" w:line="240" w:lineRule="auto"/>
              <w:contextualSpacing/>
              <w:jc w:val="center"/>
              <w:rPr>
                <w:sz w:val="20"/>
                <w:szCs w:val="20"/>
              </w:rPr>
            </w:pPr>
            <w:r w:rsidRPr="00F6205B">
              <w:rPr>
                <w:sz w:val="20"/>
                <w:szCs w:val="20"/>
              </w:rPr>
              <w:t>535.0</w:t>
            </w:r>
          </w:p>
        </w:tc>
        <w:tc>
          <w:tcPr>
            <w:tcW w:w="111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1ABB3F0D" w14:textId="77777777" w:rsidR="00436707" w:rsidRPr="00F6205B" w:rsidRDefault="00436707" w:rsidP="0044249F">
            <w:pPr>
              <w:keepLines/>
              <w:tabs>
                <w:tab w:val="decimal" w:pos="438"/>
              </w:tabs>
              <w:spacing w:after="0" w:line="240" w:lineRule="auto"/>
              <w:contextualSpacing/>
              <w:jc w:val="center"/>
              <w:rPr>
                <w:sz w:val="20"/>
                <w:szCs w:val="20"/>
              </w:rPr>
            </w:pPr>
            <w:r w:rsidRPr="00F6205B">
              <w:rPr>
                <w:sz w:val="20"/>
                <w:szCs w:val="20"/>
              </w:rPr>
              <w:t>9.4</w:t>
            </w:r>
          </w:p>
        </w:tc>
      </w:tr>
      <w:tr w:rsidR="00436707" w:rsidRPr="00F6205B" w14:paraId="7CDC530C" w14:textId="77777777" w:rsidTr="00F35870">
        <w:trPr>
          <w:trHeight w:val="288"/>
          <w:jc w:val="center"/>
        </w:trPr>
        <w:tc>
          <w:tcPr>
            <w:tcW w:w="269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7A09A8D" w14:textId="77777777" w:rsidR="00436707" w:rsidRPr="00F6205B" w:rsidRDefault="00436707" w:rsidP="0044249F">
            <w:pPr>
              <w:keepLines/>
              <w:spacing w:after="0" w:line="240" w:lineRule="auto"/>
              <w:contextualSpacing/>
              <w:jc w:val="right"/>
              <w:rPr>
                <w:sz w:val="20"/>
                <w:szCs w:val="20"/>
              </w:rPr>
            </w:pPr>
            <w:r w:rsidRPr="00F6205B">
              <w:rPr>
                <w:sz w:val="20"/>
                <w:szCs w:val="20"/>
              </w:rPr>
              <w:t>Add above grade wall insulation</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55FE5F" w14:textId="77777777" w:rsidR="00436707" w:rsidRPr="00F6205B" w:rsidRDefault="00436707" w:rsidP="0044249F">
            <w:pPr>
              <w:keepLines/>
              <w:spacing w:after="0" w:line="240" w:lineRule="auto"/>
              <w:contextualSpacing/>
              <w:jc w:val="center"/>
              <w:rPr>
                <w:i/>
                <w:sz w:val="20"/>
                <w:szCs w:val="20"/>
              </w:rPr>
            </w:pPr>
            <w:r w:rsidRPr="00F6205B">
              <w:rPr>
                <w:i/>
                <w:sz w:val="20"/>
                <w:szCs w:val="20"/>
              </w:rPr>
              <w:t>165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0C529C" w14:textId="77777777" w:rsidR="00436707" w:rsidRPr="00F6205B" w:rsidRDefault="00436707" w:rsidP="0044249F">
            <w:pPr>
              <w:keepLines/>
              <w:tabs>
                <w:tab w:val="decimal" w:pos="221"/>
              </w:tabs>
              <w:spacing w:after="0" w:line="240" w:lineRule="auto"/>
              <w:contextualSpacing/>
              <w:jc w:val="center"/>
              <w:rPr>
                <w:sz w:val="20"/>
                <w:szCs w:val="20"/>
              </w:rPr>
            </w:pPr>
            <w:r w:rsidRPr="00F6205B">
              <w:rPr>
                <w:sz w:val="20"/>
                <w:szCs w:val="20"/>
              </w:rPr>
              <w:t>4.9%</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CA0B2D" w14:textId="77777777" w:rsidR="00436707" w:rsidRPr="00F6205B" w:rsidRDefault="00436707" w:rsidP="0044249F">
            <w:pPr>
              <w:keepLines/>
              <w:tabs>
                <w:tab w:val="decimal" w:pos="313"/>
              </w:tabs>
              <w:spacing w:after="0" w:line="240" w:lineRule="auto"/>
              <w:contextualSpacing/>
              <w:jc w:val="center"/>
              <w:rPr>
                <w:sz w:val="20"/>
                <w:szCs w:val="20"/>
              </w:rPr>
            </w:pPr>
            <w:r w:rsidRPr="00F6205B">
              <w:rPr>
                <w:sz w:val="20"/>
                <w:szCs w:val="20"/>
              </w:rPr>
              <w:t>32.1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1BBBC0" w14:textId="77777777" w:rsidR="00436707" w:rsidRPr="00F6205B" w:rsidRDefault="00436707" w:rsidP="0044249F">
            <w:pPr>
              <w:keepLines/>
              <w:tabs>
                <w:tab w:val="decimal" w:pos="348"/>
              </w:tabs>
              <w:spacing w:after="0" w:line="240" w:lineRule="auto"/>
              <w:contextualSpacing/>
              <w:jc w:val="center"/>
              <w:rPr>
                <w:sz w:val="20"/>
                <w:szCs w:val="20"/>
              </w:rPr>
            </w:pPr>
            <w:r w:rsidRPr="00F6205B">
              <w:rPr>
                <w:sz w:val="20"/>
                <w:szCs w:val="20"/>
              </w:rPr>
              <w:t>26.0</w:t>
            </w:r>
          </w:p>
        </w:tc>
        <w:tc>
          <w:tcPr>
            <w:tcW w:w="11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FE9F14" w14:textId="77777777" w:rsidR="00436707" w:rsidRPr="00F6205B" w:rsidRDefault="00436707" w:rsidP="0044249F">
            <w:pPr>
              <w:keepLines/>
              <w:tabs>
                <w:tab w:val="decimal" w:pos="168"/>
              </w:tabs>
              <w:spacing w:after="0" w:line="240" w:lineRule="auto"/>
              <w:contextualSpacing/>
              <w:jc w:val="center"/>
              <w:rPr>
                <w:sz w:val="20"/>
                <w:szCs w:val="20"/>
              </w:rPr>
            </w:pPr>
            <w:r w:rsidRPr="00F6205B">
              <w:rPr>
                <w:sz w:val="20"/>
                <w:szCs w:val="20"/>
              </w:rPr>
              <w:t>1.0</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296C28" w14:textId="77777777" w:rsidR="00436707" w:rsidRPr="00F6205B" w:rsidRDefault="00436707" w:rsidP="0044249F">
            <w:pPr>
              <w:keepLines/>
              <w:tabs>
                <w:tab w:val="decimal" w:pos="612"/>
              </w:tabs>
              <w:spacing w:after="0" w:line="240" w:lineRule="auto"/>
              <w:contextualSpacing/>
              <w:jc w:val="center"/>
              <w:rPr>
                <w:sz w:val="20"/>
                <w:szCs w:val="20"/>
              </w:rPr>
            </w:pPr>
            <w:r w:rsidRPr="00F6205B">
              <w:rPr>
                <w:sz w:val="20"/>
                <w:szCs w:val="20"/>
              </w:rPr>
              <w:t>68.7</w:t>
            </w:r>
          </w:p>
        </w:tc>
        <w:tc>
          <w:tcPr>
            <w:tcW w:w="1118"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B26DC3F" w14:textId="77777777" w:rsidR="00436707" w:rsidRPr="00F6205B" w:rsidRDefault="00436707" w:rsidP="0044249F">
            <w:pPr>
              <w:keepLines/>
              <w:tabs>
                <w:tab w:val="decimal" w:pos="438"/>
              </w:tabs>
              <w:spacing w:after="0" w:line="240" w:lineRule="auto"/>
              <w:contextualSpacing/>
              <w:jc w:val="center"/>
              <w:rPr>
                <w:sz w:val="20"/>
                <w:szCs w:val="20"/>
              </w:rPr>
            </w:pPr>
            <w:r w:rsidRPr="00F6205B">
              <w:rPr>
                <w:sz w:val="20"/>
                <w:szCs w:val="20"/>
              </w:rPr>
              <w:t>7.7</w:t>
            </w:r>
          </w:p>
        </w:tc>
      </w:tr>
      <w:tr w:rsidR="00436707" w:rsidRPr="00F6205B" w14:paraId="1E6AD39A" w14:textId="77777777" w:rsidTr="00906C88">
        <w:trPr>
          <w:trHeight w:val="288"/>
          <w:jc w:val="center"/>
        </w:trPr>
        <w:tc>
          <w:tcPr>
            <w:tcW w:w="269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2B6ADE5C" w14:textId="77777777" w:rsidR="00436707" w:rsidRPr="00F6205B" w:rsidRDefault="00436707" w:rsidP="0044249F">
            <w:pPr>
              <w:keepLines/>
              <w:spacing w:after="0" w:line="240" w:lineRule="auto"/>
              <w:contextualSpacing/>
              <w:jc w:val="right"/>
              <w:rPr>
                <w:sz w:val="20"/>
                <w:szCs w:val="20"/>
              </w:rPr>
            </w:pPr>
            <w:r w:rsidRPr="00F6205B">
              <w:rPr>
                <w:sz w:val="20"/>
                <w:szCs w:val="20"/>
              </w:rPr>
              <w:t>Add flat attic insulation</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3DE13196" w14:textId="77777777" w:rsidR="00436707" w:rsidRPr="00F6205B" w:rsidRDefault="00436707" w:rsidP="0044249F">
            <w:pPr>
              <w:keepLines/>
              <w:spacing w:after="0" w:line="240" w:lineRule="auto"/>
              <w:contextualSpacing/>
              <w:jc w:val="center"/>
              <w:rPr>
                <w:i/>
                <w:sz w:val="20"/>
                <w:szCs w:val="20"/>
              </w:rPr>
            </w:pPr>
            <w:r w:rsidRPr="00F6205B">
              <w:rPr>
                <w:i/>
                <w:sz w:val="20"/>
                <w:szCs w:val="20"/>
              </w:rPr>
              <w:t>166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033809E2" w14:textId="77777777" w:rsidR="00436707" w:rsidRPr="00F6205B" w:rsidRDefault="00436707" w:rsidP="0044249F">
            <w:pPr>
              <w:keepLines/>
              <w:tabs>
                <w:tab w:val="decimal" w:pos="221"/>
              </w:tabs>
              <w:spacing w:after="0" w:line="240" w:lineRule="auto"/>
              <w:contextualSpacing/>
              <w:jc w:val="center"/>
              <w:rPr>
                <w:sz w:val="20"/>
                <w:szCs w:val="20"/>
              </w:rPr>
            </w:pPr>
            <w:r w:rsidRPr="00F6205B">
              <w:rPr>
                <w:sz w:val="20"/>
                <w:szCs w:val="20"/>
              </w:rPr>
              <w:t>4.0%</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17DFD408" w14:textId="77777777" w:rsidR="00436707" w:rsidRPr="00F6205B" w:rsidRDefault="00436707" w:rsidP="0044249F">
            <w:pPr>
              <w:keepLines/>
              <w:tabs>
                <w:tab w:val="decimal" w:pos="313"/>
              </w:tabs>
              <w:spacing w:after="0" w:line="240" w:lineRule="auto"/>
              <w:contextualSpacing/>
              <w:jc w:val="center"/>
              <w:rPr>
                <w:sz w:val="20"/>
                <w:szCs w:val="20"/>
              </w:rPr>
            </w:pPr>
            <w:r w:rsidRPr="00F6205B">
              <w:rPr>
                <w:sz w:val="20"/>
                <w:szCs w:val="20"/>
              </w:rPr>
              <w:t>29.5</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00D601D7" w14:textId="77777777" w:rsidR="00436707" w:rsidRPr="00F6205B" w:rsidRDefault="00436707" w:rsidP="0044249F">
            <w:pPr>
              <w:keepLines/>
              <w:tabs>
                <w:tab w:val="decimal" w:pos="348"/>
              </w:tabs>
              <w:spacing w:after="0" w:line="240" w:lineRule="auto"/>
              <w:contextualSpacing/>
              <w:jc w:val="center"/>
              <w:rPr>
                <w:sz w:val="20"/>
                <w:szCs w:val="20"/>
              </w:rPr>
            </w:pPr>
            <w:r w:rsidRPr="00F6205B">
              <w:rPr>
                <w:sz w:val="20"/>
                <w:szCs w:val="20"/>
              </w:rPr>
              <w:t>15.6</w:t>
            </w:r>
          </w:p>
        </w:tc>
        <w:tc>
          <w:tcPr>
            <w:tcW w:w="1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2D1151CD" w14:textId="77777777" w:rsidR="00436707" w:rsidRPr="00F6205B" w:rsidRDefault="00436707" w:rsidP="0044249F">
            <w:pPr>
              <w:keepLines/>
              <w:tabs>
                <w:tab w:val="decimal" w:pos="168"/>
              </w:tabs>
              <w:spacing w:after="0" w:line="240" w:lineRule="auto"/>
              <w:contextualSpacing/>
              <w:jc w:val="center"/>
              <w:rPr>
                <w:sz w:val="20"/>
                <w:szCs w:val="20"/>
              </w:rPr>
            </w:pPr>
            <w:r w:rsidRPr="00F6205B">
              <w:rPr>
                <w:sz w:val="20"/>
                <w:szCs w:val="20"/>
              </w:rPr>
              <w:t>1.0</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0C7BDDE6" w14:textId="77777777" w:rsidR="00436707" w:rsidRPr="00F6205B" w:rsidRDefault="00436707" w:rsidP="0044249F">
            <w:pPr>
              <w:keepLines/>
              <w:tabs>
                <w:tab w:val="decimal" w:pos="612"/>
              </w:tabs>
              <w:spacing w:after="0" w:line="240" w:lineRule="auto"/>
              <w:contextualSpacing/>
              <w:jc w:val="center"/>
              <w:rPr>
                <w:sz w:val="20"/>
                <w:szCs w:val="20"/>
              </w:rPr>
            </w:pPr>
            <w:r w:rsidRPr="00F6205B">
              <w:rPr>
                <w:sz w:val="20"/>
                <w:szCs w:val="20"/>
              </w:rPr>
              <w:t>70.8</w:t>
            </w:r>
          </w:p>
        </w:tc>
        <w:tc>
          <w:tcPr>
            <w:tcW w:w="111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06FC76EB" w14:textId="77777777" w:rsidR="00436707" w:rsidRPr="00F6205B" w:rsidRDefault="00436707" w:rsidP="0044249F">
            <w:pPr>
              <w:keepLines/>
              <w:tabs>
                <w:tab w:val="decimal" w:pos="438"/>
              </w:tabs>
              <w:spacing w:after="0" w:line="240" w:lineRule="auto"/>
              <w:contextualSpacing/>
              <w:jc w:val="center"/>
              <w:rPr>
                <w:sz w:val="20"/>
                <w:szCs w:val="20"/>
              </w:rPr>
            </w:pPr>
            <w:r w:rsidRPr="00F6205B">
              <w:rPr>
                <w:sz w:val="20"/>
                <w:szCs w:val="20"/>
              </w:rPr>
              <w:t>6.3</w:t>
            </w:r>
          </w:p>
        </w:tc>
      </w:tr>
      <w:tr w:rsidR="00436707" w:rsidRPr="00F6205B" w14:paraId="5BF7F9EC" w14:textId="77777777" w:rsidTr="00F35870">
        <w:trPr>
          <w:trHeight w:val="288"/>
          <w:jc w:val="center"/>
        </w:trPr>
        <w:tc>
          <w:tcPr>
            <w:tcW w:w="269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3447BF3" w14:textId="77777777" w:rsidR="00436707" w:rsidRPr="00F6205B" w:rsidRDefault="00436707" w:rsidP="0044249F">
            <w:pPr>
              <w:keepLines/>
              <w:spacing w:after="0" w:line="240" w:lineRule="auto"/>
              <w:contextualSpacing/>
              <w:jc w:val="right"/>
              <w:rPr>
                <w:sz w:val="20"/>
                <w:szCs w:val="20"/>
              </w:rPr>
            </w:pPr>
            <w:r w:rsidRPr="00F6205B">
              <w:rPr>
                <w:sz w:val="20"/>
                <w:szCs w:val="20"/>
              </w:rPr>
              <w:t>Add frame floor insulation</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53CF8F" w14:textId="77777777" w:rsidR="00436707" w:rsidRPr="00F6205B" w:rsidRDefault="00436707" w:rsidP="0044249F">
            <w:pPr>
              <w:keepLines/>
              <w:spacing w:after="0" w:line="240" w:lineRule="auto"/>
              <w:contextualSpacing/>
              <w:jc w:val="center"/>
              <w:rPr>
                <w:i/>
                <w:sz w:val="20"/>
                <w:szCs w:val="20"/>
              </w:rPr>
            </w:pPr>
            <w:r w:rsidRPr="00F6205B">
              <w:rPr>
                <w:i/>
                <w:sz w:val="20"/>
                <w:szCs w:val="20"/>
              </w:rPr>
              <w:t>161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4EA4F0" w14:textId="77777777" w:rsidR="00436707" w:rsidRPr="00F6205B" w:rsidRDefault="00436707" w:rsidP="0044249F">
            <w:pPr>
              <w:keepLines/>
              <w:tabs>
                <w:tab w:val="decimal" w:pos="221"/>
              </w:tabs>
              <w:spacing w:after="0" w:line="240" w:lineRule="auto"/>
              <w:contextualSpacing/>
              <w:jc w:val="center"/>
              <w:rPr>
                <w:sz w:val="20"/>
                <w:szCs w:val="20"/>
              </w:rPr>
            </w:pPr>
            <w:r w:rsidRPr="00F6205B">
              <w:rPr>
                <w:sz w:val="20"/>
                <w:szCs w:val="20"/>
              </w:rPr>
              <w:t>3.6%</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1A676E" w14:textId="77777777" w:rsidR="00436707" w:rsidRPr="00F6205B" w:rsidRDefault="00436707" w:rsidP="0044249F">
            <w:pPr>
              <w:keepLines/>
              <w:tabs>
                <w:tab w:val="decimal" w:pos="313"/>
              </w:tabs>
              <w:spacing w:after="0" w:line="240" w:lineRule="auto"/>
              <w:contextualSpacing/>
              <w:rPr>
                <w:sz w:val="20"/>
                <w:szCs w:val="20"/>
              </w:rPr>
            </w:pPr>
            <w:r w:rsidRPr="00F6205B">
              <w:rPr>
                <w:sz w:val="20"/>
                <w:szCs w:val="20"/>
              </w:rPr>
              <w:t xml:space="preserve">    24.0</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FE8B14" w14:textId="77777777" w:rsidR="00436707" w:rsidRPr="00F6205B" w:rsidRDefault="00436707" w:rsidP="0044249F">
            <w:pPr>
              <w:keepLines/>
              <w:tabs>
                <w:tab w:val="decimal" w:pos="348"/>
              </w:tabs>
              <w:spacing w:after="0" w:line="240" w:lineRule="auto"/>
              <w:contextualSpacing/>
              <w:jc w:val="center"/>
              <w:rPr>
                <w:sz w:val="20"/>
                <w:szCs w:val="20"/>
              </w:rPr>
            </w:pPr>
            <w:r w:rsidRPr="00F6205B">
              <w:rPr>
                <w:sz w:val="20"/>
                <w:szCs w:val="20"/>
              </w:rPr>
              <w:t>17.9</w:t>
            </w:r>
          </w:p>
        </w:tc>
        <w:tc>
          <w:tcPr>
            <w:tcW w:w="11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2A46E0" w14:textId="77777777" w:rsidR="00436707" w:rsidRPr="00F6205B" w:rsidRDefault="00436707" w:rsidP="0044249F">
            <w:pPr>
              <w:keepLines/>
              <w:tabs>
                <w:tab w:val="decimal" w:pos="168"/>
              </w:tabs>
              <w:spacing w:after="0" w:line="240" w:lineRule="auto"/>
              <w:contextualSpacing/>
              <w:jc w:val="center"/>
              <w:rPr>
                <w:sz w:val="20"/>
                <w:szCs w:val="20"/>
              </w:rPr>
            </w:pPr>
            <w:r w:rsidRPr="00F6205B">
              <w:rPr>
                <w:sz w:val="20"/>
                <w:szCs w:val="20"/>
              </w:rPr>
              <w:t>0.8</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EDCA3B" w14:textId="77777777" w:rsidR="00436707" w:rsidRPr="00F6205B" w:rsidRDefault="00436707" w:rsidP="0044249F">
            <w:pPr>
              <w:keepLines/>
              <w:tabs>
                <w:tab w:val="decimal" w:pos="612"/>
              </w:tabs>
              <w:spacing w:after="0" w:line="240" w:lineRule="auto"/>
              <w:contextualSpacing/>
              <w:jc w:val="center"/>
              <w:rPr>
                <w:sz w:val="20"/>
                <w:szCs w:val="20"/>
              </w:rPr>
            </w:pPr>
            <w:r w:rsidRPr="00F6205B">
              <w:rPr>
                <w:sz w:val="20"/>
                <w:szCs w:val="20"/>
              </w:rPr>
              <w:t>17.5</w:t>
            </w:r>
          </w:p>
        </w:tc>
        <w:tc>
          <w:tcPr>
            <w:tcW w:w="1118"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B73FE84" w14:textId="77777777" w:rsidR="00436707" w:rsidRPr="00F6205B" w:rsidRDefault="00436707" w:rsidP="0044249F">
            <w:pPr>
              <w:keepLines/>
              <w:tabs>
                <w:tab w:val="decimal" w:pos="438"/>
              </w:tabs>
              <w:spacing w:after="0" w:line="240" w:lineRule="auto"/>
              <w:contextualSpacing/>
              <w:jc w:val="center"/>
              <w:rPr>
                <w:sz w:val="20"/>
                <w:szCs w:val="20"/>
              </w:rPr>
            </w:pPr>
            <w:r w:rsidRPr="00F6205B">
              <w:rPr>
                <w:sz w:val="20"/>
                <w:szCs w:val="20"/>
              </w:rPr>
              <w:t>5.7</w:t>
            </w:r>
          </w:p>
        </w:tc>
      </w:tr>
      <w:tr w:rsidR="00436707" w:rsidRPr="00F6205B" w14:paraId="5429EA62" w14:textId="77777777" w:rsidTr="00906C88">
        <w:trPr>
          <w:trHeight w:val="288"/>
          <w:jc w:val="center"/>
        </w:trPr>
        <w:tc>
          <w:tcPr>
            <w:tcW w:w="269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533BC932" w14:textId="77777777" w:rsidR="00436707" w:rsidRPr="00F6205B" w:rsidRDefault="00436707" w:rsidP="0044249F">
            <w:pPr>
              <w:keepLines/>
              <w:spacing w:after="0" w:line="240" w:lineRule="auto"/>
              <w:contextualSpacing/>
              <w:jc w:val="right"/>
              <w:rPr>
                <w:sz w:val="20"/>
                <w:szCs w:val="20"/>
              </w:rPr>
            </w:pPr>
            <w:r w:rsidRPr="00F6205B">
              <w:rPr>
                <w:sz w:val="20"/>
                <w:szCs w:val="20"/>
              </w:rPr>
              <w:t>Add foundation wall insulation</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37A263AC" w14:textId="77777777" w:rsidR="00436707" w:rsidRPr="00F6205B" w:rsidRDefault="00436707" w:rsidP="0044249F">
            <w:pPr>
              <w:keepLines/>
              <w:spacing w:after="0" w:line="240" w:lineRule="auto"/>
              <w:contextualSpacing/>
              <w:jc w:val="center"/>
              <w:rPr>
                <w:i/>
                <w:sz w:val="20"/>
                <w:szCs w:val="20"/>
              </w:rPr>
            </w:pPr>
            <w:r w:rsidRPr="00F6205B">
              <w:rPr>
                <w:i/>
                <w:sz w:val="20"/>
                <w:szCs w:val="20"/>
              </w:rPr>
              <w:t>91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6BD69586" w14:textId="77777777" w:rsidR="00436707" w:rsidRPr="00F6205B" w:rsidRDefault="00436707" w:rsidP="0044249F">
            <w:pPr>
              <w:keepLines/>
              <w:tabs>
                <w:tab w:val="decimal" w:pos="221"/>
              </w:tabs>
              <w:spacing w:after="0" w:line="240" w:lineRule="auto"/>
              <w:contextualSpacing/>
              <w:jc w:val="center"/>
              <w:rPr>
                <w:sz w:val="20"/>
                <w:szCs w:val="20"/>
              </w:rPr>
            </w:pPr>
            <w:r w:rsidRPr="00F6205B">
              <w:rPr>
                <w:sz w:val="20"/>
                <w:szCs w:val="20"/>
              </w:rPr>
              <w:t>2.4%</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22331FEE" w14:textId="77777777" w:rsidR="00436707" w:rsidRPr="00F6205B" w:rsidRDefault="00436707" w:rsidP="0044249F">
            <w:pPr>
              <w:keepLines/>
              <w:tabs>
                <w:tab w:val="decimal" w:pos="313"/>
              </w:tabs>
              <w:spacing w:after="0" w:line="240" w:lineRule="auto"/>
              <w:contextualSpacing/>
              <w:jc w:val="center"/>
              <w:rPr>
                <w:sz w:val="20"/>
                <w:szCs w:val="20"/>
              </w:rPr>
            </w:pPr>
            <w:r w:rsidRPr="00F6205B">
              <w:rPr>
                <w:sz w:val="20"/>
                <w:szCs w:val="20"/>
              </w:rPr>
              <w:t>18.6</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1E5CB6D1" w14:textId="77777777" w:rsidR="00436707" w:rsidRPr="00F6205B" w:rsidRDefault="00436707" w:rsidP="0044249F">
            <w:pPr>
              <w:keepLines/>
              <w:tabs>
                <w:tab w:val="decimal" w:pos="348"/>
              </w:tabs>
              <w:spacing w:after="0" w:line="240" w:lineRule="auto"/>
              <w:contextualSpacing/>
              <w:jc w:val="center"/>
              <w:rPr>
                <w:sz w:val="20"/>
                <w:szCs w:val="20"/>
              </w:rPr>
            </w:pPr>
            <w:r w:rsidRPr="00F6205B">
              <w:rPr>
                <w:sz w:val="20"/>
                <w:szCs w:val="20"/>
              </w:rPr>
              <w:t>7.4</w:t>
            </w:r>
          </w:p>
        </w:tc>
        <w:tc>
          <w:tcPr>
            <w:tcW w:w="1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65DE4318" w14:textId="77777777" w:rsidR="00436707" w:rsidRPr="00F6205B" w:rsidRDefault="00436707" w:rsidP="0044249F">
            <w:pPr>
              <w:keepLines/>
              <w:tabs>
                <w:tab w:val="decimal" w:pos="168"/>
              </w:tabs>
              <w:spacing w:after="0" w:line="240" w:lineRule="auto"/>
              <w:contextualSpacing/>
              <w:jc w:val="center"/>
              <w:rPr>
                <w:sz w:val="20"/>
                <w:szCs w:val="20"/>
              </w:rPr>
            </w:pPr>
            <w:r w:rsidRPr="00F6205B">
              <w:rPr>
                <w:sz w:val="20"/>
                <w:szCs w:val="20"/>
              </w:rPr>
              <w:t>0.3</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1AC0E163" w14:textId="77777777" w:rsidR="00436707" w:rsidRPr="00F6205B" w:rsidRDefault="00436707" w:rsidP="0044249F">
            <w:pPr>
              <w:keepLines/>
              <w:tabs>
                <w:tab w:val="decimal" w:pos="612"/>
              </w:tabs>
              <w:spacing w:after="0" w:line="240" w:lineRule="auto"/>
              <w:contextualSpacing/>
              <w:jc w:val="center"/>
              <w:rPr>
                <w:sz w:val="20"/>
                <w:szCs w:val="20"/>
              </w:rPr>
            </w:pPr>
            <w:r w:rsidRPr="00F6205B">
              <w:rPr>
                <w:sz w:val="20"/>
                <w:szCs w:val="20"/>
              </w:rPr>
              <w:t>36.9</w:t>
            </w:r>
          </w:p>
        </w:tc>
        <w:tc>
          <w:tcPr>
            <w:tcW w:w="111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74935B7E" w14:textId="77777777" w:rsidR="00436707" w:rsidRPr="00F6205B" w:rsidRDefault="00436707" w:rsidP="0044249F">
            <w:pPr>
              <w:keepLines/>
              <w:tabs>
                <w:tab w:val="decimal" w:pos="438"/>
              </w:tabs>
              <w:spacing w:after="0" w:line="240" w:lineRule="auto"/>
              <w:contextualSpacing/>
              <w:jc w:val="center"/>
              <w:rPr>
                <w:sz w:val="20"/>
                <w:szCs w:val="20"/>
              </w:rPr>
            </w:pPr>
            <w:r w:rsidRPr="00F6205B">
              <w:rPr>
                <w:sz w:val="20"/>
                <w:szCs w:val="20"/>
              </w:rPr>
              <w:t>3.7</w:t>
            </w:r>
          </w:p>
        </w:tc>
      </w:tr>
      <w:tr w:rsidR="00436707" w:rsidRPr="00F6205B" w14:paraId="244CC4CE" w14:textId="77777777" w:rsidTr="00F35870">
        <w:trPr>
          <w:trHeight w:val="288"/>
          <w:jc w:val="center"/>
        </w:trPr>
        <w:tc>
          <w:tcPr>
            <w:tcW w:w="269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71183F2" w14:textId="77777777" w:rsidR="00436707" w:rsidRPr="00F6205B" w:rsidRDefault="00436707" w:rsidP="0044249F">
            <w:pPr>
              <w:keepLines/>
              <w:spacing w:after="0" w:line="240" w:lineRule="auto"/>
              <w:contextualSpacing/>
              <w:jc w:val="right"/>
              <w:rPr>
                <w:sz w:val="20"/>
                <w:szCs w:val="20"/>
              </w:rPr>
            </w:pPr>
            <w:r w:rsidRPr="00F6205B">
              <w:rPr>
                <w:sz w:val="20"/>
                <w:szCs w:val="20"/>
              </w:rPr>
              <w:t>Reduce duct leakage</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FFCCA8" w14:textId="77777777" w:rsidR="00436707" w:rsidRPr="00F6205B" w:rsidRDefault="00436707" w:rsidP="0044249F">
            <w:pPr>
              <w:keepLines/>
              <w:spacing w:after="0" w:line="240" w:lineRule="auto"/>
              <w:contextualSpacing/>
              <w:jc w:val="center"/>
              <w:rPr>
                <w:i/>
                <w:sz w:val="20"/>
                <w:szCs w:val="20"/>
              </w:rPr>
            </w:pPr>
            <w:r w:rsidRPr="00F6205B">
              <w:rPr>
                <w:i/>
                <w:sz w:val="20"/>
                <w:szCs w:val="20"/>
              </w:rPr>
              <w:t>50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5B1887" w14:textId="77777777" w:rsidR="00436707" w:rsidRPr="00F6205B" w:rsidRDefault="00436707" w:rsidP="0044249F">
            <w:pPr>
              <w:keepLines/>
              <w:tabs>
                <w:tab w:val="decimal" w:pos="221"/>
              </w:tabs>
              <w:spacing w:after="0" w:line="240" w:lineRule="auto"/>
              <w:contextualSpacing/>
              <w:jc w:val="center"/>
              <w:rPr>
                <w:sz w:val="20"/>
                <w:szCs w:val="20"/>
              </w:rPr>
            </w:pPr>
            <w:r w:rsidRPr="00F6205B">
              <w:rPr>
                <w:sz w:val="20"/>
                <w:szCs w:val="20"/>
              </w:rPr>
              <w:t>1.9%</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C8E887" w14:textId="77777777" w:rsidR="00436707" w:rsidRPr="00F6205B" w:rsidRDefault="00436707" w:rsidP="0044249F">
            <w:pPr>
              <w:keepLines/>
              <w:tabs>
                <w:tab w:val="decimal" w:pos="313"/>
              </w:tabs>
              <w:spacing w:after="0" w:line="240" w:lineRule="auto"/>
              <w:contextualSpacing/>
              <w:jc w:val="center"/>
              <w:rPr>
                <w:sz w:val="20"/>
                <w:szCs w:val="20"/>
              </w:rPr>
            </w:pPr>
            <w:r w:rsidRPr="00F6205B">
              <w:rPr>
                <w:sz w:val="20"/>
                <w:szCs w:val="20"/>
              </w:rPr>
              <w:t>10.5</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8D7C0C" w14:textId="77777777" w:rsidR="00436707" w:rsidRPr="00F6205B" w:rsidRDefault="00436707" w:rsidP="0044249F">
            <w:pPr>
              <w:keepLines/>
              <w:tabs>
                <w:tab w:val="decimal" w:pos="348"/>
              </w:tabs>
              <w:spacing w:after="0" w:line="240" w:lineRule="auto"/>
              <w:contextualSpacing/>
              <w:jc w:val="center"/>
              <w:rPr>
                <w:sz w:val="20"/>
                <w:szCs w:val="20"/>
              </w:rPr>
            </w:pPr>
            <w:r w:rsidRPr="00F6205B">
              <w:rPr>
                <w:sz w:val="20"/>
                <w:szCs w:val="20"/>
              </w:rPr>
              <w:t>10.5</w:t>
            </w:r>
          </w:p>
        </w:tc>
        <w:tc>
          <w:tcPr>
            <w:tcW w:w="11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DCE60C" w14:textId="77777777" w:rsidR="00436707" w:rsidRPr="00F6205B" w:rsidRDefault="00436707" w:rsidP="0044249F">
            <w:pPr>
              <w:keepLines/>
              <w:tabs>
                <w:tab w:val="decimal" w:pos="168"/>
              </w:tabs>
              <w:spacing w:after="0" w:line="240" w:lineRule="auto"/>
              <w:contextualSpacing/>
              <w:jc w:val="center"/>
              <w:rPr>
                <w:sz w:val="20"/>
                <w:szCs w:val="20"/>
              </w:rPr>
            </w:pPr>
            <w:r w:rsidRPr="00F6205B">
              <w:rPr>
                <w:sz w:val="20"/>
                <w:szCs w:val="20"/>
              </w:rPr>
              <w:t>0.4</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7246C7" w14:textId="77777777" w:rsidR="00436707" w:rsidRPr="00F6205B" w:rsidRDefault="00436707" w:rsidP="0044249F">
            <w:pPr>
              <w:keepLines/>
              <w:tabs>
                <w:tab w:val="decimal" w:pos="612"/>
              </w:tabs>
              <w:spacing w:after="0" w:line="240" w:lineRule="auto"/>
              <w:contextualSpacing/>
              <w:jc w:val="center"/>
              <w:rPr>
                <w:sz w:val="20"/>
                <w:szCs w:val="20"/>
              </w:rPr>
            </w:pPr>
            <w:r w:rsidRPr="00F6205B">
              <w:rPr>
                <w:sz w:val="20"/>
                <w:szCs w:val="20"/>
              </w:rPr>
              <w:t>125.4</w:t>
            </w:r>
          </w:p>
        </w:tc>
        <w:tc>
          <w:tcPr>
            <w:tcW w:w="1118"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6123A21" w14:textId="77777777" w:rsidR="00436707" w:rsidRPr="00F6205B" w:rsidRDefault="00436707" w:rsidP="0044249F">
            <w:pPr>
              <w:keepLines/>
              <w:tabs>
                <w:tab w:val="decimal" w:pos="438"/>
              </w:tabs>
              <w:spacing w:after="0" w:line="240" w:lineRule="auto"/>
              <w:contextualSpacing/>
              <w:jc w:val="center"/>
              <w:rPr>
                <w:sz w:val="20"/>
                <w:szCs w:val="20"/>
              </w:rPr>
            </w:pPr>
            <w:r w:rsidRPr="00F6205B">
              <w:rPr>
                <w:sz w:val="20"/>
                <w:szCs w:val="20"/>
              </w:rPr>
              <w:t>3.0</w:t>
            </w:r>
          </w:p>
        </w:tc>
      </w:tr>
      <w:tr w:rsidR="00436707" w:rsidRPr="00F6205B" w14:paraId="5DB3BE7A" w14:textId="77777777" w:rsidTr="00906C88">
        <w:trPr>
          <w:trHeight w:val="288"/>
          <w:jc w:val="center"/>
        </w:trPr>
        <w:tc>
          <w:tcPr>
            <w:tcW w:w="269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3026CAE2" w14:textId="77777777" w:rsidR="00436707" w:rsidRPr="00F6205B" w:rsidRDefault="00436707" w:rsidP="0044249F">
            <w:pPr>
              <w:keepLines/>
              <w:spacing w:after="0" w:line="240" w:lineRule="auto"/>
              <w:contextualSpacing/>
              <w:jc w:val="right"/>
              <w:rPr>
                <w:sz w:val="20"/>
                <w:szCs w:val="20"/>
              </w:rPr>
            </w:pPr>
            <w:r w:rsidRPr="00F6205B">
              <w:rPr>
                <w:sz w:val="20"/>
                <w:szCs w:val="20"/>
              </w:rPr>
              <w:t>Add vaulted ceiling insulation</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5B4214D8" w14:textId="77777777" w:rsidR="00436707" w:rsidRPr="00F6205B" w:rsidRDefault="00436707" w:rsidP="0044249F">
            <w:pPr>
              <w:keepLines/>
              <w:spacing w:after="0" w:line="240" w:lineRule="auto"/>
              <w:contextualSpacing/>
              <w:jc w:val="center"/>
              <w:rPr>
                <w:i/>
                <w:sz w:val="20"/>
                <w:szCs w:val="20"/>
              </w:rPr>
            </w:pPr>
            <w:r w:rsidRPr="00F6205B">
              <w:rPr>
                <w:i/>
                <w:sz w:val="20"/>
                <w:szCs w:val="20"/>
              </w:rPr>
              <w:t>75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11268D05" w14:textId="77777777" w:rsidR="00436707" w:rsidRPr="00F6205B" w:rsidRDefault="00436707" w:rsidP="0044249F">
            <w:pPr>
              <w:keepLines/>
              <w:tabs>
                <w:tab w:val="decimal" w:pos="221"/>
              </w:tabs>
              <w:spacing w:after="0" w:line="240" w:lineRule="auto"/>
              <w:contextualSpacing/>
              <w:jc w:val="center"/>
              <w:rPr>
                <w:sz w:val="20"/>
                <w:szCs w:val="20"/>
              </w:rPr>
            </w:pPr>
            <w:r w:rsidRPr="00F6205B">
              <w:rPr>
                <w:sz w:val="20"/>
                <w:szCs w:val="20"/>
              </w:rPr>
              <w:t>1.1%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0EFCB789" w14:textId="77777777" w:rsidR="00436707" w:rsidRPr="00F6205B" w:rsidRDefault="00436707" w:rsidP="0044249F">
            <w:pPr>
              <w:keepLines/>
              <w:tabs>
                <w:tab w:val="decimal" w:pos="313"/>
              </w:tabs>
              <w:spacing w:after="0" w:line="240" w:lineRule="auto"/>
              <w:contextualSpacing/>
              <w:jc w:val="center"/>
              <w:rPr>
                <w:sz w:val="20"/>
                <w:szCs w:val="20"/>
              </w:rPr>
            </w:pPr>
            <w:r w:rsidRPr="00F6205B">
              <w:rPr>
                <w:sz w:val="20"/>
                <w:szCs w:val="20"/>
              </w:rPr>
              <w:t>6.7</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1019B786" w14:textId="77777777" w:rsidR="00436707" w:rsidRPr="00F6205B" w:rsidRDefault="00436707" w:rsidP="0044249F">
            <w:pPr>
              <w:keepLines/>
              <w:tabs>
                <w:tab w:val="decimal" w:pos="348"/>
              </w:tabs>
              <w:spacing w:after="0" w:line="240" w:lineRule="auto"/>
              <w:contextualSpacing/>
              <w:jc w:val="center"/>
              <w:rPr>
                <w:sz w:val="20"/>
                <w:szCs w:val="20"/>
              </w:rPr>
            </w:pPr>
            <w:r w:rsidRPr="00F6205B">
              <w:rPr>
                <w:sz w:val="20"/>
                <w:szCs w:val="20"/>
              </w:rPr>
              <w:t>5.7</w:t>
            </w:r>
          </w:p>
        </w:tc>
        <w:tc>
          <w:tcPr>
            <w:tcW w:w="1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45A23E5C" w14:textId="77777777" w:rsidR="00436707" w:rsidRPr="00F6205B" w:rsidRDefault="00436707" w:rsidP="0044249F">
            <w:pPr>
              <w:keepLines/>
              <w:tabs>
                <w:tab w:val="decimal" w:pos="168"/>
              </w:tabs>
              <w:spacing w:after="0" w:line="240" w:lineRule="auto"/>
              <w:contextualSpacing/>
              <w:jc w:val="center"/>
              <w:rPr>
                <w:sz w:val="20"/>
                <w:szCs w:val="20"/>
              </w:rPr>
            </w:pPr>
            <w:r w:rsidRPr="00F6205B">
              <w:rPr>
                <w:sz w:val="20"/>
                <w:szCs w:val="20"/>
              </w:rPr>
              <w:t>0.1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7C3F2F7A" w14:textId="77777777" w:rsidR="00436707" w:rsidRPr="00F6205B" w:rsidRDefault="00436707" w:rsidP="0044249F">
            <w:pPr>
              <w:keepLines/>
              <w:tabs>
                <w:tab w:val="decimal" w:pos="612"/>
              </w:tabs>
              <w:spacing w:after="0" w:line="240" w:lineRule="auto"/>
              <w:contextualSpacing/>
              <w:jc w:val="center"/>
              <w:rPr>
                <w:sz w:val="20"/>
                <w:szCs w:val="20"/>
              </w:rPr>
            </w:pPr>
            <w:r w:rsidRPr="00F6205B">
              <w:rPr>
                <w:sz w:val="20"/>
                <w:szCs w:val="20"/>
              </w:rPr>
              <w:t>30.2</w:t>
            </w:r>
          </w:p>
        </w:tc>
        <w:tc>
          <w:tcPr>
            <w:tcW w:w="111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1F0D5648" w14:textId="77777777" w:rsidR="00436707" w:rsidRPr="00F6205B" w:rsidRDefault="00436707" w:rsidP="0044249F">
            <w:pPr>
              <w:keepLines/>
              <w:tabs>
                <w:tab w:val="decimal" w:pos="438"/>
              </w:tabs>
              <w:spacing w:after="0" w:line="240" w:lineRule="auto"/>
              <w:contextualSpacing/>
              <w:jc w:val="center"/>
              <w:rPr>
                <w:sz w:val="20"/>
                <w:szCs w:val="20"/>
              </w:rPr>
            </w:pPr>
            <w:r w:rsidRPr="00F6205B">
              <w:rPr>
                <w:sz w:val="20"/>
                <w:szCs w:val="20"/>
              </w:rPr>
              <w:t>1.7</w:t>
            </w:r>
          </w:p>
        </w:tc>
      </w:tr>
      <w:tr w:rsidR="00436707" w:rsidRPr="00F6205B" w14:paraId="545F7CD8" w14:textId="77777777" w:rsidTr="00F35870">
        <w:trPr>
          <w:trHeight w:val="288"/>
          <w:jc w:val="center"/>
        </w:trPr>
        <w:tc>
          <w:tcPr>
            <w:tcW w:w="269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39F429C" w14:textId="77777777" w:rsidR="00436707" w:rsidRPr="00F6205B" w:rsidRDefault="00436707" w:rsidP="0044249F">
            <w:pPr>
              <w:keepLines/>
              <w:spacing w:after="0" w:line="240" w:lineRule="auto"/>
              <w:contextualSpacing/>
              <w:jc w:val="right"/>
              <w:rPr>
                <w:sz w:val="20"/>
                <w:szCs w:val="20"/>
              </w:rPr>
            </w:pPr>
            <w:r w:rsidRPr="00F6205B">
              <w:rPr>
                <w:sz w:val="20"/>
                <w:szCs w:val="20"/>
              </w:rPr>
              <w:t>Add rim joist insulation</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CB30EB" w14:textId="77777777" w:rsidR="00436707" w:rsidRPr="00F6205B" w:rsidRDefault="00436707" w:rsidP="0044249F">
            <w:pPr>
              <w:keepLines/>
              <w:spacing w:after="0" w:line="240" w:lineRule="auto"/>
              <w:contextualSpacing/>
              <w:jc w:val="center"/>
              <w:rPr>
                <w:i/>
                <w:sz w:val="20"/>
                <w:szCs w:val="20"/>
              </w:rPr>
            </w:pPr>
            <w:r w:rsidRPr="00F6205B">
              <w:rPr>
                <w:i/>
                <w:sz w:val="20"/>
                <w:szCs w:val="20"/>
              </w:rPr>
              <w:t>109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205D78" w14:textId="77777777" w:rsidR="00436707" w:rsidRPr="00F6205B" w:rsidRDefault="00436707" w:rsidP="0044249F">
            <w:pPr>
              <w:keepLines/>
              <w:tabs>
                <w:tab w:val="decimal" w:pos="221"/>
              </w:tabs>
              <w:spacing w:after="0" w:line="240" w:lineRule="auto"/>
              <w:contextualSpacing/>
              <w:jc w:val="center"/>
              <w:rPr>
                <w:sz w:val="20"/>
                <w:szCs w:val="20"/>
              </w:rPr>
            </w:pPr>
            <w:r w:rsidRPr="00F6205B">
              <w:rPr>
                <w:sz w:val="20"/>
                <w:szCs w:val="20"/>
              </w:rPr>
              <w:t>0.4%</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AEA3FA" w14:textId="77777777" w:rsidR="00436707" w:rsidRPr="00F6205B" w:rsidRDefault="00436707" w:rsidP="0044249F">
            <w:pPr>
              <w:keepLines/>
              <w:tabs>
                <w:tab w:val="decimal" w:pos="313"/>
              </w:tabs>
              <w:spacing w:after="0" w:line="240" w:lineRule="auto"/>
              <w:contextualSpacing/>
              <w:jc w:val="center"/>
              <w:rPr>
                <w:sz w:val="20"/>
                <w:szCs w:val="20"/>
              </w:rPr>
            </w:pPr>
            <w:r w:rsidRPr="00F6205B">
              <w:rPr>
                <w:sz w:val="20"/>
                <w:szCs w:val="20"/>
              </w:rPr>
              <w:t>2.4</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D5906E" w14:textId="77777777" w:rsidR="00436707" w:rsidRPr="00F6205B" w:rsidRDefault="00436707" w:rsidP="0044249F">
            <w:pPr>
              <w:keepLines/>
              <w:tabs>
                <w:tab w:val="decimal" w:pos="348"/>
              </w:tabs>
              <w:spacing w:after="0" w:line="240" w:lineRule="auto"/>
              <w:contextualSpacing/>
              <w:jc w:val="center"/>
              <w:rPr>
                <w:sz w:val="20"/>
                <w:szCs w:val="20"/>
              </w:rPr>
            </w:pPr>
            <w:r w:rsidRPr="00F6205B">
              <w:rPr>
                <w:sz w:val="20"/>
                <w:szCs w:val="20"/>
              </w:rPr>
              <w:t>1.7</w:t>
            </w:r>
          </w:p>
        </w:tc>
        <w:tc>
          <w:tcPr>
            <w:tcW w:w="11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1280F0" w14:textId="77777777" w:rsidR="00436707" w:rsidRPr="00F6205B" w:rsidRDefault="00436707" w:rsidP="0044249F">
            <w:pPr>
              <w:keepLines/>
              <w:tabs>
                <w:tab w:val="decimal" w:pos="168"/>
              </w:tabs>
              <w:spacing w:after="0" w:line="240" w:lineRule="auto"/>
              <w:contextualSpacing/>
              <w:jc w:val="center"/>
              <w:rPr>
                <w:sz w:val="20"/>
                <w:szCs w:val="20"/>
              </w:rPr>
            </w:pPr>
            <w:r w:rsidRPr="00F6205B">
              <w:rPr>
                <w:sz w:val="20"/>
                <w:szCs w:val="20"/>
              </w:rPr>
              <w:t>0.1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E93AC5" w14:textId="77777777" w:rsidR="00436707" w:rsidRPr="00F6205B" w:rsidRDefault="00436707" w:rsidP="0044249F">
            <w:pPr>
              <w:keepLines/>
              <w:tabs>
                <w:tab w:val="decimal" w:pos="612"/>
              </w:tabs>
              <w:spacing w:after="0" w:line="240" w:lineRule="auto"/>
              <w:contextualSpacing/>
              <w:jc w:val="center"/>
              <w:rPr>
                <w:sz w:val="20"/>
                <w:szCs w:val="20"/>
              </w:rPr>
            </w:pPr>
            <w:r w:rsidRPr="00F6205B">
              <w:rPr>
                <w:sz w:val="20"/>
                <w:szCs w:val="20"/>
              </w:rPr>
              <w:t>1.9</w:t>
            </w:r>
          </w:p>
        </w:tc>
        <w:tc>
          <w:tcPr>
            <w:tcW w:w="1118"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980919F" w14:textId="77777777" w:rsidR="00436707" w:rsidRPr="00F6205B" w:rsidRDefault="00436707" w:rsidP="0044249F">
            <w:pPr>
              <w:keepLines/>
              <w:tabs>
                <w:tab w:val="decimal" w:pos="438"/>
              </w:tabs>
              <w:spacing w:after="0" w:line="240" w:lineRule="auto"/>
              <w:contextualSpacing/>
              <w:jc w:val="center"/>
              <w:rPr>
                <w:sz w:val="20"/>
                <w:szCs w:val="20"/>
              </w:rPr>
            </w:pPr>
            <w:r w:rsidRPr="00F6205B">
              <w:rPr>
                <w:sz w:val="20"/>
                <w:szCs w:val="20"/>
              </w:rPr>
              <w:t>0.6</w:t>
            </w:r>
          </w:p>
        </w:tc>
      </w:tr>
      <w:tr w:rsidR="00436707" w:rsidRPr="00F6205B" w14:paraId="6286CA59" w14:textId="77777777" w:rsidTr="00906C88">
        <w:trPr>
          <w:trHeight w:val="288"/>
          <w:jc w:val="center"/>
        </w:trPr>
        <w:tc>
          <w:tcPr>
            <w:tcW w:w="2691" w:type="dxa"/>
            <w:tcBorders>
              <w:top w:val="single" w:sz="4" w:space="0" w:color="000000" w:themeColor="text1"/>
              <w:left w:val="single" w:sz="4" w:space="0" w:color="auto"/>
              <w:bottom w:val="single" w:sz="4" w:space="0" w:color="auto"/>
              <w:right w:val="single" w:sz="4" w:space="0" w:color="000000" w:themeColor="text1"/>
            </w:tcBorders>
            <w:shd w:val="clear" w:color="auto" w:fill="BFBFBF" w:themeFill="background1" w:themeFillShade="BF"/>
            <w:vAlign w:val="center"/>
          </w:tcPr>
          <w:p w14:paraId="6E453C83" w14:textId="77777777" w:rsidR="00436707" w:rsidRPr="00F6205B" w:rsidRDefault="00436707" w:rsidP="0044249F">
            <w:pPr>
              <w:keepLines/>
              <w:spacing w:after="0" w:line="240" w:lineRule="auto"/>
              <w:contextualSpacing/>
              <w:jc w:val="right"/>
              <w:rPr>
                <w:sz w:val="20"/>
                <w:szCs w:val="20"/>
              </w:rPr>
            </w:pPr>
            <w:r w:rsidRPr="00F6205B">
              <w:rPr>
                <w:sz w:val="20"/>
                <w:szCs w:val="20"/>
              </w:rPr>
              <w:t>Add duct insulation</w:t>
            </w:r>
          </w:p>
        </w:tc>
        <w:tc>
          <w:tcPr>
            <w:tcW w:w="863"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BFBFBF" w:themeFill="background1" w:themeFillShade="BF"/>
            <w:vAlign w:val="center"/>
          </w:tcPr>
          <w:p w14:paraId="712F69D1" w14:textId="77777777" w:rsidR="00436707" w:rsidRPr="00F6205B" w:rsidRDefault="00436707" w:rsidP="0044249F">
            <w:pPr>
              <w:keepLines/>
              <w:spacing w:after="0" w:line="240" w:lineRule="auto"/>
              <w:contextualSpacing/>
              <w:jc w:val="center"/>
              <w:rPr>
                <w:i/>
                <w:sz w:val="20"/>
                <w:szCs w:val="20"/>
              </w:rPr>
            </w:pPr>
            <w:r w:rsidRPr="00F6205B">
              <w:rPr>
                <w:i/>
                <w:sz w:val="20"/>
                <w:szCs w:val="20"/>
              </w:rPr>
              <w:t>78</w:t>
            </w:r>
          </w:p>
        </w:tc>
        <w:tc>
          <w:tcPr>
            <w:tcW w:w="1093"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BFBFBF" w:themeFill="background1" w:themeFillShade="BF"/>
            <w:vAlign w:val="center"/>
          </w:tcPr>
          <w:p w14:paraId="42FB7D6C" w14:textId="77777777" w:rsidR="00436707" w:rsidRPr="00F6205B" w:rsidRDefault="00436707" w:rsidP="0044249F">
            <w:pPr>
              <w:keepLines/>
              <w:tabs>
                <w:tab w:val="decimal" w:pos="221"/>
              </w:tabs>
              <w:spacing w:after="0" w:line="240" w:lineRule="auto"/>
              <w:contextualSpacing/>
              <w:jc w:val="center"/>
              <w:rPr>
                <w:sz w:val="20"/>
                <w:szCs w:val="20"/>
              </w:rPr>
            </w:pPr>
            <w:r w:rsidRPr="00F6205B">
              <w:rPr>
                <w:sz w:val="20"/>
                <w:szCs w:val="20"/>
              </w:rPr>
              <w:t>0.3%</w:t>
            </w:r>
          </w:p>
        </w:tc>
        <w:tc>
          <w:tcPr>
            <w:tcW w:w="111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BFBFBF" w:themeFill="background1" w:themeFillShade="BF"/>
            <w:vAlign w:val="center"/>
          </w:tcPr>
          <w:p w14:paraId="450773DF" w14:textId="77777777" w:rsidR="00436707" w:rsidRPr="00F6205B" w:rsidRDefault="00436707" w:rsidP="0044249F">
            <w:pPr>
              <w:keepLines/>
              <w:tabs>
                <w:tab w:val="decimal" w:pos="313"/>
              </w:tabs>
              <w:spacing w:after="0" w:line="240" w:lineRule="auto"/>
              <w:contextualSpacing/>
              <w:jc w:val="center"/>
              <w:rPr>
                <w:sz w:val="20"/>
                <w:szCs w:val="20"/>
              </w:rPr>
            </w:pPr>
            <w:r w:rsidRPr="00F6205B">
              <w:rPr>
                <w:sz w:val="20"/>
                <w:szCs w:val="20"/>
              </w:rPr>
              <w:t>1.5</w:t>
            </w:r>
          </w:p>
        </w:tc>
        <w:tc>
          <w:tcPr>
            <w:tcW w:w="111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BFBFBF" w:themeFill="background1" w:themeFillShade="BF"/>
            <w:vAlign w:val="center"/>
          </w:tcPr>
          <w:p w14:paraId="49F51178" w14:textId="77777777" w:rsidR="00436707" w:rsidRPr="00F6205B" w:rsidRDefault="00436707" w:rsidP="0044249F">
            <w:pPr>
              <w:keepLines/>
              <w:tabs>
                <w:tab w:val="decimal" w:pos="348"/>
              </w:tabs>
              <w:spacing w:after="0" w:line="240" w:lineRule="auto"/>
              <w:contextualSpacing/>
              <w:jc w:val="center"/>
              <w:rPr>
                <w:sz w:val="20"/>
                <w:szCs w:val="20"/>
              </w:rPr>
            </w:pPr>
            <w:r w:rsidRPr="00F6205B">
              <w:rPr>
                <w:sz w:val="20"/>
                <w:szCs w:val="20"/>
              </w:rPr>
              <w:t>2.0</w:t>
            </w:r>
          </w:p>
        </w:tc>
        <w:tc>
          <w:tcPr>
            <w:tcW w:w="111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BFBFBF" w:themeFill="background1" w:themeFillShade="BF"/>
            <w:vAlign w:val="center"/>
          </w:tcPr>
          <w:p w14:paraId="59AC122B" w14:textId="77777777" w:rsidR="00436707" w:rsidRPr="00F6205B" w:rsidRDefault="00436707" w:rsidP="0044249F">
            <w:pPr>
              <w:keepLines/>
              <w:tabs>
                <w:tab w:val="decimal" w:pos="168"/>
              </w:tabs>
              <w:spacing w:after="0" w:line="240" w:lineRule="auto"/>
              <w:contextualSpacing/>
              <w:jc w:val="center"/>
              <w:rPr>
                <w:sz w:val="20"/>
                <w:szCs w:val="20"/>
              </w:rPr>
            </w:pPr>
            <w:r w:rsidRPr="00F6205B">
              <w:rPr>
                <w:sz w:val="20"/>
                <w:szCs w:val="20"/>
              </w:rPr>
              <w:t>0.2</w:t>
            </w:r>
          </w:p>
        </w:tc>
        <w:tc>
          <w:tcPr>
            <w:tcW w:w="111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BFBFBF" w:themeFill="background1" w:themeFillShade="BF"/>
            <w:vAlign w:val="center"/>
          </w:tcPr>
          <w:p w14:paraId="3941D2D7" w14:textId="77777777" w:rsidR="00436707" w:rsidRPr="00F6205B" w:rsidRDefault="00436707" w:rsidP="0044249F">
            <w:pPr>
              <w:keepLines/>
              <w:tabs>
                <w:tab w:val="decimal" w:pos="612"/>
              </w:tabs>
              <w:spacing w:after="0" w:line="240" w:lineRule="auto"/>
              <w:contextualSpacing/>
              <w:jc w:val="center"/>
              <w:rPr>
                <w:sz w:val="20"/>
                <w:szCs w:val="20"/>
              </w:rPr>
            </w:pPr>
            <w:r w:rsidRPr="00F6205B">
              <w:rPr>
                <w:sz w:val="20"/>
                <w:szCs w:val="20"/>
              </w:rPr>
              <w:t>12.6</w:t>
            </w:r>
          </w:p>
        </w:tc>
        <w:tc>
          <w:tcPr>
            <w:tcW w:w="1118" w:type="dxa"/>
            <w:tcBorders>
              <w:top w:val="single" w:sz="4" w:space="0" w:color="000000" w:themeColor="text1"/>
              <w:left w:val="single" w:sz="4" w:space="0" w:color="000000" w:themeColor="text1"/>
              <w:bottom w:val="single" w:sz="4" w:space="0" w:color="auto"/>
              <w:right w:val="single" w:sz="4" w:space="0" w:color="auto"/>
            </w:tcBorders>
            <w:shd w:val="clear" w:color="auto" w:fill="BFBFBF" w:themeFill="background1" w:themeFillShade="BF"/>
            <w:vAlign w:val="center"/>
          </w:tcPr>
          <w:p w14:paraId="2D424611" w14:textId="77777777" w:rsidR="00436707" w:rsidRPr="00F6205B" w:rsidRDefault="00436707" w:rsidP="0044249F">
            <w:pPr>
              <w:keepLines/>
              <w:tabs>
                <w:tab w:val="decimal" w:pos="438"/>
              </w:tabs>
              <w:spacing w:after="0" w:line="240" w:lineRule="auto"/>
              <w:contextualSpacing/>
              <w:jc w:val="center"/>
              <w:rPr>
                <w:sz w:val="20"/>
                <w:szCs w:val="20"/>
              </w:rPr>
            </w:pPr>
            <w:r w:rsidRPr="00F6205B">
              <w:rPr>
                <w:sz w:val="20"/>
                <w:szCs w:val="20"/>
              </w:rPr>
              <w:t>0.5</w:t>
            </w:r>
          </w:p>
        </w:tc>
      </w:tr>
    </w:tbl>
    <w:p w14:paraId="680D9FCE" w14:textId="77777777" w:rsidR="00436707" w:rsidRPr="00F6205B" w:rsidRDefault="00436707" w:rsidP="00436707">
      <w:pPr>
        <w:spacing w:after="0" w:line="240" w:lineRule="auto"/>
        <w:ind w:left="-180"/>
        <w:contextualSpacing/>
        <w:rPr>
          <w:sz w:val="18"/>
          <w:szCs w:val="18"/>
        </w:rPr>
      </w:pPr>
      <w:r w:rsidRPr="00F6205B">
        <w:rPr>
          <w:sz w:val="18"/>
          <w:szCs w:val="18"/>
          <w:vertAlign w:val="superscript"/>
        </w:rPr>
        <w:t>i</w:t>
      </w:r>
      <w:r w:rsidRPr="00F6205B">
        <w:rPr>
          <w:sz w:val="18"/>
          <w:szCs w:val="18"/>
        </w:rPr>
        <w:t xml:space="preserve"> Percent savings over baseline consumption in MMBtus.</w:t>
      </w:r>
    </w:p>
    <w:p w14:paraId="6DB89C1E" w14:textId="77777777" w:rsidR="00436707" w:rsidRPr="00F6205B" w:rsidRDefault="00436707" w:rsidP="00436707">
      <w:pPr>
        <w:spacing w:after="0" w:line="240" w:lineRule="auto"/>
        <w:ind w:left="-180"/>
        <w:contextualSpacing/>
        <w:rPr>
          <w:sz w:val="18"/>
          <w:szCs w:val="18"/>
        </w:rPr>
      </w:pPr>
      <w:r w:rsidRPr="00F6205B">
        <w:rPr>
          <w:sz w:val="18"/>
          <w:szCs w:val="18"/>
          <w:vertAlign w:val="superscript"/>
        </w:rPr>
        <w:t>ii</w:t>
      </w:r>
      <w:r w:rsidRPr="00F6205B">
        <w:rPr>
          <w:sz w:val="18"/>
          <w:szCs w:val="18"/>
        </w:rPr>
        <w:t xml:space="preserve"> In millions.</w:t>
      </w:r>
    </w:p>
    <w:p w14:paraId="5E4A1585" w14:textId="77777777" w:rsidR="00436707" w:rsidRPr="00F6205B" w:rsidRDefault="00436707" w:rsidP="00436707">
      <w:pPr>
        <w:spacing w:after="0" w:line="240" w:lineRule="auto"/>
        <w:contextualSpacing/>
        <w:rPr>
          <w:sz w:val="20"/>
        </w:rPr>
      </w:pPr>
    </w:p>
    <w:p w14:paraId="5B287B70" w14:textId="77777777" w:rsidR="00436707" w:rsidRPr="00F6205B" w:rsidRDefault="00436707" w:rsidP="003A0BAD">
      <w:pPr>
        <w:pStyle w:val="Heading4"/>
        <w:keepNext/>
        <w:numPr>
          <w:ilvl w:val="0"/>
          <w:numId w:val="0"/>
        </w:numPr>
        <w:jc w:val="both"/>
      </w:pPr>
      <w:r w:rsidRPr="00F6205B">
        <w:lastRenderedPageBreak/>
        <w:t>HVAC</w:t>
      </w:r>
    </w:p>
    <w:p w14:paraId="3B1455A6" w14:textId="00E2DEA1" w:rsidR="00436707" w:rsidRPr="00F6205B" w:rsidRDefault="00436707" w:rsidP="00436707">
      <w:pPr>
        <w:keepNext/>
        <w:keepLines/>
      </w:pPr>
      <w:r w:rsidRPr="00F6205B">
        <w:t>Oil boilers are the most common heating equipment type in the sample, and also lead to the greatest potential savings among HVAC measures; gas furnaces are the second most common heating equipment, and lead to the second most savings (</w:t>
      </w:r>
      <w:r w:rsidR="009D501C">
        <w:fldChar w:fldCharType="begin"/>
      </w:r>
      <w:r w:rsidR="009D501C">
        <w:instrText xml:space="preserve"> REF _Ref439697708 \h </w:instrText>
      </w:r>
      <w:r w:rsidR="009D501C">
        <w:fldChar w:fldCharType="separate"/>
      </w:r>
      <w:r w:rsidR="00FA26A9" w:rsidRPr="00F6205B">
        <w:t xml:space="preserve">Table </w:t>
      </w:r>
      <w:r w:rsidR="00FA26A9">
        <w:rPr>
          <w:noProof/>
        </w:rPr>
        <w:t>18</w:t>
      </w:r>
      <w:r w:rsidR="009D501C">
        <w:fldChar w:fldCharType="end"/>
      </w:r>
      <w:r w:rsidRPr="00F6205B">
        <w:t>). As a percentage of baseline MMBtu consumption, however, no HVAC system upgrade resulted in as much savings in the models as any of the top five building shell measure upgrades.</w:t>
      </w:r>
    </w:p>
    <w:p w14:paraId="1626929B" w14:textId="1CE4F503" w:rsidR="00436707" w:rsidRPr="00F6205B" w:rsidRDefault="00436707" w:rsidP="004F23CF">
      <w:pPr>
        <w:pStyle w:val="Caption"/>
      </w:pPr>
      <w:bookmarkStart w:id="213" w:name="_Ref366833796"/>
      <w:bookmarkStart w:id="214" w:name="_Ref439697708"/>
      <w:bookmarkStart w:id="215" w:name="_Toc373324126"/>
      <w:bookmarkStart w:id="216" w:name="_Toc391887354"/>
      <w:bookmarkStart w:id="217" w:name="_Toc439931849"/>
      <w:r w:rsidRPr="00F6205B">
        <w:t>Table</w:t>
      </w:r>
      <w:bookmarkEnd w:id="213"/>
      <w:r w:rsidR="004F23CF" w:rsidRPr="00F6205B">
        <w:t xml:space="preserve"> </w:t>
      </w:r>
      <w:fldSimple w:instr=" SEQ Table \* ARABIC ">
        <w:r w:rsidR="00FA26A9">
          <w:rPr>
            <w:noProof/>
          </w:rPr>
          <w:t>18</w:t>
        </w:r>
      </w:fldSimple>
      <w:bookmarkEnd w:id="214"/>
      <w:r w:rsidRPr="00F6205B">
        <w:t>: HVAC Savings Potential—First-Year</w:t>
      </w:r>
      <w:bookmarkEnd w:id="215"/>
      <w:bookmarkEnd w:id="216"/>
      <w:bookmarkEnd w:id="217"/>
    </w:p>
    <w:p w14:paraId="5A6963D9" w14:textId="77777777" w:rsidR="00346A82" w:rsidRPr="00F6205B" w:rsidRDefault="00346A82" w:rsidP="00346A82">
      <w:pPr>
        <w:pStyle w:val="Caption"/>
        <w:spacing w:before="0" w:after="120"/>
        <w:rPr>
          <w:b w:val="0"/>
          <w:bCs w:val="0"/>
          <w:sz w:val="18"/>
        </w:rPr>
      </w:pPr>
      <w:r w:rsidRPr="00F6205B">
        <w:rPr>
          <w:b w:val="0"/>
          <w:bCs w:val="0"/>
          <w:sz w:val="18"/>
        </w:rPr>
        <w:t>Base: all single-family homes (population-weighted)</w:t>
      </w:r>
    </w:p>
    <w:tbl>
      <w:tblPr>
        <w:tblW w:w="9744"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448"/>
        <w:gridCol w:w="888"/>
        <w:gridCol w:w="1068"/>
        <w:gridCol w:w="1068"/>
        <w:gridCol w:w="1068"/>
        <w:gridCol w:w="1068"/>
        <w:gridCol w:w="1068"/>
        <w:gridCol w:w="1068"/>
      </w:tblGrid>
      <w:tr w:rsidR="00436707" w:rsidRPr="00F6205B" w14:paraId="10643D19" w14:textId="77777777" w:rsidTr="00FD1DF2">
        <w:trPr>
          <w:trHeight w:val="288"/>
          <w:jc w:val="center"/>
        </w:trPr>
        <w:tc>
          <w:tcPr>
            <w:tcW w:w="2448" w:type="dxa"/>
            <w:tcBorders>
              <w:top w:val="single" w:sz="4" w:space="0" w:color="auto"/>
              <w:left w:val="single" w:sz="4" w:space="0" w:color="auto"/>
              <w:bottom w:val="single" w:sz="4" w:space="0" w:color="auto"/>
              <w:right w:val="single" w:sz="4" w:space="0" w:color="000000" w:themeColor="text1"/>
            </w:tcBorders>
            <w:shd w:val="clear" w:color="auto" w:fill="0B4D2C" w:themeFill="background2" w:themeFillShade="BF"/>
            <w:vAlign w:val="center"/>
          </w:tcPr>
          <w:p w14:paraId="18EE8664" w14:textId="77777777" w:rsidR="00436707" w:rsidRPr="00F6205B" w:rsidRDefault="00436707" w:rsidP="0044249F">
            <w:pPr>
              <w:keepNext/>
              <w:keepLines/>
              <w:spacing w:after="0" w:line="240" w:lineRule="auto"/>
              <w:contextualSpacing/>
              <w:rPr>
                <w:b/>
                <w:sz w:val="20"/>
                <w:szCs w:val="20"/>
              </w:rPr>
            </w:pPr>
          </w:p>
        </w:tc>
        <w:tc>
          <w:tcPr>
            <w:tcW w:w="888" w:type="dxa"/>
            <w:tcBorders>
              <w:top w:val="single" w:sz="4" w:space="0" w:color="auto"/>
              <w:left w:val="single" w:sz="4" w:space="0" w:color="000000" w:themeColor="text1"/>
              <w:bottom w:val="single" w:sz="4" w:space="0" w:color="auto"/>
              <w:right w:val="single" w:sz="4" w:space="0" w:color="000000" w:themeColor="text1"/>
            </w:tcBorders>
            <w:shd w:val="clear" w:color="auto" w:fill="0B4D2C" w:themeFill="background2" w:themeFillShade="BF"/>
            <w:vAlign w:val="center"/>
          </w:tcPr>
          <w:p w14:paraId="11A67436" w14:textId="350E3D35" w:rsidR="00436707" w:rsidRPr="00F6205B" w:rsidRDefault="00FD1DF2" w:rsidP="0044249F">
            <w:pPr>
              <w:keepNext/>
              <w:keepLines/>
              <w:spacing w:after="0" w:line="240" w:lineRule="auto"/>
              <w:contextualSpacing/>
              <w:jc w:val="center"/>
              <w:rPr>
                <w:b/>
                <w:i/>
                <w:sz w:val="20"/>
                <w:szCs w:val="20"/>
              </w:rPr>
            </w:pPr>
            <w:r w:rsidRPr="00F6205B">
              <w:rPr>
                <w:b/>
                <w:i/>
                <w:sz w:val="20"/>
                <w:szCs w:val="20"/>
              </w:rPr>
              <w:t>N</w:t>
            </w:r>
          </w:p>
        </w:tc>
        <w:tc>
          <w:tcPr>
            <w:tcW w:w="1068" w:type="dxa"/>
            <w:tcBorders>
              <w:top w:val="single" w:sz="4" w:space="0" w:color="auto"/>
              <w:left w:val="single" w:sz="4" w:space="0" w:color="000000" w:themeColor="text1"/>
              <w:bottom w:val="single" w:sz="4" w:space="0" w:color="auto"/>
              <w:right w:val="single" w:sz="4" w:space="0" w:color="000000" w:themeColor="text1"/>
            </w:tcBorders>
            <w:shd w:val="clear" w:color="auto" w:fill="0B4D2C" w:themeFill="background2" w:themeFillShade="BF"/>
            <w:vAlign w:val="center"/>
          </w:tcPr>
          <w:p w14:paraId="39C4F2D7" w14:textId="77777777" w:rsidR="00436707" w:rsidRPr="00F6205B" w:rsidRDefault="00436707" w:rsidP="0044249F">
            <w:pPr>
              <w:keepNext/>
              <w:keepLines/>
              <w:spacing w:after="0" w:line="240" w:lineRule="auto"/>
              <w:contextualSpacing/>
              <w:jc w:val="center"/>
              <w:rPr>
                <w:b/>
                <w:sz w:val="20"/>
                <w:szCs w:val="20"/>
              </w:rPr>
            </w:pPr>
            <w:r w:rsidRPr="00F6205B">
              <w:rPr>
                <w:b/>
                <w:sz w:val="20"/>
                <w:szCs w:val="20"/>
              </w:rPr>
              <w:t>Percent Savings</w:t>
            </w:r>
            <w:r w:rsidRPr="00F6205B">
              <w:rPr>
                <w:b/>
                <w:sz w:val="20"/>
                <w:szCs w:val="20"/>
                <w:vertAlign w:val="superscript"/>
              </w:rPr>
              <w:t>i</w:t>
            </w:r>
          </w:p>
        </w:tc>
        <w:tc>
          <w:tcPr>
            <w:tcW w:w="1068" w:type="dxa"/>
            <w:tcBorders>
              <w:top w:val="single" w:sz="4" w:space="0" w:color="auto"/>
              <w:left w:val="single" w:sz="4" w:space="0" w:color="000000" w:themeColor="text1"/>
              <w:bottom w:val="single" w:sz="4" w:space="0" w:color="auto"/>
              <w:right w:val="single" w:sz="4" w:space="0" w:color="000000" w:themeColor="text1"/>
            </w:tcBorders>
            <w:shd w:val="clear" w:color="auto" w:fill="0B4D2C" w:themeFill="background2" w:themeFillShade="BF"/>
            <w:vAlign w:val="center"/>
            <w:hideMark/>
          </w:tcPr>
          <w:p w14:paraId="53A4F6EC" w14:textId="0D7B84A7" w:rsidR="00436707" w:rsidRPr="00F6205B" w:rsidRDefault="00FD1DF2" w:rsidP="0044249F">
            <w:pPr>
              <w:keepNext/>
              <w:keepLines/>
              <w:spacing w:after="0" w:line="240" w:lineRule="auto"/>
              <w:contextualSpacing/>
              <w:jc w:val="center"/>
              <w:rPr>
                <w:b/>
                <w:sz w:val="20"/>
                <w:szCs w:val="20"/>
              </w:rPr>
            </w:pPr>
            <w:r w:rsidRPr="00F6205B">
              <w:rPr>
                <w:b/>
                <w:sz w:val="20"/>
                <w:szCs w:val="20"/>
              </w:rPr>
              <w:t>Fuel Oil (gal</w:t>
            </w:r>
            <w:r w:rsidR="00436707" w:rsidRPr="00F6205B">
              <w:rPr>
                <w:b/>
                <w:sz w:val="20"/>
                <w:szCs w:val="20"/>
              </w:rPr>
              <w:t>)</w:t>
            </w:r>
            <w:r w:rsidR="00436707" w:rsidRPr="00F6205B">
              <w:rPr>
                <w:b/>
                <w:sz w:val="20"/>
                <w:vertAlign w:val="superscript"/>
              </w:rPr>
              <w:t>ii</w:t>
            </w:r>
          </w:p>
        </w:tc>
        <w:tc>
          <w:tcPr>
            <w:tcW w:w="1068" w:type="dxa"/>
            <w:tcBorders>
              <w:top w:val="single" w:sz="4" w:space="0" w:color="auto"/>
              <w:left w:val="single" w:sz="4" w:space="0" w:color="000000" w:themeColor="text1"/>
              <w:bottom w:val="single" w:sz="4" w:space="0" w:color="auto"/>
              <w:right w:val="single" w:sz="4" w:space="0" w:color="000000" w:themeColor="text1"/>
            </w:tcBorders>
            <w:shd w:val="clear" w:color="auto" w:fill="0B4D2C" w:themeFill="background2" w:themeFillShade="BF"/>
            <w:vAlign w:val="center"/>
            <w:hideMark/>
          </w:tcPr>
          <w:p w14:paraId="7AA1AD3F" w14:textId="77777777" w:rsidR="00436707" w:rsidRPr="00F6205B" w:rsidRDefault="00436707" w:rsidP="0044249F">
            <w:pPr>
              <w:keepNext/>
              <w:keepLines/>
              <w:spacing w:after="0" w:line="240" w:lineRule="auto"/>
              <w:contextualSpacing/>
              <w:jc w:val="center"/>
              <w:rPr>
                <w:b/>
                <w:sz w:val="20"/>
                <w:szCs w:val="20"/>
              </w:rPr>
            </w:pPr>
            <w:r w:rsidRPr="00F6205B">
              <w:rPr>
                <w:b/>
                <w:sz w:val="20"/>
                <w:szCs w:val="20"/>
              </w:rPr>
              <w:t>Nat. Gas (ccf)</w:t>
            </w:r>
            <w:r w:rsidRPr="00F6205B">
              <w:rPr>
                <w:b/>
                <w:sz w:val="20"/>
                <w:vertAlign w:val="superscript"/>
              </w:rPr>
              <w:t>ii</w:t>
            </w:r>
          </w:p>
        </w:tc>
        <w:tc>
          <w:tcPr>
            <w:tcW w:w="1068" w:type="dxa"/>
            <w:tcBorders>
              <w:top w:val="single" w:sz="4" w:space="0" w:color="auto"/>
              <w:left w:val="single" w:sz="4" w:space="0" w:color="000000" w:themeColor="text1"/>
              <w:bottom w:val="single" w:sz="4" w:space="0" w:color="auto"/>
              <w:right w:val="single" w:sz="4" w:space="0" w:color="000000" w:themeColor="text1"/>
            </w:tcBorders>
            <w:shd w:val="clear" w:color="auto" w:fill="0B4D2C" w:themeFill="background2" w:themeFillShade="BF"/>
            <w:vAlign w:val="center"/>
            <w:hideMark/>
          </w:tcPr>
          <w:p w14:paraId="27805136" w14:textId="5DAE6EB1" w:rsidR="00436707" w:rsidRPr="00F6205B" w:rsidRDefault="00436707" w:rsidP="00FD1DF2">
            <w:pPr>
              <w:keepNext/>
              <w:keepLines/>
              <w:spacing w:after="0" w:line="240" w:lineRule="auto"/>
              <w:contextualSpacing/>
              <w:jc w:val="center"/>
              <w:rPr>
                <w:b/>
                <w:sz w:val="20"/>
                <w:szCs w:val="20"/>
              </w:rPr>
            </w:pPr>
            <w:r w:rsidRPr="00F6205B">
              <w:rPr>
                <w:b/>
                <w:sz w:val="20"/>
                <w:szCs w:val="20"/>
              </w:rPr>
              <w:t>Propane (gal)</w:t>
            </w:r>
            <w:r w:rsidRPr="00F6205B">
              <w:rPr>
                <w:b/>
                <w:sz w:val="20"/>
                <w:vertAlign w:val="superscript"/>
              </w:rPr>
              <w:t>ii</w:t>
            </w:r>
          </w:p>
        </w:tc>
        <w:tc>
          <w:tcPr>
            <w:tcW w:w="1068" w:type="dxa"/>
            <w:tcBorders>
              <w:top w:val="single" w:sz="4" w:space="0" w:color="auto"/>
              <w:left w:val="single" w:sz="4" w:space="0" w:color="000000" w:themeColor="text1"/>
              <w:bottom w:val="single" w:sz="4" w:space="0" w:color="auto"/>
              <w:right w:val="single" w:sz="4" w:space="0" w:color="000000" w:themeColor="text1"/>
            </w:tcBorders>
            <w:shd w:val="clear" w:color="auto" w:fill="0B4D2C" w:themeFill="background2" w:themeFillShade="BF"/>
            <w:vAlign w:val="center"/>
          </w:tcPr>
          <w:p w14:paraId="00B839E5" w14:textId="77777777" w:rsidR="00436707" w:rsidRPr="00F6205B" w:rsidRDefault="00436707" w:rsidP="0044249F">
            <w:pPr>
              <w:keepNext/>
              <w:keepLines/>
              <w:spacing w:after="0" w:line="240" w:lineRule="auto"/>
              <w:contextualSpacing/>
              <w:jc w:val="center"/>
              <w:rPr>
                <w:b/>
                <w:sz w:val="20"/>
                <w:szCs w:val="20"/>
              </w:rPr>
            </w:pPr>
            <w:r w:rsidRPr="00F6205B">
              <w:rPr>
                <w:b/>
                <w:sz w:val="20"/>
                <w:szCs w:val="20"/>
              </w:rPr>
              <w:t>Electric (kWh)</w:t>
            </w:r>
            <w:r w:rsidRPr="00F6205B">
              <w:rPr>
                <w:b/>
                <w:sz w:val="20"/>
                <w:vertAlign w:val="superscript"/>
              </w:rPr>
              <w:t>ii</w:t>
            </w:r>
          </w:p>
        </w:tc>
        <w:tc>
          <w:tcPr>
            <w:tcW w:w="1068" w:type="dxa"/>
            <w:tcBorders>
              <w:top w:val="single" w:sz="4" w:space="0" w:color="auto"/>
              <w:left w:val="single" w:sz="4" w:space="0" w:color="000000" w:themeColor="text1"/>
              <w:bottom w:val="single" w:sz="4" w:space="0" w:color="auto"/>
              <w:right w:val="single" w:sz="4" w:space="0" w:color="auto"/>
            </w:tcBorders>
            <w:shd w:val="clear" w:color="auto" w:fill="0B4D2C" w:themeFill="background2" w:themeFillShade="BF"/>
            <w:vAlign w:val="center"/>
          </w:tcPr>
          <w:p w14:paraId="3691BF4A" w14:textId="77777777" w:rsidR="00436707" w:rsidRPr="00F6205B" w:rsidRDefault="00436707" w:rsidP="0044249F">
            <w:pPr>
              <w:keepNext/>
              <w:keepLines/>
              <w:spacing w:after="0" w:line="240" w:lineRule="auto"/>
              <w:contextualSpacing/>
              <w:jc w:val="center"/>
              <w:rPr>
                <w:b/>
                <w:sz w:val="20"/>
                <w:szCs w:val="20"/>
              </w:rPr>
            </w:pPr>
            <w:r w:rsidRPr="00F6205B">
              <w:rPr>
                <w:b/>
                <w:sz w:val="20"/>
                <w:szCs w:val="20"/>
              </w:rPr>
              <w:t>Total MMBtu</w:t>
            </w:r>
            <w:r w:rsidRPr="00F6205B">
              <w:rPr>
                <w:b/>
                <w:sz w:val="20"/>
                <w:vertAlign w:val="superscript"/>
              </w:rPr>
              <w:t>ii</w:t>
            </w:r>
          </w:p>
        </w:tc>
      </w:tr>
      <w:tr w:rsidR="00FD1DF2" w:rsidRPr="00F6205B" w14:paraId="17BE2D81" w14:textId="77777777" w:rsidTr="00FD1DF2">
        <w:trPr>
          <w:trHeight w:val="288"/>
          <w:jc w:val="center"/>
        </w:trPr>
        <w:tc>
          <w:tcPr>
            <w:tcW w:w="2448" w:type="dxa"/>
            <w:tcBorders>
              <w:top w:val="single" w:sz="4" w:space="0" w:color="auto"/>
              <w:left w:val="single" w:sz="4" w:space="0" w:color="auto"/>
              <w:bottom w:val="single" w:sz="4" w:space="0" w:color="auto"/>
              <w:right w:val="single" w:sz="4" w:space="0" w:color="000000" w:themeColor="text1"/>
            </w:tcBorders>
            <w:shd w:val="clear" w:color="auto" w:fill="404040" w:themeFill="text1" w:themeFillTint="BF"/>
            <w:vAlign w:val="center"/>
          </w:tcPr>
          <w:p w14:paraId="7088A466" w14:textId="77777777" w:rsidR="00436707" w:rsidRPr="00F6205B" w:rsidRDefault="00436707" w:rsidP="0044249F">
            <w:pPr>
              <w:keepNext/>
              <w:keepLines/>
              <w:spacing w:after="0" w:line="240" w:lineRule="auto"/>
              <w:contextualSpacing/>
              <w:jc w:val="right"/>
              <w:rPr>
                <w:color w:val="FFFFFF" w:themeColor="background1"/>
                <w:sz w:val="20"/>
                <w:szCs w:val="20"/>
              </w:rPr>
            </w:pPr>
            <w:r w:rsidRPr="00F6205B">
              <w:rPr>
                <w:color w:val="FFFFFF" w:themeColor="background1"/>
                <w:sz w:val="20"/>
                <w:szCs w:val="20"/>
              </w:rPr>
              <w:t>Baseline consumption</w:t>
            </w:r>
          </w:p>
        </w:tc>
        <w:tc>
          <w:tcPr>
            <w:tcW w:w="888" w:type="dxa"/>
            <w:tcBorders>
              <w:top w:val="single" w:sz="4" w:space="0" w:color="auto"/>
              <w:left w:val="single" w:sz="4" w:space="0" w:color="000000" w:themeColor="text1"/>
              <w:bottom w:val="single" w:sz="4" w:space="0" w:color="auto"/>
              <w:right w:val="single" w:sz="4" w:space="0" w:color="000000" w:themeColor="text1"/>
            </w:tcBorders>
            <w:shd w:val="clear" w:color="auto" w:fill="404040" w:themeFill="text1" w:themeFillTint="BF"/>
            <w:vAlign w:val="center"/>
          </w:tcPr>
          <w:p w14:paraId="4517BF5C" w14:textId="77777777" w:rsidR="00436707" w:rsidRPr="00F6205B" w:rsidRDefault="00436707" w:rsidP="0044249F">
            <w:pPr>
              <w:keepNext/>
              <w:keepLines/>
              <w:spacing w:after="0" w:line="240" w:lineRule="auto"/>
              <w:contextualSpacing/>
              <w:jc w:val="center"/>
              <w:rPr>
                <w:color w:val="FFFFFF" w:themeColor="background1"/>
                <w:sz w:val="20"/>
                <w:szCs w:val="20"/>
              </w:rPr>
            </w:pPr>
            <w:r w:rsidRPr="00F6205B">
              <w:rPr>
                <w:color w:val="FFFFFF" w:themeColor="background1"/>
                <w:sz w:val="20"/>
                <w:szCs w:val="20"/>
              </w:rPr>
              <w:t>180</w:t>
            </w:r>
          </w:p>
        </w:tc>
        <w:tc>
          <w:tcPr>
            <w:tcW w:w="1068" w:type="dxa"/>
            <w:tcBorders>
              <w:top w:val="single" w:sz="4" w:space="0" w:color="auto"/>
              <w:left w:val="single" w:sz="4" w:space="0" w:color="000000" w:themeColor="text1"/>
              <w:bottom w:val="single" w:sz="4" w:space="0" w:color="auto"/>
              <w:right w:val="single" w:sz="4" w:space="0" w:color="000000" w:themeColor="text1"/>
            </w:tcBorders>
            <w:shd w:val="clear" w:color="auto" w:fill="404040" w:themeFill="text1" w:themeFillTint="BF"/>
            <w:vAlign w:val="center"/>
          </w:tcPr>
          <w:p w14:paraId="3B151240" w14:textId="77777777" w:rsidR="00436707" w:rsidRPr="00F6205B" w:rsidRDefault="00436707" w:rsidP="0044249F">
            <w:pPr>
              <w:keepNext/>
              <w:keepLines/>
              <w:spacing w:after="0" w:line="240" w:lineRule="auto"/>
              <w:contextualSpacing/>
              <w:jc w:val="center"/>
              <w:rPr>
                <w:color w:val="FFFFFF" w:themeColor="background1"/>
                <w:sz w:val="20"/>
                <w:szCs w:val="20"/>
              </w:rPr>
            </w:pPr>
            <w:r w:rsidRPr="00F6205B">
              <w:rPr>
                <w:color w:val="FFFFFF" w:themeColor="background1"/>
                <w:sz w:val="20"/>
                <w:szCs w:val="20"/>
              </w:rPr>
              <w:t>--</w:t>
            </w:r>
          </w:p>
        </w:tc>
        <w:tc>
          <w:tcPr>
            <w:tcW w:w="1068" w:type="dxa"/>
            <w:tcBorders>
              <w:top w:val="single" w:sz="4" w:space="0" w:color="auto"/>
              <w:left w:val="single" w:sz="4" w:space="0" w:color="000000" w:themeColor="text1"/>
              <w:bottom w:val="single" w:sz="4" w:space="0" w:color="auto"/>
              <w:right w:val="single" w:sz="4" w:space="0" w:color="000000" w:themeColor="text1"/>
            </w:tcBorders>
            <w:shd w:val="clear" w:color="auto" w:fill="404040" w:themeFill="text1" w:themeFillTint="BF"/>
            <w:vAlign w:val="center"/>
          </w:tcPr>
          <w:p w14:paraId="3269F552" w14:textId="77777777" w:rsidR="00436707" w:rsidRPr="00F6205B" w:rsidRDefault="00436707" w:rsidP="0044249F">
            <w:pPr>
              <w:keepNext/>
              <w:keepLines/>
              <w:spacing w:after="0" w:line="240" w:lineRule="auto"/>
              <w:contextualSpacing/>
              <w:jc w:val="center"/>
              <w:rPr>
                <w:color w:val="FFFFFF" w:themeColor="background1"/>
                <w:sz w:val="20"/>
                <w:szCs w:val="20"/>
              </w:rPr>
            </w:pPr>
            <w:r w:rsidRPr="00F6205B">
              <w:rPr>
                <w:color w:val="FFFFFF" w:themeColor="background1"/>
                <w:sz w:val="20"/>
                <w:szCs w:val="20"/>
              </w:rPr>
              <w:t>531.0</w:t>
            </w:r>
          </w:p>
        </w:tc>
        <w:tc>
          <w:tcPr>
            <w:tcW w:w="1068" w:type="dxa"/>
            <w:tcBorders>
              <w:top w:val="single" w:sz="4" w:space="0" w:color="auto"/>
              <w:left w:val="single" w:sz="4" w:space="0" w:color="000000" w:themeColor="text1"/>
              <w:bottom w:val="single" w:sz="4" w:space="0" w:color="auto"/>
              <w:right w:val="single" w:sz="4" w:space="0" w:color="000000" w:themeColor="text1"/>
            </w:tcBorders>
            <w:shd w:val="clear" w:color="auto" w:fill="404040" w:themeFill="text1" w:themeFillTint="BF"/>
            <w:vAlign w:val="center"/>
          </w:tcPr>
          <w:p w14:paraId="25F51CFD" w14:textId="77777777" w:rsidR="00436707" w:rsidRPr="00F6205B" w:rsidRDefault="00436707" w:rsidP="0044249F">
            <w:pPr>
              <w:keepNext/>
              <w:keepLines/>
              <w:spacing w:after="0" w:line="240" w:lineRule="auto"/>
              <w:contextualSpacing/>
              <w:jc w:val="center"/>
              <w:rPr>
                <w:color w:val="FFFFFF" w:themeColor="background1"/>
                <w:sz w:val="20"/>
                <w:szCs w:val="20"/>
              </w:rPr>
            </w:pPr>
            <w:r w:rsidRPr="00F6205B">
              <w:rPr>
                <w:color w:val="FFFFFF" w:themeColor="background1"/>
                <w:sz w:val="20"/>
                <w:szCs w:val="20"/>
              </w:rPr>
              <w:t>328.9</w:t>
            </w:r>
          </w:p>
        </w:tc>
        <w:tc>
          <w:tcPr>
            <w:tcW w:w="1068" w:type="dxa"/>
            <w:tcBorders>
              <w:top w:val="single" w:sz="4" w:space="0" w:color="auto"/>
              <w:left w:val="single" w:sz="4" w:space="0" w:color="000000" w:themeColor="text1"/>
              <w:bottom w:val="single" w:sz="4" w:space="0" w:color="auto"/>
              <w:right w:val="single" w:sz="4" w:space="0" w:color="000000" w:themeColor="text1"/>
            </w:tcBorders>
            <w:shd w:val="clear" w:color="auto" w:fill="404040" w:themeFill="text1" w:themeFillTint="BF"/>
            <w:vAlign w:val="center"/>
          </w:tcPr>
          <w:p w14:paraId="4765D35A" w14:textId="77777777" w:rsidR="00436707" w:rsidRPr="00F6205B" w:rsidRDefault="00436707" w:rsidP="0044249F">
            <w:pPr>
              <w:keepNext/>
              <w:keepLines/>
              <w:spacing w:after="0" w:line="240" w:lineRule="auto"/>
              <w:contextualSpacing/>
              <w:jc w:val="center"/>
              <w:rPr>
                <w:color w:val="FFFFFF" w:themeColor="background1"/>
                <w:sz w:val="20"/>
                <w:szCs w:val="20"/>
              </w:rPr>
            </w:pPr>
            <w:r w:rsidRPr="00F6205B">
              <w:rPr>
                <w:color w:val="FFFFFF" w:themeColor="background1"/>
                <w:sz w:val="20"/>
                <w:szCs w:val="20"/>
              </w:rPr>
              <w:t>34.7</w:t>
            </w:r>
          </w:p>
        </w:tc>
        <w:tc>
          <w:tcPr>
            <w:tcW w:w="1068" w:type="dxa"/>
            <w:tcBorders>
              <w:top w:val="single" w:sz="4" w:space="0" w:color="auto"/>
              <w:left w:val="single" w:sz="4" w:space="0" w:color="000000" w:themeColor="text1"/>
              <w:bottom w:val="single" w:sz="4" w:space="0" w:color="auto"/>
              <w:right w:val="single" w:sz="4" w:space="0" w:color="000000" w:themeColor="text1"/>
            </w:tcBorders>
            <w:shd w:val="clear" w:color="auto" w:fill="404040" w:themeFill="text1" w:themeFillTint="BF"/>
            <w:vAlign w:val="center"/>
          </w:tcPr>
          <w:p w14:paraId="2869FB70" w14:textId="77777777" w:rsidR="00436707" w:rsidRPr="00F6205B" w:rsidRDefault="00436707" w:rsidP="0044249F">
            <w:pPr>
              <w:keepNext/>
              <w:keepLines/>
              <w:spacing w:after="0" w:line="240" w:lineRule="auto"/>
              <w:contextualSpacing/>
              <w:jc w:val="center"/>
              <w:rPr>
                <w:color w:val="FFFFFF" w:themeColor="background1"/>
                <w:sz w:val="20"/>
                <w:szCs w:val="20"/>
              </w:rPr>
            </w:pPr>
            <w:r w:rsidRPr="00F6205B">
              <w:rPr>
                <w:color w:val="FFFFFF" w:themeColor="background1"/>
                <w:sz w:val="20"/>
                <w:szCs w:val="20"/>
              </w:rPr>
              <w:t>12,034.2</w:t>
            </w:r>
          </w:p>
        </w:tc>
        <w:tc>
          <w:tcPr>
            <w:tcW w:w="1068" w:type="dxa"/>
            <w:tcBorders>
              <w:top w:val="single" w:sz="4" w:space="0" w:color="auto"/>
              <w:left w:val="single" w:sz="4" w:space="0" w:color="000000" w:themeColor="text1"/>
              <w:bottom w:val="single" w:sz="4" w:space="0" w:color="auto"/>
              <w:right w:val="single" w:sz="4" w:space="0" w:color="auto"/>
            </w:tcBorders>
            <w:shd w:val="clear" w:color="auto" w:fill="404040" w:themeFill="text1" w:themeFillTint="BF"/>
            <w:vAlign w:val="center"/>
          </w:tcPr>
          <w:p w14:paraId="04DFC611" w14:textId="77777777" w:rsidR="00436707" w:rsidRPr="00F6205B" w:rsidRDefault="00436707" w:rsidP="0044249F">
            <w:pPr>
              <w:keepNext/>
              <w:keepLines/>
              <w:spacing w:after="0" w:line="240" w:lineRule="auto"/>
              <w:contextualSpacing/>
              <w:jc w:val="center"/>
              <w:rPr>
                <w:color w:val="FFFFFF" w:themeColor="background1"/>
                <w:sz w:val="20"/>
                <w:szCs w:val="20"/>
              </w:rPr>
            </w:pPr>
            <w:r w:rsidRPr="00F6205B">
              <w:rPr>
                <w:color w:val="FFFFFF" w:themeColor="background1"/>
                <w:sz w:val="20"/>
                <w:szCs w:val="20"/>
              </w:rPr>
              <w:t>156.6</w:t>
            </w:r>
          </w:p>
        </w:tc>
      </w:tr>
      <w:tr w:rsidR="00436707" w:rsidRPr="00F6205B" w14:paraId="46DFEE92" w14:textId="77777777" w:rsidTr="00FD1DF2">
        <w:trPr>
          <w:trHeight w:val="288"/>
          <w:jc w:val="center"/>
        </w:trPr>
        <w:tc>
          <w:tcPr>
            <w:tcW w:w="2448" w:type="dxa"/>
            <w:tcBorders>
              <w:top w:val="single" w:sz="4" w:space="0" w:color="auto"/>
              <w:left w:val="single" w:sz="4" w:space="0" w:color="auto"/>
              <w:bottom w:val="single" w:sz="4" w:space="0" w:color="000000" w:themeColor="text1"/>
              <w:right w:val="single" w:sz="4" w:space="0" w:color="000000" w:themeColor="text1"/>
            </w:tcBorders>
            <w:vAlign w:val="center"/>
          </w:tcPr>
          <w:p w14:paraId="75E47198" w14:textId="77777777" w:rsidR="00436707" w:rsidRPr="00F6205B" w:rsidRDefault="00436707" w:rsidP="0044249F">
            <w:pPr>
              <w:keepNext/>
              <w:keepLines/>
              <w:spacing w:after="0" w:line="240" w:lineRule="auto"/>
              <w:contextualSpacing/>
              <w:jc w:val="right"/>
              <w:rPr>
                <w:sz w:val="20"/>
                <w:szCs w:val="20"/>
              </w:rPr>
            </w:pPr>
            <w:r w:rsidRPr="00F6205B">
              <w:rPr>
                <w:sz w:val="20"/>
                <w:szCs w:val="20"/>
              </w:rPr>
              <w:t>Increase oil boiler AFUE</w:t>
            </w:r>
          </w:p>
        </w:tc>
        <w:tc>
          <w:tcPr>
            <w:tcW w:w="88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7E6DC36" w14:textId="77777777" w:rsidR="00436707" w:rsidRPr="00F6205B" w:rsidRDefault="00436707" w:rsidP="0044249F">
            <w:pPr>
              <w:keepNext/>
              <w:keepLines/>
              <w:spacing w:after="0" w:line="240" w:lineRule="auto"/>
              <w:contextualSpacing/>
              <w:jc w:val="center"/>
              <w:rPr>
                <w:i/>
                <w:sz w:val="20"/>
                <w:szCs w:val="20"/>
              </w:rPr>
            </w:pPr>
            <w:r w:rsidRPr="00F6205B">
              <w:rPr>
                <w:i/>
                <w:sz w:val="20"/>
                <w:szCs w:val="20"/>
              </w:rPr>
              <w:t>81</w:t>
            </w:r>
          </w:p>
        </w:tc>
        <w:tc>
          <w:tcPr>
            <w:tcW w:w="106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E9AF788" w14:textId="77777777" w:rsidR="00436707" w:rsidRPr="00F6205B" w:rsidRDefault="00436707" w:rsidP="0044249F">
            <w:pPr>
              <w:keepNext/>
              <w:keepLines/>
              <w:tabs>
                <w:tab w:val="decimal" w:pos="258"/>
              </w:tabs>
              <w:spacing w:after="0" w:line="240" w:lineRule="auto"/>
              <w:contextualSpacing/>
              <w:jc w:val="center"/>
              <w:rPr>
                <w:sz w:val="20"/>
                <w:szCs w:val="20"/>
              </w:rPr>
            </w:pPr>
            <w:r w:rsidRPr="00F6205B">
              <w:rPr>
                <w:sz w:val="20"/>
                <w:szCs w:val="20"/>
              </w:rPr>
              <w:t>2.5%</w:t>
            </w:r>
          </w:p>
        </w:tc>
        <w:tc>
          <w:tcPr>
            <w:tcW w:w="106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A16F62C" w14:textId="77777777" w:rsidR="00436707" w:rsidRPr="00F6205B" w:rsidRDefault="00436707" w:rsidP="0044249F">
            <w:pPr>
              <w:keepNext/>
              <w:keepLines/>
              <w:tabs>
                <w:tab w:val="decimal" w:pos="264"/>
              </w:tabs>
              <w:spacing w:after="0" w:line="240" w:lineRule="auto"/>
              <w:contextualSpacing/>
              <w:jc w:val="center"/>
              <w:rPr>
                <w:sz w:val="20"/>
                <w:szCs w:val="20"/>
              </w:rPr>
            </w:pPr>
            <w:r w:rsidRPr="00F6205B">
              <w:rPr>
                <w:sz w:val="20"/>
                <w:szCs w:val="20"/>
              </w:rPr>
              <w:t>29.1</w:t>
            </w:r>
          </w:p>
        </w:tc>
        <w:tc>
          <w:tcPr>
            <w:tcW w:w="106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DEEC0B0" w14:textId="77777777" w:rsidR="00436707" w:rsidRPr="00F6205B" w:rsidRDefault="00436707" w:rsidP="0044249F">
            <w:pPr>
              <w:keepNext/>
              <w:keepLines/>
              <w:tabs>
                <w:tab w:val="decimal" w:pos="366"/>
              </w:tabs>
              <w:spacing w:after="0" w:line="240" w:lineRule="auto"/>
              <w:contextualSpacing/>
              <w:jc w:val="center"/>
              <w:rPr>
                <w:sz w:val="20"/>
                <w:szCs w:val="20"/>
              </w:rPr>
            </w:pPr>
            <w:r w:rsidRPr="00F6205B">
              <w:rPr>
                <w:sz w:val="20"/>
                <w:szCs w:val="20"/>
              </w:rPr>
              <w:t>--</w:t>
            </w:r>
          </w:p>
        </w:tc>
        <w:tc>
          <w:tcPr>
            <w:tcW w:w="106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B62FD72" w14:textId="77777777" w:rsidR="00436707" w:rsidRPr="00F6205B" w:rsidRDefault="00436707" w:rsidP="0044249F">
            <w:pPr>
              <w:keepNext/>
              <w:keepLines/>
              <w:tabs>
                <w:tab w:val="decimal" w:pos="198"/>
              </w:tabs>
              <w:spacing w:after="0" w:line="240" w:lineRule="auto"/>
              <w:contextualSpacing/>
              <w:jc w:val="center"/>
              <w:rPr>
                <w:sz w:val="20"/>
                <w:szCs w:val="20"/>
              </w:rPr>
            </w:pPr>
            <w:r w:rsidRPr="00F6205B">
              <w:rPr>
                <w:sz w:val="20"/>
                <w:szCs w:val="20"/>
              </w:rPr>
              <w:t>- 0.1</w:t>
            </w:r>
          </w:p>
        </w:tc>
        <w:tc>
          <w:tcPr>
            <w:tcW w:w="106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FA1F2A0" w14:textId="77777777" w:rsidR="00436707" w:rsidRPr="00F6205B" w:rsidRDefault="00436707" w:rsidP="0044249F">
            <w:pPr>
              <w:keepNext/>
              <w:keepLines/>
              <w:tabs>
                <w:tab w:val="decimal" w:pos="570"/>
              </w:tabs>
              <w:spacing w:after="0" w:line="240" w:lineRule="auto"/>
              <w:contextualSpacing/>
              <w:jc w:val="center"/>
              <w:rPr>
                <w:sz w:val="20"/>
                <w:szCs w:val="20"/>
              </w:rPr>
            </w:pPr>
            <w:r w:rsidRPr="00F6205B">
              <w:rPr>
                <w:sz w:val="20"/>
                <w:szCs w:val="20"/>
              </w:rPr>
              <w:t>12.2</w:t>
            </w:r>
          </w:p>
        </w:tc>
        <w:tc>
          <w:tcPr>
            <w:tcW w:w="1068" w:type="dxa"/>
            <w:tcBorders>
              <w:top w:val="single" w:sz="4" w:space="0" w:color="auto"/>
              <w:left w:val="single" w:sz="4" w:space="0" w:color="000000" w:themeColor="text1"/>
              <w:bottom w:val="single" w:sz="4" w:space="0" w:color="000000" w:themeColor="text1"/>
              <w:right w:val="single" w:sz="4" w:space="0" w:color="auto"/>
            </w:tcBorders>
            <w:vAlign w:val="center"/>
          </w:tcPr>
          <w:p w14:paraId="02E5D9C4" w14:textId="77777777" w:rsidR="00436707" w:rsidRPr="00F6205B" w:rsidRDefault="00436707" w:rsidP="0044249F">
            <w:pPr>
              <w:keepNext/>
              <w:keepLines/>
              <w:tabs>
                <w:tab w:val="decimal" w:pos="402"/>
              </w:tabs>
              <w:spacing w:after="0" w:line="240" w:lineRule="auto"/>
              <w:contextualSpacing/>
              <w:jc w:val="center"/>
              <w:rPr>
                <w:sz w:val="20"/>
                <w:szCs w:val="20"/>
              </w:rPr>
            </w:pPr>
            <w:r w:rsidRPr="00F6205B">
              <w:rPr>
                <w:sz w:val="20"/>
                <w:szCs w:val="20"/>
              </w:rPr>
              <w:t>3.9</w:t>
            </w:r>
          </w:p>
        </w:tc>
      </w:tr>
      <w:tr w:rsidR="00436707" w:rsidRPr="00F6205B" w14:paraId="24074E82" w14:textId="77777777" w:rsidTr="00FD1DF2">
        <w:trPr>
          <w:trHeight w:val="288"/>
          <w:jc w:val="center"/>
        </w:trPr>
        <w:tc>
          <w:tcPr>
            <w:tcW w:w="2448"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17D043FD" w14:textId="77777777" w:rsidR="00436707" w:rsidRPr="00F6205B" w:rsidRDefault="00436707" w:rsidP="0044249F">
            <w:pPr>
              <w:keepNext/>
              <w:keepLines/>
              <w:spacing w:after="0" w:line="240" w:lineRule="auto"/>
              <w:contextualSpacing/>
              <w:jc w:val="right"/>
              <w:rPr>
                <w:sz w:val="20"/>
                <w:szCs w:val="20"/>
              </w:rPr>
            </w:pPr>
            <w:r w:rsidRPr="00F6205B">
              <w:rPr>
                <w:sz w:val="20"/>
                <w:szCs w:val="20"/>
              </w:rPr>
              <w:t>Increase gas furnace AFUE</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2BCD0F70" w14:textId="77777777" w:rsidR="00436707" w:rsidRPr="00F6205B" w:rsidRDefault="00436707" w:rsidP="0044249F">
            <w:pPr>
              <w:keepNext/>
              <w:keepLines/>
              <w:spacing w:after="0" w:line="240" w:lineRule="auto"/>
              <w:contextualSpacing/>
              <w:jc w:val="center"/>
              <w:rPr>
                <w:i/>
                <w:sz w:val="20"/>
                <w:szCs w:val="20"/>
              </w:rPr>
            </w:pPr>
            <w:r w:rsidRPr="00F6205B">
              <w:rPr>
                <w:i/>
                <w:sz w:val="20"/>
                <w:szCs w:val="20"/>
              </w:rPr>
              <w:t>25</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74D5FCF2" w14:textId="77777777" w:rsidR="00436707" w:rsidRPr="00F6205B" w:rsidRDefault="00436707" w:rsidP="0044249F">
            <w:pPr>
              <w:keepNext/>
              <w:keepLines/>
              <w:tabs>
                <w:tab w:val="decimal" w:pos="258"/>
              </w:tabs>
              <w:spacing w:after="0" w:line="240" w:lineRule="auto"/>
              <w:contextualSpacing/>
              <w:jc w:val="center"/>
              <w:rPr>
                <w:sz w:val="20"/>
                <w:szCs w:val="20"/>
              </w:rPr>
            </w:pPr>
            <w:r w:rsidRPr="00F6205B">
              <w:rPr>
                <w:sz w:val="20"/>
                <w:szCs w:val="20"/>
              </w:rPr>
              <w:t>1.3%</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5055D822" w14:textId="77777777" w:rsidR="00436707" w:rsidRPr="00F6205B" w:rsidRDefault="00436707" w:rsidP="0044249F">
            <w:pPr>
              <w:keepNext/>
              <w:keepLines/>
              <w:tabs>
                <w:tab w:val="decimal" w:pos="264"/>
              </w:tabs>
              <w:spacing w:after="0" w:line="240" w:lineRule="auto"/>
              <w:contextualSpacing/>
              <w:jc w:val="center"/>
              <w:rPr>
                <w:sz w:val="20"/>
                <w:szCs w:val="20"/>
              </w:rPr>
            </w:pPr>
            <w:r w:rsidRPr="00F6205B">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085172E3" w14:textId="77777777" w:rsidR="00436707" w:rsidRPr="00F6205B" w:rsidRDefault="00436707" w:rsidP="0044249F">
            <w:pPr>
              <w:keepNext/>
              <w:keepLines/>
              <w:tabs>
                <w:tab w:val="decimal" w:pos="366"/>
              </w:tabs>
              <w:spacing w:after="0" w:line="240" w:lineRule="auto"/>
              <w:contextualSpacing/>
              <w:jc w:val="center"/>
              <w:rPr>
                <w:sz w:val="20"/>
                <w:szCs w:val="20"/>
              </w:rPr>
            </w:pPr>
            <w:r w:rsidRPr="00F6205B">
              <w:rPr>
                <w:sz w:val="20"/>
                <w:szCs w:val="20"/>
              </w:rPr>
              <w:t>19.6</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37B11C79" w14:textId="77777777" w:rsidR="00436707" w:rsidRPr="00F6205B" w:rsidRDefault="00436707" w:rsidP="0044249F">
            <w:pPr>
              <w:keepNext/>
              <w:keepLines/>
              <w:tabs>
                <w:tab w:val="decimal" w:pos="198"/>
              </w:tabs>
              <w:spacing w:after="0" w:line="240" w:lineRule="auto"/>
              <w:contextualSpacing/>
              <w:jc w:val="center"/>
              <w:rPr>
                <w:sz w:val="20"/>
                <w:szCs w:val="20"/>
              </w:rPr>
            </w:pPr>
            <w:r w:rsidRPr="00F6205B">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209E15AA" w14:textId="77777777" w:rsidR="00436707" w:rsidRPr="00F6205B" w:rsidRDefault="00436707" w:rsidP="0044249F">
            <w:pPr>
              <w:keepNext/>
              <w:keepLines/>
              <w:tabs>
                <w:tab w:val="decimal" w:pos="570"/>
              </w:tabs>
              <w:spacing w:after="0" w:line="240" w:lineRule="auto"/>
              <w:contextualSpacing/>
              <w:jc w:val="center"/>
              <w:rPr>
                <w:sz w:val="20"/>
                <w:szCs w:val="20"/>
              </w:rPr>
            </w:pPr>
            <w:r w:rsidRPr="00F6205B">
              <w:rPr>
                <w:sz w:val="20"/>
                <w:szCs w:val="20"/>
              </w:rPr>
              <w:t>32.6</w:t>
            </w:r>
          </w:p>
        </w:tc>
        <w:tc>
          <w:tcPr>
            <w:tcW w:w="106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6BB1EE13" w14:textId="77777777" w:rsidR="00436707" w:rsidRPr="00F6205B" w:rsidRDefault="00436707" w:rsidP="0044249F">
            <w:pPr>
              <w:keepNext/>
              <w:keepLines/>
              <w:tabs>
                <w:tab w:val="decimal" w:pos="402"/>
              </w:tabs>
              <w:spacing w:after="0" w:line="240" w:lineRule="auto"/>
              <w:contextualSpacing/>
              <w:jc w:val="center"/>
              <w:rPr>
                <w:sz w:val="20"/>
                <w:szCs w:val="20"/>
              </w:rPr>
            </w:pPr>
            <w:r w:rsidRPr="00F6205B">
              <w:rPr>
                <w:sz w:val="20"/>
                <w:szCs w:val="20"/>
              </w:rPr>
              <w:t>2.1</w:t>
            </w:r>
          </w:p>
        </w:tc>
      </w:tr>
      <w:tr w:rsidR="00436707" w:rsidRPr="00F6205B" w14:paraId="301C52A3" w14:textId="77777777" w:rsidTr="00FD1DF2">
        <w:trPr>
          <w:trHeight w:val="288"/>
          <w:jc w:val="center"/>
        </w:trPr>
        <w:tc>
          <w:tcPr>
            <w:tcW w:w="244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75B9197" w14:textId="77777777" w:rsidR="00436707" w:rsidRPr="00F6205B" w:rsidRDefault="00436707" w:rsidP="0044249F">
            <w:pPr>
              <w:keepNext/>
              <w:keepLines/>
              <w:spacing w:after="0" w:line="240" w:lineRule="auto"/>
              <w:contextualSpacing/>
              <w:jc w:val="right"/>
              <w:rPr>
                <w:sz w:val="20"/>
                <w:szCs w:val="20"/>
              </w:rPr>
            </w:pPr>
            <w:r w:rsidRPr="00F6205B">
              <w:rPr>
                <w:sz w:val="20"/>
                <w:szCs w:val="20"/>
              </w:rPr>
              <w:t>Increase gas boiler AFUE</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ED28D2" w14:textId="77777777" w:rsidR="00436707" w:rsidRPr="00F6205B" w:rsidRDefault="00436707" w:rsidP="0044249F">
            <w:pPr>
              <w:keepNext/>
              <w:keepLines/>
              <w:spacing w:after="0" w:line="240" w:lineRule="auto"/>
              <w:contextualSpacing/>
              <w:jc w:val="center"/>
              <w:rPr>
                <w:i/>
                <w:sz w:val="20"/>
                <w:szCs w:val="20"/>
              </w:rPr>
            </w:pPr>
            <w:r w:rsidRPr="00F6205B">
              <w:rPr>
                <w:i/>
                <w:sz w:val="20"/>
                <w:szCs w:val="20"/>
              </w:rPr>
              <w:t>24</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43C766" w14:textId="77777777" w:rsidR="00436707" w:rsidRPr="00F6205B" w:rsidRDefault="00436707" w:rsidP="0044249F">
            <w:pPr>
              <w:keepNext/>
              <w:keepLines/>
              <w:tabs>
                <w:tab w:val="decimal" w:pos="258"/>
              </w:tabs>
              <w:spacing w:after="0" w:line="240" w:lineRule="auto"/>
              <w:contextualSpacing/>
              <w:jc w:val="center"/>
              <w:rPr>
                <w:sz w:val="20"/>
                <w:szCs w:val="20"/>
              </w:rPr>
            </w:pPr>
            <w:r w:rsidRPr="00F6205B">
              <w:rPr>
                <w:sz w:val="20"/>
                <w:szCs w:val="20"/>
              </w:rPr>
              <w:t>1.2%</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4555FE" w14:textId="77777777" w:rsidR="00436707" w:rsidRPr="00F6205B" w:rsidRDefault="00436707" w:rsidP="0044249F">
            <w:pPr>
              <w:keepNext/>
              <w:keepLines/>
              <w:tabs>
                <w:tab w:val="decimal" w:pos="264"/>
              </w:tabs>
              <w:spacing w:after="0" w:line="240" w:lineRule="auto"/>
              <w:contextualSpacing/>
              <w:jc w:val="center"/>
              <w:rPr>
                <w:sz w:val="20"/>
                <w:szCs w:val="20"/>
              </w:rPr>
            </w:pPr>
            <w:r w:rsidRPr="00F6205B">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00C51D" w14:textId="77777777" w:rsidR="00436707" w:rsidRPr="00F6205B" w:rsidRDefault="00436707" w:rsidP="0044249F">
            <w:pPr>
              <w:keepNext/>
              <w:keepLines/>
              <w:tabs>
                <w:tab w:val="decimal" w:pos="366"/>
              </w:tabs>
              <w:spacing w:after="0" w:line="240" w:lineRule="auto"/>
              <w:contextualSpacing/>
              <w:jc w:val="center"/>
              <w:rPr>
                <w:sz w:val="20"/>
                <w:szCs w:val="20"/>
              </w:rPr>
            </w:pPr>
            <w:r w:rsidRPr="00F6205B">
              <w:rPr>
                <w:sz w:val="20"/>
                <w:szCs w:val="20"/>
              </w:rPr>
              <w:t>18.9</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96F38E" w14:textId="77777777" w:rsidR="00436707" w:rsidRPr="00F6205B" w:rsidRDefault="00436707" w:rsidP="0044249F">
            <w:pPr>
              <w:keepNext/>
              <w:keepLines/>
              <w:tabs>
                <w:tab w:val="decimal" w:pos="198"/>
              </w:tabs>
              <w:spacing w:after="0" w:line="240" w:lineRule="auto"/>
              <w:contextualSpacing/>
              <w:jc w:val="center"/>
              <w:rPr>
                <w:sz w:val="20"/>
                <w:szCs w:val="20"/>
              </w:rPr>
            </w:pPr>
            <w:r w:rsidRPr="00F6205B">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0A588B" w14:textId="77777777" w:rsidR="00436707" w:rsidRPr="00F6205B" w:rsidRDefault="00436707" w:rsidP="0044249F">
            <w:pPr>
              <w:keepNext/>
              <w:keepLines/>
              <w:tabs>
                <w:tab w:val="decimal" w:pos="570"/>
              </w:tabs>
              <w:spacing w:after="0" w:line="240" w:lineRule="auto"/>
              <w:contextualSpacing/>
              <w:jc w:val="center"/>
              <w:rPr>
                <w:sz w:val="20"/>
                <w:szCs w:val="20"/>
              </w:rPr>
            </w:pPr>
            <w:r w:rsidRPr="00F6205B">
              <w:rPr>
                <w:sz w:val="20"/>
                <w:szCs w:val="20"/>
              </w:rPr>
              <w:t>- 0.3</w:t>
            </w:r>
          </w:p>
        </w:tc>
        <w:tc>
          <w:tcPr>
            <w:tcW w:w="1068"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EF38AB1" w14:textId="77777777" w:rsidR="00436707" w:rsidRPr="00F6205B" w:rsidRDefault="00436707" w:rsidP="0044249F">
            <w:pPr>
              <w:keepNext/>
              <w:keepLines/>
              <w:tabs>
                <w:tab w:val="decimal" w:pos="402"/>
              </w:tabs>
              <w:spacing w:after="0" w:line="240" w:lineRule="auto"/>
              <w:contextualSpacing/>
              <w:jc w:val="center"/>
              <w:rPr>
                <w:sz w:val="20"/>
                <w:szCs w:val="20"/>
              </w:rPr>
            </w:pPr>
            <w:r w:rsidRPr="00F6205B">
              <w:rPr>
                <w:sz w:val="20"/>
                <w:szCs w:val="20"/>
              </w:rPr>
              <w:t>1.9</w:t>
            </w:r>
          </w:p>
        </w:tc>
      </w:tr>
      <w:tr w:rsidR="00436707" w:rsidRPr="00F6205B" w14:paraId="0182DAD9" w14:textId="77777777" w:rsidTr="00FD1DF2">
        <w:trPr>
          <w:trHeight w:val="288"/>
          <w:jc w:val="center"/>
        </w:trPr>
        <w:tc>
          <w:tcPr>
            <w:tcW w:w="2448"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499B02BE" w14:textId="77777777" w:rsidR="00436707" w:rsidRPr="00F6205B" w:rsidRDefault="00436707" w:rsidP="0044249F">
            <w:pPr>
              <w:keepNext/>
              <w:keepLines/>
              <w:spacing w:after="0" w:line="240" w:lineRule="auto"/>
              <w:contextualSpacing/>
              <w:jc w:val="right"/>
              <w:rPr>
                <w:sz w:val="20"/>
                <w:szCs w:val="20"/>
              </w:rPr>
            </w:pPr>
            <w:r w:rsidRPr="00F6205B">
              <w:rPr>
                <w:sz w:val="20"/>
                <w:szCs w:val="20"/>
              </w:rPr>
              <w:t>Increase oil furnace AFUE</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5AC51075" w14:textId="77777777" w:rsidR="00436707" w:rsidRPr="00F6205B" w:rsidRDefault="00436707" w:rsidP="0044249F">
            <w:pPr>
              <w:keepNext/>
              <w:keepLines/>
              <w:spacing w:after="0" w:line="240" w:lineRule="auto"/>
              <w:contextualSpacing/>
              <w:jc w:val="center"/>
              <w:rPr>
                <w:i/>
                <w:sz w:val="20"/>
                <w:szCs w:val="20"/>
              </w:rPr>
            </w:pPr>
            <w:r w:rsidRPr="00F6205B">
              <w:rPr>
                <w:i/>
                <w:sz w:val="20"/>
                <w:szCs w:val="20"/>
              </w:rPr>
              <w:t>31</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551545C0" w14:textId="77777777" w:rsidR="00436707" w:rsidRPr="00F6205B" w:rsidRDefault="00436707" w:rsidP="0044249F">
            <w:pPr>
              <w:keepNext/>
              <w:keepLines/>
              <w:tabs>
                <w:tab w:val="decimal" w:pos="258"/>
              </w:tabs>
              <w:spacing w:after="0" w:line="240" w:lineRule="auto"/>
              <w:contextualSpacing/>
              <w:jc w:val="center"/>
              <w:rPr>
                <w:sz w:val="20"/>
                <w:szCs w:val="20"/>
              </w:rPr>
            </w:pPr>
            <w:r w:rsidRPr="00F6205B">
              <w:rPr>
                <w:sz w:val="20"/>
                <w:szCs w:val="20"/>
              </w:rPr>
              <w:t>1.2%</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2C21AA26" w14:textId="77777777" w:rsidR="00436707" w:rsidRPr="00F6205B" w:rsidRDefault="00436707" w:rsidP="0044249F">
            <w:pPr>
              <w:keepNext/>
              <w:keepLines/>
              <w:tabs>
                <w:tab w:val="decimal" w:pos="264"/>
              </w:tabs>
              <w:spacing w:after="0" w:line="240" w:lineRule="auto"/>
              <w:contextualSpacing/>
              <w:jc w:val="center"/>
              <w:rPr>
                <w:sz w:val="20"/>
                <w:szCs w:val="20"/>
              </w:rPr>
            </w:pPr>
            <w:r w:rsidRPr="00F6205B">
              <w:rPr>
                <w:sz w:val="20"/>
                <w:szCs w:val="20"/>
              </w:rPr>
              <w:t>12.1</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22892DA7" w14:textId="77777777" w:rsidR="00436707" w:rsidRPr="00F6205B" w:rsidRDefault="00436707" w:rsidP="0044249F">
            <w:pPr>
              <w:keepNext/>
              <w:keepLines/>
              <w:tabs>
                <w:tab w:val="decimal" w:pos="366"/>
              </w:tabs>
              <w:spacing w:after="0" w:line="240" w:lineRule="auto"/>
              <w:contextualSpacing/>
              <w:jc w:val="center"/>
              <w:rPr>
                <w:sz w:val="20"/>
                <w:szCs w:val="20"/>
              </w:rPr>
            </w:pPr>
            <w:r w:rsidRPr="00F6205B">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03A91BD7" w14:textId="77777777" w:rsidR="00436707" w:rsidRPr="00F6205B" w:rsidRDefault="00436707" w:rsidP="0044249F">
            <w:pPr>
              <w:keepNext/>
              <w:keepLines/>
              <w:tabs>
                <w:tab w:val="decimal" w:pos="198"/>
              </w:tabs>
              <w:spacing w:after="0" w:line="240" w:lineRule="auto"/>
              <w:contextualSpacing/>
              <w:jc w:val="center"/>
              <w:rPr>
                <w:sz w:val="20"/>
                <w:szCs w:val="20"/>
              </w:rPr>
            </w:pPr>
            <w:r w:rsidRPr="00F6205B">
              <w:rPr>
                <w:sz w:val="20"/>
                <w:szCs w:val="20"/>
              </w:rPr>
              <w:t>- &lt;0.1</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099DB51D" w14:textId="77777777" w:rsidR="00436707" w:rsidRPr="00F6205B" w:rsidRDefault="00436707" w:rsidP="0044249F">
            <w:pPr>
              <w:keepNext/>
              <w:keepLines/>
              <w:tabs>
                <w:tab w:val="decimal" w:pos="570"/>
              </w:tabs>
              <w:spacing w:after="0" w:line="240" w:lineRule="auto"/>
              <w:contextualSpacing/>
              <w:jc w:val="center"/>
              <w:rPr>
                <w:sz w:val="20"/>
                <w:szCs w:val="20"/>
              </w:rPr>
            </w:pPr>
            <w:r w:rsidRPr="00F6205B">
              <w:rPr>
                <w:sz w:val="20"/>
                <w:szCs w:val="20"/>
              </w:rPr>
              <w:t>5.4</w:t>
            </w:r>
          </w:p>
        </w:tc>
        <w:tc>
          <w:tcPr>
            <w:tcW w:w="106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0239E13F" w14:textId="77777777" w:rsidR="00436707" w:rsidRPr="00F6205B" w:rsidRDefault="00436707" w:rsidP="0044249F">
            <w:pPr>
              <w:keepNext/>
              <w:keepLines/>
              <w:tabs>
                <w:tab w:val="decimal" w:pos="402"/>
              </w:tabs>
              <w:spacing w:after="0" w:line="240" w:lineRule="auto"/>
              <w:contextualSpacing/>
              <w:jc w:val="center"/>
              <w:rPr>
                <w:sz w:val="20"/>
                <w:szCs w:val="20"/>
              </w:rPr>
            </w:pPr>
            <w:r w:rsidRPr="00F6205B">
              <w:rPr>
                <w:sz w:val="20"/>
                <w:szCs w:val="20"/>
              </w:rPr>
              <w:t>1.8</w:t>
            </w:r>
          </w:p>
        </w:tc>
      </w:tr>
      <w:tr w:rsidR="00436707" w:rsidRPr="00F6205B" w14:paraId="4ED72356" w14:textId="77777777" w:rsidTr="00FD1DF2">
        <w:trPr>
          <w:trHeight w:val="288"/>
          <w:jc w:val="center"/>
        </w:trPr>
        <w:tc>
          <w:tcPr>
            <w:tcW w:w="244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41269B7" w14:textId="77777777" w:rsidR="00436707" w:rsidRPr="00F6205B" w:rsidRDefault="00436707" w:rsidP="0044249F">
            <w:pPr>
              <w:keepNext/>
              <w:keepLines/>
              <w:spacing w:after="0" w:line="240" w:lineRule="auto"/>
              <w:contextualSpacing/>
              <w:jc w:val="right"/>
              <w:rPr>
                <w:sz w:val="20"/>
                <w:szCs w:val="20"/>
              </w:rPr>
            </w:pPr>
            <w:r w:rsidRPr="00F6205B">
              <w:rPr>
                <w:sz w:val="20"/>
                <w:szCs w:val="20"/>
              </w:rPr>
              <w:t>Upgrade central air conditioner</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6E4268" w14:textId="77777777" w:rsidR="00436707" w:rsidRPr="00F6205B" w:rsidRDefault="00436707" w:rsidP="0044249F">
            <w:pPr>
              <w:keepNext/>
              <w:keepLines/>
              <w:spacing w:after="0" w:line="240" w:lineRule="auto"/>
              <w:contextualSpacing/>
              <w:jc w:val="center"/>
              <w:rPr>
                <w:i/>
                <w:sz w:val="20"/>
                <w:szCs w:val="20"/>
              </w:rPr>
            </w:pPr>
            <w:r w:rsidRPr="00F6205B">
              <w:rPr>
                <w:i/>
                <w:sz w:val="20"/>
                <w:szCs w:val="20"/>
              </w:rPr>
              <w:t>76</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F64796" w14:textId="77777777" w:rsidR="00436707" w:rsidRPr="00F6205B" w:rsidRDefault="00436707" w:rsidP="0044249F">
            <w:pPr>
              <w:keepNext/>
              <w:keepLines/>
              <w:tabs>
                <w:tab w:val="decimal" w:pos="258"/>
              </w:tabs>
              <w:spacing w:after="0" w:line="240" w:lineRule="auto"/>
              <w:contextualSpacing/>
              <w:jc w:val="center"/>
              <w:rPr>
                <w:sz w:val="20"/>
                <w:szCs w:val="20"/>
              </w:rPr>
            </w:pPr>
            <w:r w:rsidRPr="00F6205B">
              <w:rPr>
                <w:sz w:val="20"/>
                <w:szCs w:val="20"/>
              </w:rPr>
              <w:t>0.5%</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250D34" w14:textId="77777777" w:rsidR="00436707" w:rsidRPr="00F6205B" w:rsidRDefault="00436707" w:rsidP="0044249F">
            <w:pPr>
              <w:keepNext/>
              <w:keepLines/>
              <w:tabs>
                <w:tab w:val="decimal" w:pos="264"/>
              </w:tabs>
              <w:spacing w:after="0" w:line="240" w:lineRule="auto"/>
              <w:contextualSpacing/>
              <w:jc w:val="center"/>
              <w:rPr>
                <w:sz w:val="20"/>
                <w:szCs w:val="20"/>
              </w:rPr>
            </w:pPr>
            <w:r w:rsidRPr="00F6205B">
              <w:rPr>
                <w:sz w:val="20"/>
                <w:szCs w:val="20"/>
              </w:rPr>
              <w:t>- &lt;0.1</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7830DA" w14:textId="77777777" w:rsidR="00436707" w:rsidRPr="00F6205B" w:rsidRDefault="00436707" w:rsidP="0044249F">
            <w:pPr>
              <w:keepNext/>
              <w:keepLines/>
              <w:tabs>
                <w:tab w:val="decimal" w:pos="366"/>
              </w:tabs>
              <w:spacing w:after="0" w:line="240" w:lineRule="auto"/>
              <w:contextualSpacing/>
              <w:jc w:val="center"/>
              <w:rPr>
                <w:sz w:val="20"/>
                <w:szCs w:val="20"/>
              </w:rPr>
            </w:pPr>
            <w:r w:rsidRPr="00F6205B">
              <w:rPr>
                <w:sz w:val="20"/>
                <w:szCs w:val="20"/>
              </w:rPr>
              <w:t>0.6</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F6CE13" w14:textId="77777777" w:rsidR="00436707" w:rsidRPr="00F6205B" w:rsidRDefault="00436707" w:rsidP="0044249F">
            <w:pPr>
              <w:keepNext/>
              <w:keepLines/>
              <w:tabs>
                <w:tab w:val="decimal" w:pos="198"/>
              </w:tabs>
              <w:spacing w:after="0" w:line="240" w:lineRule="auto"/>
              <w:contextualSpacing/>
              <w:jc w:val="center"/>
              <w:rPr>
                <w:sz w:val="20"/>
                <w:szCs w:val="20"/>
              </w:rPr>
            </w:pPr>
            <w:r w:rsidRPr="00F6205B">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4C6F31" w14:textId="77777777" w:rsidR="00436707" w:rsidRPr="00F6205B" w:rsidRDefault="00436707" w:rsidP="0044249F">
            <w:pPr>
              <w:keepNext/>
              <w:keepLines/>
              <w:tabs>
                <w:tab w:val="decimal" w:pos="570"/>
              </w:tabs>
              <w:spacing w:after="0" w:line="240" w:lineRule="auto"/>
              <w:contextualSpacing/>
              <w:jc w:val="center"/>
              <w:rPr>
                <w:sz w:val="20"/>
                <w:szCs w:val="20"/>
              </w:rPr>
            </w:pPr>
            <w:r w:rsidRPr="00F6205B">
              <w:rPr>
                <w:sz w:val="20"/>
                <w:szCs w:val="20"/>
              </w:rPr>
              <w:t>203.0</w:t>
            </w:r>
          </w:p>
        </w:tc>
        <w:tc>
          <w:tcPr>
            <w:tcW w:w="1068"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3527ECC" w14:textId="77777777" w:rsidR="00436707" w:rsidRPr="00F6205B" w:rsidRDefault="00436707" w:rsidP="0044249F">
            <w:pPr>
              <w:keepNext/>
              <w:keepLines/>
              <w:tabs>
                <w:tab w:val="decimal" w:pos="402"/>
              </w:tabs>
              <w:spacing w:after="0" w:line="240" w:lineRule="auto"/>
              <w:contextualSpacing/>
              <w:jc w:val="center"/>
              <w:rPr>
                <w:sz w:val="20"/>
                <w:szCs w:val="20"/>
              </w:rPr>
            </w:pPr>
            <w:r w:rsidRPr="00F6205B">
              <w:rPr>
                <w:sz w:val="20"/>
                <w:szCs w:val="20"/>
              </w:rPr>
              <w:t>0.7</w:t>
            </w:r>
          </w:p>
        </w:tc>
      </w:tr>
      <w:tr w:rsidR="00436707" w:rsidRPr="00F6205B" w14:paraId="591E3F9F" w14:textId="77777777" w:rsidTr="00FD1DF2">
        <w:trPr>
          <w:trHeight w:val="288"/>
          <w:jc w:val="center"/>
        </w:trPr>
        <w:tc>
          <w:tcPr>
            <w:tcW w:w="2448"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2E73822B" w14:textId="77777777" w:rsidR="00436707" w:rsidRPr="00F6205B" w:rsidRDefault="00436707" w:rsidP="0044249F">
            <w:pPr>
              <w:keepNext/>
              <w:keepLines/>
              <w:spacing w:after="0" w:line="240" w:lineRule="auto"/>
              <w:contextualSpacing/>
              <w:jc w:val="right"/>
              <w:rPr>
                <w:sz w:val="20"/>
                <w:szCs w:val="20"/>
              </w:rPr>
            </w:pPr>
            <w:r w:rsidRPr="00F6205B">
              <w:rPr>
                <w:sz w:val="20"/>
                <w:szCs w:val="20"/>
              </w:rPr>
              <w:t>Upgrade room air conditioners</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205582FD" w14:textId="77777777" w:rsidR="00436707" w:rsidRPr="00F6205B" w:rsidRDefault="00436707" w:rsidP="0044249F">
            <w:pPr>
              <w:keepNext/>
              <w:keepLines/>
              <w:spacing w:after="0" w:line="240" w:lineRule="auto"/>
              <w:contextualSpacing/>
              <w:jc w:val="center"/>
              <w:rPr>
                <w:i/>
                <w:sz w:val="20"/>
                <w:szCs w:val="20"/>
              </w:rPr>
            </w:pPr>
            <w:r w:rsidRPr="00F6205B">
              <w:rPr>
                <w:i/>
                <w:sz w:val="20"/>
                <w:szCs w:val="20"/>
              </w:rPr>
              <w:t>66</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0B8EF5CF" w14:textId="77777777" w:rsidR="00436707" w:rsidRPr="00F6205B" w:rsidRDefault="00436707" w:rsidP="0044249F">
            <w:pPr>
              <w:keepNext/>
              <w:keepLines/>
              <w:tabs>
                <w:tab w:val="decimal" w:pos="258"/>
              </w:tabs>
              <w:spacing w:after="0" w:line="240" w:lineRule="auto"/>
              <w:contextualSpacing/>
              <w:jc w:val="center"/>
              <w:rPr>
                <w:sz w:val="20"/>
                <w:szCs w:val="20"/>
              </w:rPr>
            </w:pPr>
            <w:r w:rsidRPr="00F6205B">
              <w:rPr>
                <w:sz w:val="20"/>
                <w:szCs w:val="20"/>
              </w:rPr>
              <w:t>0.1%</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0678CE22" w14:textId="77777777" w:rsidR="00436707" w:rsidRPr="00F6205B" w:rsidRDefault="00436707" w:rsidP="0044249F">
            <w:pPr>
              <w:keepNext/>
              <w:keepLines/>
              <w:tabs>
                <w:tab w:val="decimal" w:pos="264"/>
              </w:tabs>
              <w:spacing w:after="0" w:line="240" w:lineRule="auto"/>
              <w:contextualSpacing/>
              <w:jc w:val="center"/>
              <w:rPr>
                <w:sz w:val="20"/>
                <w:szCs w:val="20"/>
              </w:rPr>
            </w:pPr>
            <w:r w:rsidRPr="00F6205B">
              <w:rPr>
                <w:sz w:val="20"/>
                <w:szCs w:val="20"/>
              </w:rPr>
              <w:t>- &lt;0.1</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6388B036" w14:textId="77777777" w:rsidR="00436707" w:rsidRPr="00F6205B" w:rsidRDefault="00436707" w:rsidP="0044249F">
            <w:pPr>
              <w:keepNext/>
              <w:keepLines/>
              <w:tabs>
                <w:tab w:val="decimal" w:pos="366"/>
              </w:tabs>
              <w:spacing w:after="0" w:line="240" w:lineRule="auto"/>
              <w:contextualSpacing/>
              <w:jc w:val="center"/>
              <w:rPr>
                <w:sz w:val="20"/>
                <w:szCs w:val="20"/>
              </w:rPr>
            </w:pPr>
            <w:r w:rsidRPr="00F6205B">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0DDCFADC" w14:textId="77777777" w:rsidR="00436707" w:rsidRPr="00F6205B" w:rsidRDefault="00436707" w:rsidP="0044249F">
            <w:pPr>
              <w:keepNext/>
              <w:keepLines/>
              <w:tabs>
                <w:tab w:val="decimal" w:pos="198"/>
              </w:tabs>
              <w:spacing w:after="0" w:line="240" w:lineRule="auto"/>
              <w:contextualSpacing/>
              <w:jc w:val="center"/>
              <w:rPr>
                <w:sz w:val="20"/>
                <w:szCs w:val="20"/>
              </w:rPr>
            </w:pPr>
            <w:r w:rsidRPr="00F6205B">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71908B55" w14:textId="77777777" w:rsidR="00436707" w:rsidRPr="00F6205B" w:rsidRDefault="00436707" w:rsidP="0044249F">
            <w:pPr>
              <w:keepNext/>
              <w:keepLines/>
              <w:tabs>
                <w:tab w:val="decimal" w:pos="570"/>
              </w:tabs>
              <w:spacing w:after="0" w:line="240" w:lineRule="auto"/>
              <w:contextualSpacing/>
              <w:jc w:val="center"/>
              <w:rPr>
                <w:sz w:val="20"/>
                <w:szCs w:val="20"/>
              </w:rPr>
            </w:pPr>
            <w:r w:rsidRPr="00F6205B">
              <w:rPr>
                <w:sz w:val="20"/>
                <w:szCs w:val="20"/>
              </w:rPr>
              <w:t>62.4</w:t>
            </w:r>
          </w:p>
        </w:tc>
        <w:tc>
          <w:tcPr>
            <w:tcW w:w="106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513E2BAC" w14:textId="77777777" w:rsidR="00436707" w:rsidRPr="00F6205B" w:rsidRDefault="00436707" w:rsidP="0044249F">
            <w:pPr>
              <w:keepNext/>
              <w:keepLines/>
              <w:tabs>
                <w:tab w:val="decimal" w:pos="402"/>
              </w:tabs>
              <w:spacing w:after="0" w:line="240" w:lineRule="auto"/>
              <w:contextualSpacing/>
              <w:jc w:val="center"/>
              <w:rPr>
                <w:sz w:val="20"/>
                <w:szCs w:val="20"/>
              </w:rPr>
            </w:pPr>
            <w:r w:rsidRPr="00F6205B">
              <w:rPr>
                <w:sz w:val="20"/>
                <w:szCs w:val="20"/>
              </w:rPr>
              <w:t>0.2</w:t>
            </w:r>
          </w:p>
        </w:tc>
      </w:tr>
      <w:tr w:rsidR="00436707" w:rsidRPr="00F6205B" w14:paraId="63D45A21" w14:textId="77777777" w:rsidTr="00FD1DF2">
        <w:trPr>
          <w:trHeight w:val="288"/>
          <w:jc w:val="center"/>
        </w:trPr>
        <w:tc>
          <w:tcPr>
            <w:tcW w:w="244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87BA44E" w14:textId="77777777" w:rsidR="00436707" w:rsidRPr="00F6205B" w:rsidRDefault="00436707" w:rsidP="0044249F">
            <w:pPr>
              <w:keepNext/>
              <w:keepLines/>
              <w:spacing w:after="0" w:line="240" w:lineRule="auto"/>
              <w:contextualSpacing/>
              <w:jc w:val="right"/>
              <w:rPr>
                <w:sz w:val="20"/>
                <w:szCs w:val="20"/>
              </w:rPr>
            </w:pPr>
            <w:r w:rsidRPr="00F6205B">
              <w:rPr>
                <w:sz w:val="20"/>
                <w:szCs w:val="20"/>
              </w:rPr>
              <w:t>Install ECM fan motor</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5B339B" w14:textId="77777777" w:rsidR="00436707" w:rsidRPr="00F6205B" w:rsidRDefault="00436707" w:rsidP="0044249F">
            <w:pPr>
              <w:keepNext/>
              <w:keepLines/>
              <w:spacing w:after="0" w:line="240" w:lineRule="auto"/>
              <w:contextualSpacing/>
              <w:jc w:val="center"/>
              <w:rPr>
                <w:i/>
                <w:sz w:val="20"/>
                <w:szCs w:val="20"/>
              </w:rPr>
            </w:pPr>
            <w:r w:rsidRPr="00F6205B">
              <w:rPr>
                <w:i/>
                <w:sz w:val="20"/>
                <w:szCs w:val="20"/>
              </w:rPr>
              <w:t>54</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D7911B" w14:textId="77777777" w:rsidR="00436707" w:rsidRPr="00F6205B" w:rsidRDefault="00436707" w:rsidP="0044249F">
            <w:pPr>
              <w:keepNext/>
              <w:keepLines/>
              <w:tabs>
                <w:tab w:val="decimal" w:pos="258"/>
              </w:tabs>
              <w:spacing w:after="0" w:line="240" w:lineRule="auto"/>
              <w:contextualSpacing/>
              <w:jc w:val="center"/>
              <w:rPr>
                <w:sz w:val="20"/>
                <w:szCs w:val="20"/>
              </w:rPr>
            </w:pPr>
            <w:r w:rsidRPr="00F6205B">
              <w:rPr>
                <w:sz w:val="20"/>
                <w:szCs w:val="20"/>
              </w:rPr>
              <w:t>0.1%</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E6A3CF" w14:textId="77777777" w:rsidR="00436707" w:rsidRPr="00F6205B" w:rsidRDefault="00436707" w:rsidP="0044249F">
            <w:pPr>
              <w:keepNext/>
              <w:keepLines/>
              <w:tabs>
                <w:tab w:val="decimal" w:pos="264"/>
              </w:tabs>
              <w:spacing w:after="0" w:line="240" w:lineRule="auto"/>
              <w:contextualSpacing/>
              <w:jc w:val="center"/>
              <w:rPr>
                <w:sz w:val="20"/>
                <w:szCs w:val="20"/>
              </w:rPr>
            </w:pPr>
            <w:r w:rsidRPr="00F6205B">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26FE5C" w14:textId="77777777" w:rsidR="00436707" w:rsidRPr="00F6205B" w:rsidRDefault="00436707" w:rsidP="0044249F">
            <w:pPr>
              <w:keepNext/>
              <w:keepLines/>
              <w:tabs>
                <w:tab w:val="decimal" w:pos="366"/>
              </w:tabs>
              <w:spacing w:after="0" w:line="240" w:lineRule="auto"/>
              <w:contextualSpacing/>
              <w:jc w:val="center"/>
              <w:rPr>
                <w:sz w:val="20"/>
                <w:szCs w:val="20"/>
              </w:rPr>
            </w:pPr>
            <w:r w:rsidRPr="00F6205B">
              <w:rPr>
                <w:sz w:val="20"/>
                <w:szCs w:val="20"/>
              </w:rPr>
              <w:t>1.7</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F8F82B" w14:textId="77777777" w:rsidR="00436707" w:rsidRPr="00F6205B" w:rsidRDefault="00436707" w:rsidP="0044249F">
            <w:pPr>
              <w:keepNext/>
              <w:keepLines/>
              <w:tabs>
                <w:tab w:val="decimal" w:pos="198"/>
              </w:tabs>
              <w:spacing w:after="0" w:line="240" w:lineRule="auto"/>
              <w:contextualSpacing/>
              <w:jc w:val="center"/>
              <w:rPr>
                <w:sz w:val="20"/>
                <w:szCs w:val="20"/>
              </w:rPr>
            </w:pPr>
            <w:r w:rsidRPr="00F6205B">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558747" w14:textId="77777777" w:rsidR="00436707" w:rsidRPr="00F6205B" w:rsidRDefault="00436707" w:rsidP="0044249F">
            <w:pPr>
              <w:keepNext/>
              <w:keepLines/>
              <w:tabs>
                <w:tab w:val="decimal" w:pos="570"/>
              </w:tabs>
              <w:spacing w:after="0" w:line="240" w:lineRule="auto"/>
              <w:contextualSpacing/>
              <w:jc w:val="center"/>
              <w:rPr>
                <w:sz w:val="20"/>
                <w:szCs w:val="20"/>
              </w:rPr>
            </w:pPr>
            <w:r w:rsidRPr="00F6205B">
              <w:rPr>
                <w:sz w:val="20"/>
                <w:szCs w:val="20"/>
              </w:rPr>
              <w:t>16.5</w:t>
            </w:r>
          </w:p>
        </w:tc>
        <w:tc>
          <w:tcPr>
            <w:tcW w:w="1068"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A3379CC" w14:textId="77777777" w:rsidR="00436707" w:rsidRPr="00F6205B" w:rsidRDefault="00436707" w:rsidP="0044249F">
            <w:pPr>
              <w:keepNext/>
              <w:keepLines/>
              <w:tabs>
                <w:tab w:val="decimal" w:pos="402"/>
              </w:tabs>
              <w:spacing w:after="0" w:line="240" w:lineRule="auto"/>
              <w:contextualSpacing/>
              <w:jc w:val="center"/>
              <w:rPr>
                <w:sz w:val="20"/>
                <w:szCs w:val="20"/>
              </w:rPr>
            </w:pPr>
            <w:r w:rsidRPr="00F6205B">
              <w:rPr>
                <w:sz w:val="20"/>
                <w:szCs w:val="20"/>
              </w:rPr>
              <w:t>0.2</w:t>
            </w:r>
          </w:p>
        </w:tc>
      </w:tr>
      <w:tr w:rsidR="00436707" w:rsidRPr="00F6205B" w14:paraId="42F14411" w14:textId="77777777" w:rsidTr="00FD1DF2">
        <w:trPr>
          <w:trHeight w:val="288"/>
          <w:jc w:val="center"/>
        </w:trPr>
        <w:tc>
          <w:tcPr>
            <w:tcW w:w="2448"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649287B7" w14:textId="77777777" w:rsidR="00436707" w:rsidRPr="00F6205B" w:rsidRDefault="00436707" w:rsidP="0044249F">
            <w:pPr>
              <w:keepNext/>
              <w:keepLines/>
              <w:spacing w:after="0" w:line="240" w:lineRule="auto"/>
              <w:contextualSpacing/>
              <w:jc w:val="right"/>
              <w:rPr>
                <w:sz w:val="20"/>
                <w:szCs w:val="20"/>
              </w:rPr>
            </w:pPr>
            <w:r w:rsidRPr="00F6205B">
              <w:rPr>
                <w:sz w:val="20"/>
                <w:szCs w:val="20"/>
              </w:rPr>
              <w:t>Increase propane boiler AFUE</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646D6E9D" w14:textId="77777777" w:rsidR="00436707" w:rsidRPr="00F6205B" w:rsidRDefault="00436707" w:rsidP="0044249F">
            <w:pPr>
              <w:keepNext/>
              <w:keepLines/>
              <w:spacing w:after="0" w:line="240" w:lineRule="auto"/>
              <w:contextualSpacing/>
              <w:jc w:val="center"/>
              <w:rPr>
                <w:i/>
                <w:sz w:val="20"/>
                <w:szCs w:val="20"/>
              </w:rPr>
            </w:pPr>
            <w:r w:rsidRPr="00F6205B">
              <w:rPr>
                <w:i/>
                <w:sz w:val="20"/>
                <w:szCs w:val="20"/>
              </w:rPr>
              <w:t>2</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553975E5" w14:textId="77777777" w:rsidR="00436707" w:rsidRPr="00F6205B" w:rsidRDefault="00436707" w:rsidP="0044249F">
            <w:pPr>
              <w:keepNext/>
              <w:keepLines/>
              <w:tabs>
                <w:tab w:val="decimal" w:pos="258"/>
              </w:tabs>
              <w:spacing w:after="0" w:line="240" w:lineRule="auto"/>
              <w:contextualSpacing/>
              <w:jc w:val="center"/>
              <w:rPr>
                <w:sz w:val="20"/>
                <w:szCs w:val="20"/>
              </w:rPr>
            </w:pPr>
            <w:r w:rsidRPr="00F6205B">
              <w:rPr>
                <w:sz w:val="20"/>
                <w:szCs w:val="20"/>
              </w:rPr>
              <w:t>0.1%</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186CAB82" w14:textId="77777777" w:rsidR="00436707" w:rsidRPr="00F6205B" w:rsidRDefault="00436707" w:rsidP="0044249F">
            <w:pPr>
              <w:keepNext/>
              <w:keepLines/>
              <w:tabs>
                <w:tab w:val="decimal" w:pos="264"/>
              </w:tabs>
              <w:spacing w:after="0" w:line="240" w:lineRule="auto"/>
              <w:contextualSpacing/>
              <w:jc w:val="center"/>
              <w:rPr>
                <w:sz w:val="20"/>
                <w:szCs w:val="20"/>
              </w:rPr>
            </w:pPr>
            <w:r w:rsidRPr="00F6205B">
              <w:rPr>
                <w:sz w:val="20"/>
                <w:szCs w:val="20"/>
              </w:rPr>
              <w:t>- 0.02</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1BFC617C" w14:textId="77777777" w:rsidR="00436707" w:rsidRPr="00F6205B" w:rsidRDefault="00436707" w:rsidP="0044249F">
            <w:pPr>
              <w:keepNext/>
              <w:keepLines/>
              <w:tabs>
                <w:tab w:val="decimal" w:pos="366"/>
              </w:tabs>
              <w:spacing w:after="0" w:line="240" w:lineRule="auto"/>
              <w:contextualSpacing/>
              <w:jc w:val="center"/>
              <w:rPr>
                <w:sz w:val="20"/>
                <w:szCs w:val="20"/>
              </w:rPr>
            </w:pPr>
            <w:r w:rsidRPr="00F6205B">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3C34A1EC" w14:textId="77777777" w:rsidR="00436707" w:rsidRPr="00F6205B" w:rsidRDefault="00436707" w:rsidP="0044249F">
            <w:pPr>
              <w:keepNext/>
              <w:keepLines/>
              <w:tabs>
                <w:tab w:val="decimal" w:pos="198"/>
              </w:tabs>
              <w:spacing w:after="0" w:line="240" w:lineRule="auto"/>
              <w:contextualSpacing/>
              <w:jc w:val="center"/>
              <w:rPr>
                <w:sz w:val="20"/>
                <w:szCs w:val="20"/>
              </w:rPr>
            </w:pPr>
            <w:r w:rsidRPr="00F6205B">
              <w:rPr>
                <w:sz w:val="20"/>
                <w:szCs w:val="20"/>
              </w:rPr>
              <w:t>1.0</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4A34A656" w14:textId="77777777" w:rsidR="00436707" w:rsidRPr="00F6205B" w:rsidRDefault="00436707" w:rsidP="0044249F">
            <w:pPr>
              <w:keepNext/>
              <w:keepLines/>
              <w:tabs>
                <w:tab w:val="decimal" w:pos="570"/>
              </w:tabs>
              <w:spacing w:after="0" w:line="240" w:lineRule="auto"/>
              <w:contextualSpacing/>
              <w:jc w:val="center"/>
              <w:rPr>
                <w:sz w:val="20"/>
                <w:szCs w:val="20"/>
              </w:rPr>
            </w:pPr>
            <w:r w:rsidRPr="00F6205B">
              <w:rPr>
                <w:sz w:val="20"/>
                <w:szCs w:val="20"/>
              </w:rPr>
              <w:t>- &lt;0.1</w:t>
            </w:r>
          </w:p>
        </w:tc>
        <w:tc>
          <w:tcPr>
            <w:tcW w:w="106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60DE15A5" w14:textId="77777777" w:rsidR="00436707" w:rsidRPr="00F6205B" w:rsidRDefault="00436707" w:rsidP="0044249F">
            <w:pPr>
              <w:keepNext/>
              <w:keepLines/>
              <w:tabs>
                <w:tab w:val="decimal" w:pos="402"/>
              </w:tabs>
              <w:spacing w:after="0" w:line="240" w:lineRule="auto"/>
              <w:contextualSpacing/>
              <w:jc w:val="center"/>
              <w:rPr>
                <w:sz w:val="20"/>
                <w:szCs w:val="20"/>
              </w:rPr>
            </w:pPr>
            <w:r w:rsidRPr="00F6205B">
              <w:rPr>
                <w:sz w:val="20"/>
                <w:szCs w:val="20"/>
              </w:rPr>
              <w:t>0.1</w:t>
            </w:r>
          </w:p>
        </w:tc>
      </w:tr>
      <w:tr w:rsidR="00436707" w:rsidRPr="00F6205B" w14:paraId="0AFACB52" w14:textId="77777777" w:rsidTr="00FD1DF2">
        <w:trPr>
          <w:trHeight w:val="288"/>
          <w:jc w:val="center"/>
        </w:trPr>
        <w:tc>
          <w:tcPr>
            <w:tcW w:w="2448" w:type="dxa"/>
            <w:tcBorders>
              <w:top w:val="single" w:sz="4" w:space="0" w:color="000000" w:themeColor="text1"/>
              <w:left w:val="single" w:sz="4" w:space="0" w:color="auto"/>
              <w:bottom w:val="single" w:sz="4" w:space="0" w:color="auto"/>
              <w:right w:val="single" w:sz="4" w:space="0" w:color="000000" w:themeColor="text1"/>
            </w:tcBorders>
            <w:vAlign w:val="center"/>
          </w:tcPr>
          <w:p w14:paraId="3CCD13F2" w14:textId="77777777" w:rsidR="00436707" w:rsidRPr="00F6205B" w:rsidRDefault="00436707" w:rsidP="0044249F">
            <w:pPr>
              <w:keepNext/>
              <w:keepLines/>
              <w:spacing w:after="0" w:line="240" w:lineRule="auto"/>
              <w:contextualSpacing/>
              <w:jc w:val="right"/>
              <w:rPr>
                <w:sz w:val="20"/>
                <w:szCs w:val="20"/>
              </w:rPr>
            </w:pPr>
            <w:r w:rsidRPr="00F6205B">
              <w:rPr>
                <w:sz w:val="20"/>
                <w:szCs w:val="20"/>
              </w:rPr>
              <w:t>Increase propane furnace AFUE</w:t>
            </w:r>
          </w:p>
        </w:tc>
        <w:tc>
          <w:tcPr>
            <w:tcW w:w="88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283079A" w14:textId="77777777" w:rsidR="00436707" w:rsidRPr="00F6205B" w:rsidRDefault="00436707" w:rsidP="0044249F">
            <w:pPr>
              <w:keepNext/>
              <w:keepLines/>
              <w:spacing w:after="0" w:line="240" w:lineRule="auto"/>
              <w:contextualSpacing/>
              <w:jc w:val="center"/>
              <w:rPr>
                <w:i/>
                <w:sz w:val="20"/>
                <w:szCs w:val="20"/>
              </w:rPr>
            </w:pPr>
            <w:r w:rsidRPr="00F6205B">
              <w:rPr>
                <w:i/>
                <w:sz w:val="20"/>
                <w:szCs w:val="20"/>
              </w:rPr>
              <w:t>2</w:t>
            </w:r>
          </w:p>
        </w:tc>
        <w:tc>
          <w:tcPr>
            <w:tcW w:w="106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7C76CE0" w14:textId="77777777" w:rsidR="00436707" w:rsidRPr="00F6205B" w:rsidRDefault="00436707" w:rsidP="0044249F">
            <w:pPr>
              <w:keepNext/>
              <w:keepLines/>
              <w:tabs>
                <w:tab w:val="decimal" w:pos="258"/>
              </w:tabs>
              <w:spacing w:after="0" w:line="240" w:lineRule="auto"/>
              <w:contextualSpacing/>
              <w:jc w:val="center"/>
              <w:rPr>
                <w:sz w:val="20"/>
                <w:szCs w:val="20"/>
              </w:rPr>
            </w:pPr>
            <w:r w:rsidRPr="00F6205B">
              <w:rPr>
                <w:sz w:val="20"/>
                <w:szCs w:val="20"/>
              </w:rPr>
              <w:t>&lt;0.1%</w:t>
            </w:r>
          </w:p>
        </w:tc>
        <w:tc>
          <w:tcPr>
            <w:tcW w:w="106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8A87D41" w14:textId="77777777" w:rsidR="00436707" w:rsidRPr="00F6205B" w:rsidRDefault="00436707" w:rsidP="0044249F">
            <w:pPr>
              <w:keepNext/>
              <w:keepLines/>
              <w:tabs>
                <w:tab w:val="decimal" w:pos="264"/>
              </w:tabs>
              <w:spacing w:after="0" w:line="240" w:lineRule="auto"/>
              <w:contextualSpacing/>
              <w:jc w:val="center"/>
              <w:rPr>
                <w:sz w:val="20"/>
                <w:szCs w:val="20"/>
              </w:rPr>
            </w:pPr>
            <w:r w:rsidRPr="00F6205B">
              <w:rPr>
                <w:sz w:val="20"/>
                <w:szCs w:val="20"/>
              </w:rPr>
              <w:t>--</w:t>
            </w:r>
          </w:p>
        </w:tc>
        <w:tc>
          <w:tcPr>
            <w:tcW w:w="106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2DA0313" w14:textId="77777777" w:rsidR="00436707" w:rsidRPr="00F6205B" w:rsidRDefault="00436707" w:rsidP="0044249F">
            <w:pPr>
              <w:keepNext/>
              <w:keepLines/>
              <w:tabs>
                <w:tab w:val="decimal" w:pos="366"/>
              </w:tabs>
              <w:spacing w:after="0" w:line="240" w:lineRule="auto"/>
              <w:contextualSpacing/>
              <w:jc w:val="center"/>
              <w:rPr>
                <w:sz w:val="20"/>
                <w:szCs w:val="20"/>
              </w:rPr>
            </w:pPr>
            <w:r w:rsidRPr="00F6205B">
              <w:rPr>
                <w:sz w:val="20"/>
                <w:szCs w:val="20"/>
              </w:rPr>
              <w:t>--</w:t>
            </w:r>
          </w:p>
        </w:tc>
        <w:tc>
          <w:tcPr>
            <w:tcW w:w="106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0B4CF4A" w14:textId="77777777" w:rsidR="00436707" w:rsidRPr="00F6205B" w:rsidRDefault="00436707" w:rsidP="0044249F">
            <w:pPr>
              <w:keepNext/>
              <w:keepLines/>
              <w:tabs>
                <w:tab w:val="decimal" w:pos="198"/>
              </w:tabs>
              <w:spacing w:after="0" w:line="240" w:lineRule="auto"/>
              <w:contextualSpacing/>
              <w:jc w:val="center"/>
              <w:rPr>
                <w:sz w:val="20"/>
                <w:szCs w:val="20"/>
              </w:rPr>
            </w:pPr>
            <w:r w:rsidRPr="00F6205B">
              <w:rPr>
                <w:sz w:val="20"/>
                <w:szCs w:val="20"/>
              </w:rPr>
              <w:t>0.4</w:t>
            </w:r>
          </w:p>
        </w:tc>
        <w:tc>
          <w:tcPr>
            <w:tcW w:w="106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3810621" w14:textId="77777777" w:rsidR="00436707" w:rsidRPr="00F6205B" w:rsidRDefault="00436707" w:rsidP="0044249F">
            <w:pPr>
              <w:keepNext/>
              <w:keepLines/>
              <w:tabs>
                <w:tab w:val="decimal" w:pos="570"/>
              </w:tabs>
              <w:spacing w:after="0" w:line="240" w:lineRule="auto"/>
              <w:contextualSpacing/>
              <w:jc w:val="center"/>
              <w:rPr>
                <w:sz w:val="20"/>
                <w:szCs w:val="20"/>
              </w:rPr>
            </w:pPr>
            <w:r w:rsidRPr="00F6205B">
              <w:rPr>
                <w:sz w:val="20"/>
                <w:szCs w:val="20"/>
              </w:rPr>
              <w:t>0.35</w:t>
            </w:r>
          </w:p>
        </w:tc>
        <w:tc>
          <w:tcPr>
            <w:tcW w:w="1068" w:type="dxa"/>
            <w:tcBorders>
              <w:top w:val="single" w:sz="4" w:space="0" w:color="000000" w:themeColor="text1"/>
              <w:left w:val="single" w:sz="4" w:space="0" w:color="000000" w:themeColor="text1"/>
              <w:bottom w:val="single" w:sz="4" w:space="0" w:color="auto"/>
              <w:right w:val="single" w:sz="4" w:space="0" w:color="auto"/>
            </w:tcBorders>
            <w:vAlign w:val="center"/>
          </w:tcPr>
          <w:p w14:paraId="07D4D4F7" w14:textId="77777777" w:rsidR="00436707" w:rsidRPr="00F6205B" w:rsidRDefault="00436707" w:rsidP="0044249F">
            <w:pPr>
              <w:keepNext/>
              <w:keepLines/>
              <w:tabs>
                <w:tab w:val="decimal" w:pos="402"/>
              </w:tabs>
              <w:spacing w:after="0" w:line="240" w:lineRule="auto"/>
              <w:contextualSpacing/>
              <w:jc w:val="center"/>
              <w:rPr>
                <w:sz w:val="20"/>
                <w:szCs w:val="20"/>
              </w:rPr>
            </w:pPr>
            <w:r w:rsidRPr="00F6205B">
              <w:rPr>
                <w:sz w:val="20"/>
                <w:szCs w:val="20"/>
              </w:rPr>
              <w:t>&lt;0.1</w:t>
            </w:r>
          </w:p>
        </w:tc>
      </w:tr>
    </w:tbl>
    <w:p w14:paraId="5256B61F" w14:textId="77777777" w:rsidR="00436707" w:rsidRPr="00F6205B" w:rsidRDefault="00436707" w:rsidP="00436707">
      <w:pPr>
        <w:keepNext/>
        <w:keepLines/>
        <w:spacing w:after="0" w:line="240" w:lineRule="auto"/>
        <w:ind w:left="-180"/>
        <w:contextualSpacing/>
        <w:rPr>
          <w:sz w:val="18"/>
          <w:szCs w:val="18"/>
        </w:rPr>
      </w:pPr>
      <w:r w:rsidRPr="00F6205B">
        <w:rPr>
          <w:sz w:val="18"/>
          <w:szCs w:val="18"/>
          <w:vertAlign w:val="superscript"/>
        </w:rPr>
        <w:t>i</w:t>
      </w:r>
      <w:r w:rsidRPr="00F6205B">
        <w:rPr>
          <w:sz w:val="18"/>
          <w:szCs w:val="18"/>
        </w:rPr>
        <w:t xml:space="preserve"> Percent savings over baseline consumption in MMBtus.</w:t>
      </w:r>
    </w:p>
    <w:p w14:paraId="639598FA" w14:textId="77777777" w:rsidR="00436707" w:rsidRPr="00F6205B" w:rsidRDefault="00436707" w:rsidP="00436707">
      <w:pPr>
        <w:keepNext/>
        <w:keepLines/>
        <w:spacing w:after="0" w:line="240" w:lineRule="auto"/>
        <w:ind w:left="-180"/>
        <w:contextualSpacing/>
        <w:rPr>
          <w:sz w:val="18"/>
          <w:szCs w:val="18"/>
        </w:rPr>
      </w:pPr>
      <w:r w:rsidRPr="00F6205B">
        <w:rPr>
          <w:sz w:val="18"/>
          <w:szCs w:val="18"/>
          <w:vertAlign w:val="superscript"/>
        </w:rPr>
        <w:t>ii</w:t>
      </w:r>
      <w:r w:rsidRPr="00F6205B">
        <w:rPr>
          <w:sz w:val="18"/>
          <w:szCs w:val="18"/>
        </w:rPr>
        <w:t xml:space="preserve"> In millions</w:t>
      </w:r>
    </w:p>
    <w:p w14:paraId="7D1AA73A" w14:textId="77777777" w:rsidR="00436707" w:rsidRPr="00F6205B" w:rsidRDefault="00436707" w:rsidP="00436707">
      <w:pPr>
        <w:keepNext/>
        <w:keepLines/>
        <w:spacing w:after="0" w:line="240" w:lineRule="auto"/>
        <w:contextualSpacing/>
        <w:rPr>
          <w:sz w:val="20"/>
        </w:rPr>
      </w:pPr>
    </w:p>
    <w:p w14:paraId="028E584E" w14:textId="77777777" w:rsidR="00436707" w:rsidRPr="00F6205B" w:rsidRDefault="00436707" w:rsidP="003A0BAD">
      <w:pPr>
        <w:pStyle w:val="Heading4"/>
        <w:keepNext/>
        <w:numPr>
          <w:ilvl w:val="0"/>
          <w:numId w:val="0"/>
        </w:numPr>
        <w:jc w:val="both"/>
      </w:pPr>
      <w:r w:rsidRPr="00F6205B">
        <w:t>Water Heating</w:t>
      </w:r>
    </w:p>
    <w:p w14:paraId="29DE621B" w14:textId="445DC3E8" w:rsidR="00436707" w:rsidRPr="00F6205B" w:rsidRDefault="00436707" w:rsidP="00436707">
      <w:pPr>
        <w:keepNext/>
        <w:keepLines/>
      </w:pPr>
      <w:r w:rsidRPr="00F6205B">
        <w:t>Technical potential savings attributable to water heater upgrades are comparatively modest. No single domestic hot water system upgrade exceeds savings of 1% MMBtu (</w:t>
      </w:r>
      <w:r w:rsidR="009D501C">
        <w:fldChar w:fldCharType="begin"/>
      </w:r>
      <w:r w:rsidR="009D501C">
        <w:instrText xml:space="preserve"> REF _Ref439697718 \h </w:instrText>
      </w:r>
      <w:r w:rsidR="009D501C">
        <w:fldChar w:fldCharType="separate"/>
      </w:r>
      <w:r w:rsidR="00FA26A9" w:rsidRPr="00F6205B">
        <w:t xml:space="preserve">Table </w:t>
      </w:r>
      <w:r w:rsidR="00FA26A9">
        <w:rPr>
          <w:noProof/>
        </w:rPr>
        <w:t>19</w:t>
      </w:r>
      <w:r w:rsidR="009D501C">
        <w:fldChar w:fldCharType="end"/>
      </w:r>
      <w:r w:rsidRPr="00F6205B">
        <w:t>). Nonetheless, technical potential savings of 11.2 million gallons of oil are available by replacing tankless coil water heating with an indirect (or integrated) system off of the boiler.</w:t>
      </w:r>
    </w:p>
    <w:p w14:paraId="5366815F" w14:textId="77777777" w:rsidR="00436707" w:rsidRPr="00F6205B" w:rsidRDefault="00436707" w:rsidP="00436707">
      <w:pPr>
        <w:keepNext/>
        <w:keepLines/>
      </w:pPr>
      <w:r w:rsidRPr="00F6205B">
        <w:br w:type="page"/>
      </w:r>
    </w:p>
    <w:p w14:paraId="1E7E0902" w14:textId="01116526" w:rsidR="00436707" w:rsidRPr="00F6205B" w:rsidRDefault="00436707" w:rsidP="004F23CF">
      <w:pPr>
        <w:pStyle w:val="Caption"/>
      </w:pPr>
      <w:bookmarkStart w:id="218" w:name="_Ref366833848"/>
      <w:bookmarkStart w:id="219" w:name="_Ref439697718"/>
      <w:bookmarkStart w:id="220" w:name="_Toc373324127"/>
      <w:bookmarkStart w:id="221" w:name="_Toc391887355"/>
      <w:bookmarkStart w:id="222" w:name="_Toc439931850"/>
      <w:r w:rsidRPr="00F6205B">
        <w:lastRenderedPageBreak/>
        <w:t>Table</w:t>
      </w:r>
      <w:bookmarkEnd w:id="218"/>
      <w:r w:rsidR="004F23CF" w:rsidRPr="00F6205B">
        <w:t xml:space="preserve"> </w:t>
      </w:r>
      <w:fldSimple w:instr=" SEQ Table \* ARABIC ">
        <w:r w:rsidR="00FA26A9">
          <w:rPr>
            <w:noProof/>
          </w:rPr>
          <w:t>19</w:t>
        </w:r>
      </w:fldSimple>
      <w:bookmarkEnd w:id="219"/>
      <w:r w:rsidRPr="00F6205B">
        <w:t>: Water Heating Savings Potential—First-Year</w:t>
      </w:r>
      <w:r w:rsidRPr="00F6205B">
        <w:rPr>
          <w:vertAlign w:val="superscript"/>
        </w:rPr>
        <w:t>i</w:t>
      </w:r>
      <w:bookmarkEnd w:id="220"/>
      <w:bookmarkEnd w:id="221"/>
      <w:bookmarkEnd w:id="222"/>
    </w:p>
    <w:p w14:paraId="69C37B10" w14:textId="77777777" w:rsidR="00346A82" w:rsidRPr="00F6205B" w:rsidRDefault="00346A82" w:rsidP="00346A82">
      <w:pPr>
        <w:pStyle w:val="Caption"/>
        <w:spacing w:before="0" w:after="120"/>
        <w:rPr>
          <w:b w:val="0"/>
          <w:bCs w:val="0"/>
          <w:sz w:val="18"/>
        </w:rPr>
      </w:pPr>
      <w:r w:rsidRPr="00F6205B">
        <w:rPr>
          <w:b w:val="0"/>
          <w:bCs w:val="0"/>
          <w:sz w:val="18"/>
        </w:rPr>
        <w:t>Base: all single-family homes (population-weighted)</w:t>
      </w:r>
    </w:p>
    <w:tbl>
      <w:tblPr>
        <w:tblW w:w="9858"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562"/>
        <w:gridCol w:w="888"/>
        <w:gridCol w:w="1068"/>
        <w:gridCol w:w="1068"/>
        <w:gridCol w:w="1068"/>
        <w:gridCol w:w="1068"/>
        <w:gridCol w:w="1068"/>
        <w:gridCol w:w="1068"/>
      </w:tblGrid>
      <w:tr w:rsidR="00436707" w:rsidRPr="00F6205B" w14:paraId="00B20388" w14:textId="77777777" w:rsidTr="003A0BAD">
        <w:trPr>
          <w:trHeight w:val="288"/>
          <w:jc w:val="center"/>
        </w:trPr>
        <w:tc>
          <w:tcPr>
            <w:tcW w:w="2562" w:type="dxa"/>
            <w:tcBorders>
              <w:top w:val="single" w:sz="4" w:space="0" w:color="auto"/>
              <w:left w:val="single" w:sz="4" w:space="0" w:color="auto"/>
              <w:bottom w:val="single" w:sz="4" w:space="0" w:color="auto"/>
              <w:right w:val="single" w:sz="4" w:space="0" w:color="000000" w:themeColor="text1"/>
            </w:tcBorders>
            <w:shd w:val="clear" w:color="auto" w:fill="0B4D2C" w:themeFill="background2" w:themeFillShade="BF"/>
            <w:vAlign w:val="center"/>
          </w:tcPr>
          <w:p w14:paraId="13059AF1" w14:textId="77777777" w:rsidR="00436707" w:rsidRPr="00F6205B" w:rsidRDefault="00436707" w:rsidP="0044249F">
            <w:pPr>
              <w:keepNext/>
              <w:keepLines/>
              <w:spacing w:after="0" w:line="240" w:lineRule="auto"/>
              <w:contextualSpacing/>
              <w:rPr>
                <w:b/>
                <w:sz w:val="20"/>
                <w:szCs w:val="20"/>
              </w:rPr>
            </w:pPr>
          </w:p>
        </w:tc>
        <w:tc>
          <w:tcPr>
            <w:tcW w:w="888" w:type="dxa"/>
            <w:tcBorders>
              <w:top w:val="single" w:sz="4" w:space="0" w:color="auto"/>
              <w:left w:val="single" w:sz="4" w:space="0" w:color="000000" w:themeColor="text1"/>
              <w:bottom w:val="single" w:sz="4" w:space="0" w:color="auto"/>
              <w:right w:val="single" w:sz="4" w:space="0" w:color="000000" w:themeColor="text1"/>
            </w:tcBorders>
            <w:shd w:val="clear" w:color="auto" w:fill="0B4D2C" w:themeFill="background2" w:themeFillShade="BF"/>
            <w:vAlign w:val="center"/>
          </w:tcPr>
          <w:p w14:paraId="5915D6F5" w14:textId="6CA86DBD" w:rsidR="00436707" w:rsidRPr="00F6205B" w:rsidRDefault="003A0BAD" w:rsidP="0044249F">
            <w:pPr>
              <w:keepNext/>
              <w:keepLines/>
              <w:spacing w:after="0" w:line="240" w:lineRule="auto"/>
              <w:contextualSpacing/>
              <w:jc w:val="center"/>
              <w:rPr>
                <w:b/>
                <w:i/>
                <w:sz w:val="20"/>
                <w:szCs w:val="20"/>
              </w:rPr>
            </w:pPr>
            <w:r w:rsidRPr="00F6205B">
              <w:rPr>
                <w:b/>
                <w:i/>
                <w:sz w:val="20"/>
                <w:szCs w:val="20"/>
              </w:rPr>
              <w:t>N</w:t>
            </w:r>
          </w:p>
        </w:tc>
        <w:tc>
          <w:tcPr>
            <w:tcW w:w="1068" w:type="dxa"/>
            <w:tcBorders>
              <w:top w:val="single" w:sz="4" w:space="0" w:color="auto"/>
              <w:left w:val="single" w:sz="4" w:space="0" w:color="000000" w:themeColor="text1"/>
              <w:bottom w:val="single" w:sz="4" w:space="0" w:color="auto"/>
              <w:right w:val="single" w:sz="4" w:space="0" w:color="000000" w:themeColor="text1"/>
            </w:tcBorders>
            <w:shd w:val="clear" w:color="auto" w:fill="0B4D2C" w:themeFill="background2" w:themeFillShade="BF"/>
            <w:vAlign w:val="center"/>
          </w:tcPr>
          <w:p w14:paraId="35E452D1" w14:textId="77777777" w:rsidR="00436707" w:rsidRPr="00F6205B" w:rsidRDefault="00436707" w:rsidP="0044249F">
            <w:pPr>
              <w:keepNext/>
              <w:keepLines/>
              <w:spacing w:after="0" w:line="240" w:lineRule="auto"/>
              <w:contextualSpacing/>
              <w:jc w:val="center"/>
              <w:rPr>
                <w:b/>
                <w:sz w:val="20"/>
                <w:szCs w:val="20"/>
              </w:rPr>
            </w:pPr>
            <w:r w:rsidRPr="00F6205B">
              <w:rPr>
                <w:b/>
                <w:sz w:val="20"/>
                <w:szCs w:val="20"/>
              </w:rPr>
              <w:t>Percent Savings</w:t>
            </w:r>
            <w:r w:rsidRPr="00F6205B">
              <w:rPr>
                <w:b/>
                <w:sz w:val="20"/>
                <w:szCs w:val="20"/>
                <w:vertAlign w:val="superscript"/>
              </w:rPr>
              <w:t>ii</w:t>
            </w:r>
          </w:p>
        </w:tc>
        <w:tc>
          <w:tcPr>
            <w:tcW w:w="1068" w:type="dxa"/>
            <w:tcBorders>
              <w:top w:val="single" w:sz="4" w:space="0" w:color="auto"/>
              <w:left w:val="single" w:sz="4" w:space="0" w:color="000000" w:themeColor="text1"/>
              <w:bottom w:val="single" w:sz="4" w:space="0" w:color="auto"/>
              <w:right w:val="single" w:sz="4" w:space="0" w:color="000000" w:themeColor="text1"/>
            </w:tcBorders>
            <w:shd w:val="clear" w:color="auto" w:fill="0B4D2C" w:themeFill="background2" w:themeFillShade="BF"/>
            <w:vAlign w:val="center"/>
            <w:hideMark/>
          </w:tcPr>
          <w:p w14:paraId="1349DF4A" w14:textId="4D3585CE" w:rsidR="00436707" w:rsidRPr="00F6205B" w:rsidRDefault="003A0BAD" w:rsidP="0044249F">
            <w:pPr>
              <w:keepNext/>
              <w:keepLines/>
              <w:spacing w:after="0" w:line="240" w:lineRule="auto"/>
              <w:contextualSpacing/>
              <w:jc w:val="center"/>
              <w:rPr>
                <w:b/>
                <w:sz w:val="20"/>
                <w:szCs w:val="20"/>
              </w:rPr>
            </w:pPr>
            <w:r w:rsidRPr="00F6205B">
              <w:rPr>
                <w:b/>
                <w:sz w:val="20"/>
                <w:szCs w:val="20"/>
              </w:rPr>
              <w:t>Fuel Oil (gal</w:t>
            </w:r>
            <w:r w:rsidR="00436707" w:rsidRPr="00F6205B">
              <w:rPr>
                <w:b/>
                <w:sz w:val="20"/>
                <w:szCs w:val="20"/>
              </w:rPr>
              <w:t>)</w:t>
            </w:r>
            <w:r w:rsidR="00436707" w:rsidRPr="00F6205B">
              <w:rPr>
                <w:b/>
                <w:sz w:val="20"/>
                <w:vertAlign w:val="superscript"/>
              </w:rPr>
              <w:t>iii</w:t>
            </w:r>
          </w:p>
        </w:tc>
        <w:tc>
          <w:tcPr>
            <w:tcW w:w="1068" w:type="dxa"/>
            <w:tcBorders>
              <w:top w:val="single" w:sz="4" w:space="0" w:color="auto"/>
              <w:left w:val="single" w:sz="4" w:space="0" w:color="000000" w:themeColor="text1"/>
              <w:bottom w:val="single" w:sz="4" w:space="0" w:color="auto"/>
              <w:right w:val="single" w:sz="4" w:space="0" w:color="000000" w:themeColor="text1"/>
            </w:tcBorders>
            <w:shd w:val="clear" w:color="auto" w:fill="0B4D2C" w:themeFill="background2" w:themeFillShade="BF"/>
            <w:vAlign w:val="center"/>
            <w:hideMark/>
          </w:tcPr>
          <w:p w14:paraId="1407D8AD" w14:textId="77777777" w:rsidR="00436707" w:rsidRPr="00F6205B" w:rsidRDefault="00436707" w:rsidP="0044249F">
            <w:pPr>
              <w:keepNext/>
              <w:keepLines/>
              <w:spacing w:after="0" w:line="240" w:lineRule="auto"/>
              <w:contextualSpacing/>
              <w:jc w:val="center"/>
              <w:rPr>
                <w:b/>
                <w:sz w:val="20"/>
                <w:szCs w:val="20"/>
              </w:rPr>
            </w:pPr>
            <w:r w:rsidRPr="00F6205B">
              <w:rPr>
                <w:b/>
                <w:sz w:val="20"/>
                <w:szCs w:val="20"/>
              </w:rPr>
              <w:t>Nat. Gas (ccf)</w:t>
            </w:r>
            <w:r w:rsidRPr="00F6205B">
              <w:rPr>
                <w:b/>
                <w:sz w:val="20"/>
                <w:vertAlign w:val="superscript"/>
              </w:rPr>
              <w:t>iii</w:t>
            </w:r>
          </w:p>
        </w:tc>
        <w:tc>
          <w:tcPr>
            <w:tcW w:w="1068" w:type="dxa"/>
            <w:tcBorders>
              <w:top w:val="single" w:sz="4" w:space="0" w:color="auto"/>
              <w:left w:val="single" w:sz="4" w:space="0" w:color="000000" w:themeColor="text1"/>
              <w:bottom w:val="single" w:sz="4" w:space="0" w:color="auto"/>
              <w:right w:val="single" w:sz="4" w:space="0" w:color="000000" w:themeColor="text1"/>
            </w:tcBorders>
            <w:shd w:val="clear" w:color="auto" w:fill="0B4D2C" w:themeFill="background2" w:themeFillShade="BF"/>
            <w:vAlign w:val="center"/>
            <w:hideMark/>
          </w:tcPr>
          <w:p w14:paraId="0C102092" w14:textId="19C5A6EC" w:rsidR="00436707" w:rsidRPr="00F6205B" w:rsidRDefault="003A0BAD" w:rsidP="0044249F">
            <w:pPr>
              <w:keepNext/>
              <w:keepLines/>
              <w:spacing w:after="0" w:line="240" w:lineRule="auto"/>
              <w:contextualSpacing/>
              <w:jc w:val="center"/>
              <w:rPr>
                <w:b/>
                <w:sz w:val="20"/>
                <w:szCs w:val="20"/>
              </w:rPr>
            </w:pPr>
            <w:r w:rsidRPr="00F6205B">
              <w:rPr>
                <w:b/>
                <w:sz w:val="20"/>
                <w:szCs w:val="20"/>
              </w:rPr>
              <w:t>Propane (gal</w:t>
            </w:r>
            <w:r w:rsidR="00436707" w:rsidRPr="00F6205B">
              <w:rPr>
                <w:b/>
                <w:sz w:val="20"/>
                <w:szCs w:val="20"/>
              </w:rPr>
              <w:t>)</w:t>
            </w:r>
            <w:r w:rsidR="00436707" w:rsidRPr="00F6205B">
              <w:rPr>
                <w:b/>
                <w:sz w:val="20"/>
                <w:vertAlign w:val="superscript"/>
              </w:rPr>
              <w:t>iii</w:t>
            </w:r>
          </w:p>
        </w:tc>
        <w:tc>
          <w:tcPr>
            <w:tcW w:w="1068" w:type="dxa"/>
            <w:tcBorders>
              <w:top w:val="single" w:sz="4" w:space="0" w:color="auto"/>
              <w:left w:val="single" w:sz="4" w:space="0" w:color="000000" w:themeColor="text1"/>
              <w:bottom w:val="single" w:sz="4" w:space="0" w:color="auto"/>
              <w:right w:val="single" w:sz="4" w:space="0" w:color="000000" w:themeColor="text1"/>
            </w:tcBorders>
            <w:shd w:val="clear" w:color="auto" w:fill="0B4D2C" w:themeFill="background2" w:themeFillShade="BF"/>
            <w:vAlign w:val="center"/>
          </w:tcPr>
          <w:p w14:paraId="61BE2B99" w14:textId="77777777" w:rsidR="00436707" w:rsidRPr="00F6205B" w:rsidRDefault="00436707" w:rsidP="0044249F">
            <w:pPr>
              <w:keepNext/>
              <w:keepLines/>
              <w:spacing w:after="0" w:line="240" w:lineRule="auto"/>
              <w:contextualSpacing/>
              <w:jc w:val="center"/>
              <w:rPr>
                <w:b/>
                <w:sz w:val="20"/>
                <w:szCs w:val="20"/>
              </w:rPr>
            </w:pPr>
            <w:r w:rsidRPr="00F6205B">
              <w:rPr>
                <w:b/>
                <w:sz w:val="20"/>
                <w:szCs w:val="20"/>
              </w:rPr>
              <w:t>Electric (kWh)</w:t>
            </w:r>
            <w:r w:rsidRPr="00F6205B">
              <w:rPr>
                <w:b/>
                <w:sz w:val="20"/>
                <w:vertAlign w:val="superscript"/>
              </w:rPr>
              <w:t>iii</w:t>
            </w:r>
          </w:p>
        </w:tc>
        <w:tc>
          <w:tcPr>
            <w:tcW w:w="1068" w:type="dxa"/>
            <w:tcBorders>
              <w:top w:val="single" w:sz="4" w:space="0" w:color="auto"/>
              <w:left w:val="single" w:sz="4" w:space="0" w:color="000000" w:themeColor="text1"/>
              <w:bottom w:val="single" w:sz="4" w:space="0" w:color="auto"/>
              <w:right w:val="single" w:sz="4" w:space="0" w:color="auto"/>
            </w:tcBorders>
            <w:shd w:val="clear" w:color="auto" w:fill="0B4D2C" w:themeFill="background2" w:themeFillShade="BF"/>
            <w:vAlign w:val="center"/>
          </w:tcPr>
          <w:p w14:paraId="579B6D03" w14:textId="77777777" w:rsidR="00436707" w:rsidRPr="00F6205B" w:rsidRDefault="00436707" w:rsidP="0044249F">
            <w:pPr>
              <w:keepNext/>
              <w:keepLines/>
              <w:spacing w:after="0" w:line="240" w:lineRule="auto"/>
              <w:contextualSpacing/>
              <w:jc w:val="center"/>
              <w:rPr>
                <w:b/>
                <w:sz w:val="20"/>
                <w:szCs w:val="20"/>
              </w:rPr>
            </w:pPr>
            <w:r w:rsidRPr="00F6205B">
              <w:rPr>
                <w:b/>
                <w:sz w:val="20"/>
                <w:szCs w:val="20"/>
              </w:rPr>
              <w:t>Total MMBtu</w:t>
            </w:r>
            <w:r w:rsidRPr="00F6205B">
              <w:rPr>
                <w:b/>
                <w:sz w:val="20"/>
                <w:vertAlign w:val="superscript"/>
              </w:rPr>
              <w:t>iii</w:t>
            </w:r>
          </w:p>
        </w:tc>
      </w:tr>
      <w:tr w:rsidR="003A0BAD" w:rsidRPr="00F6205B" w14:paraId="490CAB32" w14:textId="77777777" w:rsidTr="003A0BAD">
        <w:trPr>
          <w:trHeight w:val="288"/>
          <w:jc w:val="center"/>
        </w:trPr>
        <w:tc>
          <w:tcPr>
            <w:tcW w:w="2562" w:type="dxa"/>
            <w:tcBorders>
              <w:top w:val="single" w:sz="4" w:space="0" w:color="auto"/>
              <w:left w:val="single" w:sz="4" w:space="0" w:color="auto"/>
              <w:bottom w:val="single" w:sz="4" w:space="0" w:color="auto"/>
              <w:right w:val="single" w:sz="4" w:space="0" w:color="000000" w:themeColor="text1"/>
            </w:tcBorders>
            <w:shd w:val="clear" w:color="auto" w:fill="404040" w:themeFill="text1" w:themeFillTint="BF"/>
            <w:vAlign w:val="center"/>
          </w:tcPr>
          <w:p w14:paraId="483E1A0D" w14:textId="77777777" w:rsidR="00436707" w:rsidRPr="00F6205B" w:rsidRDefault="00436707" w:rsidP="0044249F">
            <w:pPr>
              <w:keepNext/>
              <w:keepLines/>
              <w:spacing w:after="0" w:line="240" w:lineRule="auto"/>
              <w:contextualSpacing/>
              <w:jc w:val="right"/>
              <w:rPr>
                <w:color w:val="FFFFFF" w:themeColor="background1"/>
                <w:sz w:val="20"/>
                <w:szCs w:val="20"/>
              </w:rPr>
            </w:pPr>
            <w:r w:rsidRPr="00F6205B">
              <w:rPr>
                <w:color w:val="FFFFFF" w:themeColor="background1"/>
                <w:sz w:val="20"/>
                <w:szCs w:val="20"/>
              </w:rPr>
              <w:t>Baseline consumption</w:t>
            </w:r>
          </w:p>
        </w:tc>
        <w:tc>
          <w:tcPr>
            <w:tcW w:w="888" w:type="dxa"/>
            <w:tcBorders>
              <w:top w:val="single" w:sz="4" w:space="0" w:color="auto"/>
              <w:left w:val="single" w:sz="4" w:space="0" w:color="000000" w:themeColor="text1"/>
              <w:bottom w:val="single" w:sz="4" w:space="0" w:color="auto"/>
              <w:right w:val="single" w:sz="4" w:space="0" w:color="000000" w:themeColor="text1"/>
            </w:tcBorders>
            <w:shd w:val="clear" w:color="auto" w:fill="404040" w:themeFill="text1" w:themeFillTint="BF"/>
            <w:vAlign w:val="center"/>
          </w:tcPr>
          <w:p w14:paraId="117A2D8F" w14:textId="77777777" w:rsidR="00436707" w:rsidRPr="00F6205B" w:rsidRDefault="00436707" w:rsidP="0044249F">
            <w:pPr>
              <w:keepNext/>
              <w:keepLines/>
              <w:spacing w:after="0" w:line="240" w:lineRule="auto"/>
              <w:contextualSpacing/>
              <w:jc w:val="center"/>
              <w:rPr>
                <w:color w:val="FFFFFF" w:themeColor="background1"/>
                <w:sz w:val="20"/>
                <w:szCs w:val="20"/>
              </w:rPr>
            </w:pPr>
            <w:r w:rsidRPr="00F6205B">
              <w:rPr>
                <w:color w:val="FFFFFF" w:themeColor="background1"/>
                <w:sz w:val="20"/>
                <w:szCs w:val="20"/>
              </w:rPr>
              <w:t>180</w:t>
            </w:r>
          </w:p>
        </w:tc>
        <w:tc>
          <w:tcPr>
            <w:tcW w:w="1068" w:type="dxa"/>
            <w:tcBorders>
              <w:top w:val="single" w:sz="4" w:space="0" w:color="auto"/>
              <w:left w:val="single" w:sz="4" w:space="0" w:color="000000" w:themeColor="text1"/>
              <w:bottom w:val="single" w:sz="4" w:space="0" w:color="auto"/>
              <w:right w:val="single" w:sz="4" w:space="0" w:color="000000" w:themeColor="text1"/>
            </w:tcBorders>
            <w:shd w:val="clear" w:color="auto" w:fill="404040" w:themeFill="text1" w:themeFillTint="BF"/>
            <w:vAlign w:val="center"/>
          </w:tcPr>
          <w:p w14:paraId="173274CF" w14:textId="77777777" w:rsidR="00436707" w:rsidRPr="00F6205B" w:rsidRDefault="00436707" w:rsidP="0044249F">
            <w:pPr>
              <w:keepNext/>
              <w:keepLines/>
              <w:spacing w:after="0" w:line="240" w:lineRule="auto"/>
              <w:contextualSpacing/>
              <w:jc w:val="center"/>
              <w:rPr>
                <w:color w:val="FFFFFF" w:themeColor="background1"/>
                <w:sz w:val="20"/>
                <w:szCs w:val="20"/>
              </w:rPr>
            </w:pPr>
            <w:r w:rsidRPr="00F6205B">
              <w:rPr>
                <w:color w:val="FFFFFF" w:themeColor="background1"/>
                <w:sz w:val="20"/>
                <w:szCs w:val="20"/>
              </w:rPr>
              <w:t>-</w:t>
            </w:r>
          </w:p>
        </w:tc>
        <w:tc>
          <w:tcPr>
            <w:tcW w:w="1068" w:type="dxa"/>
            <w:tcBorders>
              <w:top w:val="single" w:sz="4" w:space="0" w:color="auto"/>
              <w:left w:val="single" w:sz="4" w:space="0" w:color="000000" w:themeColor="text1"/>
              <w:bottom w:val="single" w:sz="4" w:space="0" w:color="auto"/>
              <w:right w:val="single" w:sz="4" w:space="0" w:color="000000" w:themeColor="text1"/>
            </w:tcBorders>
            <w:shd w:val="clear" w:color="auto" w:fill="404040" w:themeFill="text1" w:themeFillTint="BF"/>
            <w:vAlign w:val="center"/>
          </w:tcPr>
          <w:p w14:paraId="05B7E2F9" w14:textId="77777777" w:rsidR="00436707" w:rsidRPr="00F6205B" w:rsidRDefault="00436707" w:rsidP="0044249F">
            <w:pPr>
              <w:keepNext/>
              <w:keepLines/>
              <w:spacing w:after="0" w:line="240" w:lineRule="auto"/>
              <w:contextualSpacing/>
              <w:jc w:val="center"/>
              <w:rPr>
                <w:color w:val="FFFFFF" w:themeColor="background1"/>
                <w:sz w:val="20"/>
                <w:szCs w:val="20"/>
              </w:rPr>
            </w:pPr>
            <w:r w:rsidRPr="00F6205B">
              <w:rPr>
                <w:color w:val="FFFFFF" w:themeColor="background1"/>
                <w:sz w:val="20"/>
                <w:szCs w:val="20"/>
              </w:rPr>
              <w:t>531.0</w:t>
            </w:r>
          </w:p>
        </w:tc>
        <w:tc>
          <w:tcPr>
            <w:tcW w:w="1068" w:type="dxa"/>
            <w:tcBorders>
              <w:top w:val="single" w:sz="4" w:space="0" w:color="auto"/>
              <w:left w:val="single" w:sz="4" w:space="0" w:color="000000" w:themeColor="text1"/>
              <w:bottom w:val="single" w:sz="4" w:space="0" w:color="auto"/>
              <w:right w:val="single" w:sz="4" w:space="0" w:color="000000" w:themeColor="text1"/>
            </w:tcBorders>
            <w:shd w:val="clear" w:color="auto" w:fill="404040" w:themeFill="text1" w:themeFillTint="BF"/>
            <w:vAlign w:val="center"/>
          </w:tcPr>
          <w:p w14:paraId="7A8B1FA7" w14:textId="77777777" w:rsidR="00436707" w:rsidRPr="00F6205B" w:rsidRDefault="00436707" w:rsidP="0044249F">
            <w:pPr>
              <w:keepNext/>
              <w:keepLines/>
              <w:spacing w:after="0" w:line="240" w:lineRule="auto"/>
              <w:contextualSpacing/>
              <w:jc w:val="center"/>
              <w:rPr>
                <w:color w:val="FFFFFF" w:themeColor="background1"/>
                <w:sz w:val="20"/>
                <w:szCs w:val="20"/>
              </w:rPr>
            </w:pPr>
            <w:r w:rsidRPr="00F6205B">
              <w:rPr>
                <w:color w:val="FFFFFF" w:themeColor="background1"/>
                <w:sz w:val="20"/>
                <w:szCs w:val="20"/>
              </w:rPr>
              <w:t>328.9</w:t>
            </w:r>
          </w:p>
        </w:tc>
        <w:tc>
          <w:tcPr>
            <w:tcW w:w="1068" w:type="dxa"/>
            <w:tcBorders>
              <w:top w:val="single" w:sz="4" w:space="0" w:color="auto"/>
              <w:left w:val="single" w:sz="4" w:space="0" w:color="000000" w:themeColor="text1"/>
              <w:bottom w:val="single" w:sz="4" w:space="0" w:color="auto"/>
              <w:right w:val="single" w:sz="4" w:space="0" w:color="000000" w:themeColor="text1"/>
            </w:tcBorders>
            <w:shd w:val="clear" w:color="auto" w:fill="404040" w:themeFill="text1" w:themeFillTint="BF"/>
            <w:vAlign w:val="center"/>
          </w:tcPr>
          <w:p w14:paraId="464A4886" w14:textId="77777777" w:rsidR="00436707" w:rsidRPr="00F6205B" w:rsidRDefault="00436707" w:rsidP="0044249F">
            <w:pPr>
              <w:keepNext/>
              <w:keepLines/>
              <w:spacing w:after="0" w:line="240" w:lineRule="auto"/>
              <w:contextualSpacing/>
              <w:jc w:val="center"/>
              <w:rPr>
                <w:color w:val="FFFFFF" w:themeColor="background1"/>
                <w:sz w:val="20"/>
                <w:szCs w:val="20"/>
              </w:rPr>
            </w:pPr>
            <w:r w:rsidRPr="00F6205B">
              <w:rPr>
                <w:color w:val="FFFFFF" w:themeColor="background1"/>
                <w:sz w:val="20"/>
                <w:szCs w:val="20"/>
              </w:rPr>
              <w:t>34.7</w:t>
            </w:r>
          </w:p>
        </w:tc>
        <w:tc>
          <w:tcPr>
            <w:tcW w:w="1068" w:type="dxa"/>
            <w:tcBorders>
              <w:top w:val="single" w:sz="4" w:space="0" w:color="auto"/>
              <w:left w:val="single" w:sz="4" w:space="0" w:color="000000" w:themeColor="text1"/>
              <w:bottom w:val="single" w:sz="4" w:space="0" w:color="auto"/>
              <w:right w:val="single" w:sz="4" w:space="0" w:color="000000" w:themeColor="text1"/>
            </w:tcBorders>
            <w:shd w:val="clear" w:color="auto" w:fill="404040" w:themeFill="text1" w:themeFillTint="BF"/>
            <w:vAlign w:val="center"/>
          </w:tcPr>
          <w:p w14:paraId="2ACD0417" w14:textId="77777777" w:rsidR="00436707" w:rsidRPr="00F6205B" w:rsidRDefault="00436707" w:rsidP="0044249F">
            <w:pPr>
              <w:keepNext/>
              <w:keepLines/>
              <w:spacing w:after="0" w:line="240" w:lineRule="auto"/>
              <w:contextualSpacing/>
              <w:jc w:val="center"/>
              <w:rPr>
                <w:color w:val="FFFFFF" w:themeColor="background1"/>
                <w:sz w:val="20"/>
                <w:szCs w:val="20"/>
              </w:rPr>
            </w:pPr>
            <w:r w:rsidRPr="00F6205B">
              <w:rPr>
                <w:color w:val="FFFFFF" w:themeColor="background1"/>
                <w:sz w:val="20"/>
                <w:szCs w:val="20"/>
              </w:rPr>
              <w:t>12,034.2</w:t>
            </w:r>
          </w:p>
        </w:tc>
        <w:tc>
          <w:tcPr>
            <w:tcW w:w="1068" w:type="dxa"/>
            <w:tcBorders>
              <w:top w:val="single" w:sz="4" w:space="0" w:color="auto"/>
              <w:left w:val="single" w:sz="4" w:space="0" w:color="000000" w:themeColor="text1"/>
              <w:bottom w:val="single" w:sz="4" w:space="0" w:color="auto"/>
              <w:right w:val="single" w:sz="4" w:space="0" w:color="auto"/>
            </w:tcBorders>
            <w:shd w:val="clear" w:color="auto" w:fill="404040" w:themeFill="text1" w:themeFillTint="BF"/>
            <w:vAlign w:val="center"/>
          </w:tcPr>
          <w:p w14:paraId="16229DCE" w14:textId="77777777" w:rsidR="00436707" w:rsidRPr="00F6205B" w:rsidRDefault="00436707" w:rsidP="0044249F">
            <w:pPr>
              <w:keepNext/>
              <w:keepLines/>
              <w:spacing w:after="0" w:line="240" w:lineRule="auto"/>
              <w:contextualSpacing/>
              <w:jc w:val="center"/>
              <w:rPr>
                <w:color w:val="FFFFFF" w:themeColor="background1"/>
                <w:sz w:val="20"/>
                <w:szCs w:val="20"/>
              </w:rPr>
            </w:pPr>
            <w:r w:rsidRPr="00F6205B">
              <w:rPr>
                <w:color w:val="FFFFFF" w:themeColor="background1"/>
                <w:sz w:val="20"/>
                <w:szCs w:val="20"/>
              </w:rPr>
              <w:t>156.6</w:t>
            </w:r>
          </w:p>
        </w:tc>
      </w:tr>
      <w:tr w:rsidR="00436707" w:rsidRPr="00F6205B" w14:paraId="7FF2FF86" w14:textId="77777777" w:rsidTr="003A0BAD">
        <w:trPr>
          <w:trHeight w:val="288"/>
          <w:jc w:val="center"/>
        </w:trPr>
        <w:tc>
          <w:tcPr>
            <w:tcW w:w="2562" w:type="dxa"/>
            <w:tcBorders>
              <w:top w:val="single" w:sz="4" w:space="0" w:color="auto"/>
              <w:left w:val="single" w:sz="4" w:space="0" w:color="auto"/>
              <w:bottom w:val="single" w:sz="4" w:space="0" w:color="000000" w:themeColor="text1"/>
              <w:right w:val="single" w:sz="4" w:space="0" w:color="000000" w:themeColor="text1"/>
            </w:tcBorders>
            <w:vAlign w:val="center"/>
          </w:tcPr>
          <w:p w14:paraId="06108252" w14:textId="77777777" w:rsidR="00436707" w:rsidRPr="00F6205B" w:rsidRDefault="00436707" w:rsidP="0044249F">
            <w:pPr>
              <w:keepNext/>
              <w:keepLines/>
              <w:spacing w:after="0" w:line="240" w:lineRule="auto"/>
              <w:contextualSpacing/>
              <w:jc w:val="right"/>
              <w:rPr>
                <w:sz w:val="20"/>
                <w:szCs w:val="20"/>
              </w:rPr>
            </w:pPr>
            <w:r w:rsidRPr="00F6205B">
              <w:rPr>
                <w:sz w:val="20"/>
                <w:szCs w:val="20"/>
              </w:rPr>
              <w:t>Replace tankless coil on oil boiler with indirect water heater</w:t>
            </w:r>
          </w:p>
        </w:tc>
        <w:tc>
          <w:tcPr>
            <w:tcW w:w="88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2643F82" w14:textId="77777777" w:rsidR="00436707" w:rsidRPr="00F6205B" w:rsidRDefault="00436707" w:rsidP="0044249F">
            <w:pPr>
              <w:keepNext/>
              <w:keepLines/>
              <w:spacing w:after="0" w:line="240" w:lineRule="auto"/>
              <w:contextualSpacing/>
              <w:jc w:val="center"/>
              <w:rPr>
                <w:i/>
                <w:sz w:val="20"/>
                <w:szCs w:val="20"/>
              </w:rPr>
            </w:pPr>
            <w:r w:rsidRPr="00F6205B">
              <w:rPr>
                <w:i/>
                <w:sz w:val="20"/>
                <w:szCs w:val="20"/>
              </w:rPr>
              <w:t>42</w:t>
            </w:r>
          </w:p>
        </w:tc>
        <w:tc>
          <w:tcPr>
            <w:tcW w:w="106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AE52F27" w14:textId="77777777" w:rsidR="00436707" w:rsidRPr="00F6205B" w:rsidRDefault="00436707" w:rsidP="0044249F">
            <w:pPr>
              <w:keepNext/>
              <w:keepLines/>
              <w:tabs>
                <w:tab w:val="decimal" w:pos="261"/>
              </w:tabs>
              <w:spacing w:after="0" w:line="240" w:lineRule="auto"/>
              <w:contextualSpacing/>
              <w:jc w:val="center"/>
              <w:rPr>
                <w:sz w:val="20"/>
                <w:szCs w:val="20"/>
              </w:rPr>
            </w:pPr>
            <w:r w:rsidRPr="00F6205B">
              <w:rPr>
                <w:sz w:val="20"/>
                <w:szCs w:val="20"/>
              </w:rPr>
              <w:t>0.9%</w:t>
            </w:r>
          </w:p>
        </w:tc>
        <w:tc>
          <w:tcPr>
            <w:tcW w:w="106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54EA53C" w14:textId="77777777" w:rsidR="00436707" w:rsidRPr="00F6205B" w:rsidRDefault="00436707" w:rsidP="0044249F">
            <w:pPr>
              <w:keepNext/>
              <w:keepLines/>
              <w:tabs>
                <w:tab w:val="decimal" w:pos="258"/>
              </w:tabs>
              <w:spacing w:after="0" w:line="240" w:lineRule="auto"/>
              <w:contextualSpacing/>
              <w:jc w:val="center"/>
              <w:rPr>
                <w:sz w:val="20"/>
                <w:szCs w:val="20"/>
              </w:rPr>
            </w:pPr>
            <w:r w:rsidRPr="00F6205B">
              <w:rPr>
                <w:sz w:val="20"/>
                <w:szCs w:val="20"/>
              </w:rPr>
              <w:t>11.2</w:t>
            </w:r>
          </w:p>
        </w:tc>
        <w:tc>
          <w:tcPr>
            <w:tcW w:w="106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525E63C" w14:textId="77777777" w:rsidR="00436707" w:rsidRPr="00F6205B" w:rsidRDefault="00436707" w:rsidP="0044249F">
            <w:pPr>
              <w:keepNext/>
              <w:keepLines/>
              <w:tabs>
                <w:tab w:val="decimal" w:pos="285"/>
              </w:tabs>
              <w:spacing w:after="0" w:line="240" w:lineRule="auto"/>
              <w:contextualSpacing/>
              <w:jc w:val="center"/>
              <w:rPr>
                <w:sz w:val="20"/>
                <w:szCs w:val="20"/>
              </w:rPr>
            </w:pPr>
            <w:r w:rsidRPr="00F6205B">
              <w:rPr>
                <w:sz w:val="20"/>
                <w:szCs w:val="20"/>
              </w:rPr>
              <w:t>- 0.9</w:t>
            </w:r>
          </w:p>
        </w:tc>
        <w:tc>
          <w:tcPr>
            <w:tcW w:w="106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9FE53CD" w14:textId="77777777" w:rsidR="00436707" w:rsidRPr="00F6205B" w:rsidRDefault="00436707" w:rsidP="0044249F">
            <w:pPr>
              <w:keepNext/>
              <w:keepLines/>
              <w:tabs>
                <w:tab w:val="decimal" w:pos="207"/>
              </w:tabs>
              <w:spacing w:after="0" w:line="240" w:lineRule="auto"/>
              <w:contextualSpacing/>
              <w:jc w:val="center"/>
              <w:rPr>
                <w:sz w:val="20"/>
                <w:szCs w:val="20"/>
              </w:rPr>
            </w:pPr>
            <w:r w:rsidRPr="00F6205B">
              <w:rPr>
                <w:sz w:val="20"/>
                <w:szCs w:val="20"/>
              </w:rPr>
              <w:t>- 0.2</w:t>
            </w:r>
          </w:p>
        </w:tc>
        <w:tc>
          <w:tcPr>
            <w:tcW w:w="106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CE1CEAA" w14:textId="77777777" w:rsidR="00436707" w:rsidRPr="00F6205B" w:rsidRDefault="00436707" w:rsidP="0044249F">
            <w:pPr>
              <w:keepNext/>
              <w:keepLines/>
              <w:tabs>
                <w:tab w:val="decimal" w:pos="489"/>
              </w:tabs>
              <w:spacing w:after="0" w:line="240" w:lineRule="auto"/>
              <w:contextualSpacing/>
              <w:jc w:val="center"/>
              <w:rPr>
                <w:sz w:val="20"/>
                <w:szCs w:val="20"/>
              </w:rPr>
            </w:pPr>
            <w:r w:rsidRPr="00F6205B">
              <w:rPr>
                <w:sz w:val="20"/>
                <w:szCs w:val="20"/>
              </w:rPr>
              <w:t xml:space="preserve"> 8.2</w:t>
            </w:r>
          </w:p>
        </w:tc>
        <w:tc>
          <w:tcPr>
            <w:tcW w:w="1068" w:type="dxa"/>
            <w:tcBorders>
              <w:top w:val="single" w:sz="4" w:space="0" w:color="auto"/>
              <w:left w:val="single" w:sz="4" w:space="0" w:color="000000" w:themeColor="text1"/>
              <w:bottom w:val="single" w:sz="4" w:space="0" w:color="000000" w:themeColor="text1"/>
              <w:right w:val="single" w:sz="4" w:space="0" w:color="auto"/>
            </w:tcBorders>
            <w:vAlign w:val="center"/>
          </w:tcPr>
          <w:p w14:paraId="5DC23EE0" w14:textId="77777777" w:rsidR="00436707" w:rsidRPr="00F6205B" w:rsidRDefault="00436707" w:rsidP="0044249F">
            <w:pPr>
              <w:keepNext/>
              <w:keepLines/>
              <w:tabs>
                <w:tab w:val="decimal" w:pos="321"/>
              </w:tabs>
              <w:spacing w:after="0" w:line="240" w:lineRule="auto"/>
              <w:contextualSpacing/>
              <w:jc w:val="center"/>
              <w:rPr>
                <w:sz w:val="20"/>
                <w:szCs w:val="20"/>
              </w:rPr>
            </w:pPr>
            <w:r w:rsidRPr="00F6205B">
              <w:rPr>
                <w:sz w:val="20"/>
                <w:szCs w:val="20"/>
              </w:rPr>
              <w:t xml:space="preserve"> 1.4</w:t>
            </w:r>
          </w:p>
        </w:tc>
      </w:tr>
      <w:tr w:rsidR="00436707" w:rsidRPr="00F6205B" w14:paraId="7F41D7A0" w14:textId="77777777" w:rsidTr="003A0BAD">
        <w:trPr>
          <w:trHeight w:val="288"/>
          <w:jc w:val="center"/>
        </w:trPr>
        <w:tc>
          <w:tcPr>
            <w:tcW w:w="2562"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2841A3F4" w14:textId="77777777" w:rsidR="00436707" w:rsidRPr="00F6205B" w:rsidRDefault="00436707" w:rsidP="0044249F">
            <w:pPr>
              <w:keepNext/>
              <w:keepLines/>
              <w:spacing w:after="0" w:line="240" w:lineRule="auto"/>
              <w:contextualSpacing/>
              <w:jc w:val="right"/>
              <w:rPr>
                <w:sz w:val="20"/>
                <w:szCs w:val="20"/>
              </w:rPr>
            </w:pPr>
            <w:r w:rsidRPr="00F6205B">
              <w:rPr>
                <w:sz w:val="20"/>
                <w:szCs w:val="20"/>
              </w:rPr>
              <w:t>Replace gas storage water heater with instantaneous</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793B8D3F" w14:textId="77777777" w:rsidR="00436707" w:rsidRPr="00F6205B" w:rsidRDefault="00436707" w:rsidP="0044249F">
            <w:pPr>
              <w:keepNext/>
              <w:keepLines/>
              <w:spacing w:after="0" w:line="240" w:lineRule="auto"/>
              <w:contextualSpacing/>
              <w:jc w:val="center"/>
              <w:rPr>
                <w:i/>
                <w:sz w:val="20"/>
                <w:szCs w:val="20"/>
              </w:rPr>
            </w:pPr>
            <w:r w:rsidRPr="00F6205B">
              <w:rPr>
                <w:i/>
                <w:sz w:val="20"/>
                <w:szCs w:val="20"/>
              </w:rPr>
              <w:t>43</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7CA6A045" w14:textId="77777777" w:rsidR="00436707" w:rsidRPr="00F6205B" w:rsidRDefault="00436707" w:rsidP="0044249F">
            <w:pPr>
              <w:keepNext/>
              <w:keepLines/>
              <w:tabs>
                <w:tab w:val="decimal" w:pos="261"/>
              </w:tabs>
              <w:spacing w:after="0" w:line="240" w:lineRule="auto"/>
              <w:contextualSpacing/>
              <w:jc w:val="center"/>
              <w:rPr>
                <w:sz w:val="20"/>
                <w:szCs w:val="20"/>
              </w:rPr>
            </w:pPr>
            <w:r w:rsidRPr="00F6205B">
              <w:rPr>
                <w:sz w:val="20"/>
                <w:szCs w:val="20"/>
              </w:rPr>
              <w:t>0.9%</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1F5F76F9" w14:textId="77777777" w:rsidR="00436707" w:rsidRPr="00F6205B" w:rsidRDefault="00436707" w:rsidP="0044249F">
            <w:pPr>
              <w:keepNext/>
              <w:keepLines/>
              <w:tabs>
                <w:tab w:val="decimal" w:pos="258"/>
              </w:tabs>
              <w:spacing w:after="0" w:line="240" w:lineRule="auto"/>
              <w:contextualSpacing/>
              <w:jc w:val="center"/>
              <w:rPr>
                <w:sz w:val="20"/>
                <w:szCs w:val="20"/>
              </w:rPr>
            </w:pPr>
            <w:r w:rsidRPr="00F6205B">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2C63E455" w14:textId="77777777" w:rsidR="00436707" w:rsidRPr="00F6205B" w:rsidRDefault="00436707" w:rsidP="0044249F">
            <w:pPr>
              <w:keepNext/>
              <w:keepLines/>
              <w:tabs>
                <w:tab w:val="decimal" w:pos="285"/>
              </w:tabs>
              <w:spacing w:after="0" w:line="240" w:lineRule="auto"/>
              <w:contextualSpacing/>
              <w:jc w:val="center"/>
              <w:rPr>
                <w:sz w:val="20"/>
                <w:szCs w:val="20"/>
              </w:rPr>
            </w:pPr>
            <w:r w:rsidRPr="00F6205B">
              <w:rPr>
                <w:sz w:val="20"/>
                <w:szCs w:val="20"/>
              </w:rPr>
              <w:t>13.5</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0F3B5B5C" w14:textId="77777777" w:rsidR="00436707" w:rsidRPr="00F6205B" w:rsidRDefault="00436707" w:rsidP="0044249F">
            <w:pPr>
              <w:keepNext/>
              <w:keepLines/>
              <w:tabs>
                <w:tab w:val="decimal" w:pos="207"/>
              </w:tabs>
              <w:spacing w:after="0" w:line="240" w:lineRule="auto"/>
              <w:contextualSpacing/>
              <w:jc w:val="center"/>
              <w:rPr>
                <w:sz w:val="20"/>
                <w:szCs w:val="20"/>
              </w:rPr>
            </w:pPr>
            <w:r w:rsidRPr="00F6205B">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732CA106" w14:textId="77777777" w:rsidR="00436707" w:rsidRPr="00F6205B" w:rsidRDefault="00436707" w:rsidP="0044249F">
            <w:pPr>
              <w:keepNext/>
              <w:keepLines/>
              <w:tabs>
                <w:tab w:val="decimal" w:pos="489"/>
              </w:tabs>
              <w:spacing w:after="0" w:line="240" w:lineRule="auto"/>
              <w:contextualSpacing/>
              <w:jc w:val="center"/>
              <w:rPr>
                <w:sz w:val="20"/>
                <w:szCs w:val="20"/>
              </w:rPr>
            </w:pPr>
            <w:r w:rsidRPr="00F6205B">
              <w:rPr>
                <w:sz w:val="20"/>
                <w:szCs w:val="20"/>
              </w:rPr>
              <w:t xml:space="preserve"> 3.8</w:t>
            </w:r>
          </w:p>
        </w:tc>
        <w:tc>
          <w:tcPr>
            <w:tcW w:w="106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122A63C2" w14:textId="77777777" w:rsidR="00436707" w:rsidRPr="00F6205B" w:rsidRDefault="00436707" w:rsidP="0044249F">
            <w:pPr>
              <w:keepNext/>
              <w:keepLines/>
              <w:tabs>
                <w:tab w:val="decimal" w:pos="321"/>
              </w:tabs>
              <w:spacing w:after="0" w:line="240" w:lineRule="auto"/>
              <w:contextualSpacing/>
              <w:jc w:val="center"/>
              <w:rPr>
                <w:sz w:val="20"/>
                <w:szCs w:val="20"/>
              </w:rPr>
            </w:pPr>
            <w:r w:rsidRPr="00F6205B">
              <w:rPr>
                <w:sz w:val="20"/>
                <w:szCs w:val="20"/>
              </w:rPr>
              <w:t xml:space="preserve"> 1.4</w:t>
            </w:r>
          </w:p>
        </w:tc>
      </w:tr>
      <w:tr w:rsidR="00436707" w:rsidRPr="00F6205B" w14:paraId="7D4D0247" w14:textId="77777777" w:rsidTr="003A0BAD">
        <w:trPr>
          <w:trHeight w:val="288"/>
          <w:jc w:val="center"/>
        </w:trPr>
        <w:tc>
          <w:tcPr>
            <w:tcW w:w="2562"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BFA0046" w14:textId="77777777" w:rsidR="00436707" w:rsidRPr="00F6205B" w:rsidRDefault="00436707" w:rsidP="0044249F">
            <w:pPr>
              <w:keepNext/>
              <w:keepLines/>
              <w:spacing w:after="0" w:line="240" w:lineRule="auto"/>
              <w:contextualSpacing/>
              <w:jc w:val="right"/>
              <w:rPr>
                <w:sz w:val="20"/>
                <w:szCs w:val="20"/>
              </w:rPr>
            </w:pPr>
            <w:r w:rsidRPr="00F6205B">
              <w:rPr>
                <w:sz w:val="20"/>
                <w:szCs w:val="20"/>
              </w:rPr>
              <w:t>Replace electric water heater with heat pump water heater</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E94DAD" w14:textId="77777777" w:rsidR="00436707" w:rsidRPr="00F6205B" w:rsidRDefault="00436707" w:rsidP="0044249F">
            <w:pPr>
              <w:keepNext/>
              <w:keepLines/>
              <w:spacing w:after="0" w:line="240" w:lineRule="auto"/>
              <w:contextualSpacing/>
              <w:jc w:val="center"/>
              <w:rPr>
                <w:i/>
                <w:sz w:val="20"/>
                <w:szCs w:val="20"/>
              </w:rPr>
            </w:pPr>
            <w:r w:rsidRPr="00F6205B">
              <w:rPr>
                <w:i/>
                <w:sz w:val="20"/>
                <w:szCs w:val="20"/>
              </w:rPr>
              <w:t>42</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55D44A" w14:textId="77777777" w:rsidR="00436707" w:rsidRPr="00F6205B" w:rsidRDefault="00436707" w:rsidP="0044249F">
            <w:pPr>
              <w:keepNext/>
              <w:keepLines/>
              <w:tabs>
                <w:tab w:val="decimal" w:pos="261"/>
              </w:tabs>
              <w:spacing w:after="0" w:line="240" w:lineRule="auto"/>
              <w:contextualSpacing/>
              <w:jc w:val="center"/>
              <w:rPr>
                <w:sz w:val="20"/>
                <w:szCs w:val="20"/>
              </w:rPr>
            </w:pPr>
            <w:r w:rsidRPr="00F6205B">
              <w:rPr>
                <w:sz w:val="20"/>
                <w:szCs w:val="20"/>
              </w:rPr>
              <w:t>0.9%</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BE110C" w14:textId="77777777" w:rsidR="00436707" w:rsidRPr="00F6205B" w:rsidRDefault="00436707" w:rsidP="0044249F">
            <w:pPr>
              <w:keepNext/>
              <w:keepLines/>
              <w:tabs>
                <w:tab w:val="decimal" w:pos="258"/>
              </w:tabs>
              <w:spacing w:after="0" w:line="240" w:lineRule="auto"/>
              <w:contextualSpacing/>
              <w:jc w:val="center"/>
              <w:rPr>
                <w:sz w:val="20"/>
                <w:szCs w:val="20"/>
              </w:rPr>
            </w:pPr>
            <w:r w:rsidRPr="00F6205B">
              <w:rPr>
                <w:sz w:val="20"/>
                <w:szCs w:val="20"/>
              </w:rPr>
              <w:t>- 1.4</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A0BE12" w14:textId="77777777" w:rsidR="00436707" w:rsidRPr="00F6205B" w:rsidRDefault="00436707" w:rsidP="0044249F">
            <w:pPr>
              <w:keepNext/>
              <w:keepLines/>
              <w:tabs>
                <w:tab w:val="decimal" w:pos="285"/>
              </w:tabs>
              <w:spacing w:after="0" w:line="240" w:lineRule="auto"/>
              <w:contextualSpacing/>
              <w:jc w:val="center"/>
              <w:rPr>
                <w:sz w:val="20"/>
                <w:szCs w:val="20"/>
              </w:rPr>
            </w:pPr>
            <w:r w:rsidRPr="00F6205B">
              <w:rPr>
                <w:sz w:val="20"/>
                <w:szCs w:val="20"/>
              </w:rPr>
              <w:t>- 0.4</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A881AB" w14:textId="77777777" w:rsidR="00436707" w:rsidRPr="00F6205B" w:rsidRDefault="00436707" w:rsidP="0044249F">
            <w:pPr>
              <w:keepNext/>
              <w:keepLines/>
              <w:tabs>
                <w:tab w:val="decimal" w:pos="207"/>
              </w:tabs>
              <w:spacing w:after="0" w:line="240" w:lineRule="auto"/>
              <w:contextualSpacing/>
              <w:jc w:val="center"/>
              <w:rPr>
                <w:sz w:val="20"/>
                <w:szCs w:val="20"/>
              </w:rPr>
            </w:pPr>
            <w:r w:rsidRPr="00F6205B">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8361C1" w14:textId="77777777" w:rsidR="00436707" w:rsidRPr="00F6205B" w:rsidRDefault="00436707" w:rsidP="0044249F">
            <w:pPr>
              <w:keepNext/>
              <w:keepLines/>
              <w:tabs>
                <w:tab w:val="decimal" w:pos="489"/>
              </w:tabs>
              <w:spacing w:after="0" w:line="240" w:lineRule="auto"/>
              <w:contextualSpacing/>
              <w:jc w:val="center"/>
              <w:rPr>
                <w:sz w:val="20"/>
                <w:szCs w:val="20"/>
              </w:rPr>
            </w:pPr>
            <w:r w:rsidRPr="00F6205B">
              <w:rPr>
                <w:sz w:val="20"/>
                <w:szCs w:val="20"/>
              </w:rPr>
              <w:t xml:space="preserve"> 490.0</w:t>
            </w:r>
          </w:p>
        </w:tc>
        <w:tc>
          <w:tcPr>
            <w:tcW w:w="1068"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549DA6C" w14:textId="77777777" w:rsidR="00436707" w:rsidRPr="00F6205B" w:rsidRDefault="00436707" w:rsidP="0044249F">
            <w:pPr>
              <w:keepNext/>
              <w:keepLines/>
              <w:tabs>
                <w:tab w:val="decimal" w:pos="321"/>
              </w:tabs>
              <w:spacing w:after="0" w:line="240" w:lineRule="auto"/>
              <w:contextualSpacing/>
              <w:jc w:val="center"/>
              <w:rPr>
                <w:sz w:val="20"/>
                <w:szCs w:val="20"/>
              </w:rPr>
            </w:pPr>
            <w:r w:rsidRPr="00F6205B">
              <w:rPr>
                <w:sz w:val="20"/>
                <w:szCs w:val="20"/>
              </w:rPr>
              <w:t xml:space="preserve"> 1.4</w:t>
            </w:r>
          </w:p>
        </w:tc>
      </w:tr>
      <w:tr w:rsidR="00436707" w:rsidRPr="00F6205B" w14:paraId="116EC7E1" w14:textId="77777777" w:rsidTr="003A0BAD">
        <w:trPr>
          <w:trHeight w:val="288"/>
          <w:jc w:val="center"/>
        </w:trPr>
        <w:tc>
          <w:tcPr>
            <w:tcW w:w="2562"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0E5D529A" w14:textId="77777777" w:rsidR="00436707" w:rsidRPr="00F6205B" w:rsidRDefault="00436707" w:rsidP="0044249F">
            <w:pPr>
              <w:keepNext/>
              <w:keepLines/>
              <w:spacing w:after="0" w:line="240" w:lineRule="auto"/>
              <w:contextualSpacing/>
              <w:jc w:val="right"/>
              <w:rPr>
                <w:sz w:val="20"/>
                <w:szCs w:val="20"/>
              </w:rPr>
            </w:pPr>
            <w:r w:rsidRPr="00F6205B">
              <w:rPr>
                <w:sz w:val="20"/>
                <w:szCs w:val="20"/>
              </w:rPr>
              <w:t>Replace gas storage water heater with condensing gas water heater</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2D368908" w14:textId="77777777" w:rsidR="00436707" w:rsidRPr="00F6205B" w:rsidRDefault="00436707" w:rsidP="0044249F">
            <w:pPr>
              <w:keepNext/>
              <w:keepLines/>
              <w:spacing w:after="0" w:line="240" w:lineRule="auto"/>
              <w:contextualSpacing/>
              <w:jc w:val="center"/>
              <w:rPr>
                <w:i/>
                <w:sz w:val="20"/>
                <w:szCs w:val="20"/>
              </w:rPr>
            </w:pPr>
            <w:r w:rsidRPr="00F6205B">
              <w:rPr>
                <w:i/>
                <w:sz w:val="20"/>
                <w:szCs w:val="20"/>
              </w:rPr>
              <w:t>39</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2033BC65" w14:textId="77777777" w:rsidR="00436707" w:rsidRPr="00F6205B" w:rsidRDefault="00436707" w:rsidP="0044249F">
            <w:pPr>
              <w:keepNext/>
              <w:keepLines/>
              <w:tabs>
                <w:tab w:val="decimal" w:pos="261"/>
              </w:tabs>
              <w:spacing w:after="0" w:line="240" w:lineRule="auto"/>
              <w:contextualSpacing/>
              <w:jc w:val="center"/>
              <w:rPr>
                <w:sz w:val="20"/>
                <w:szCs w:val="20"/>
              </w:rPr>
            </w:pPr>
            <w:r w:rsidRPr="00F6205B">
              <w:rPr>
                <w:sz w:val="20"/>
                <w:szCs w:val="20"/>
              </w:rPr>
              <w:t>0.9%</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7BCF22EA" w14:textId="77777777" w:rsidR="00436707" w:rsidRPr="00F6205B" w:rsidRDefault="00436707" w:rsidP="0044249F">
            <w:pPr>
              <w:keepNext/>
              <w:keepLines/>
              <w:tabs>
                <w:tab w:val="decimal" w:pos="258"/>
              </w:tabs>
              <w:spacing w:after="0" w:line="240" w:lineRule="auto"/>
              <w:contextualSpacing/>
              <w:jc w:val="center"/>
              <w:rPr>
                <w:sz w:val="20"/>
                <w:szCs w:val="20"/>
              </w:rPr>
            </w:pPr>
            <w:r w:rsidRPr="00F6205B">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547B5C00" w14:textId="77777777" w:rsidR="00436707" w:rsidRPr="00F6205B" w:rsidRDefault="00436707" w:rsidP="0044249F">
            <w:pPr>
              <w:keepNext/>
              <w:keepLines/>
              <w:tabs>
                <w:tab w:val="decimal" w:pos="285"/>
              </w:tabs>
              <w:spacing w:after="0" w:line="240" w:lineRule="auto"/>
              <w:contextualSpacing/>
              <w:jc w:val="center"/>
              <w:rPr>
                <w:sz w:val="20"/>
                <w:szCs w:val="20"/>
              </w:rPr>
            </w:pPr>
            <w:r w:rsidRPr="00F6205B">
              <w:rPr>
                <w:sz w:val="20"/>
                <w:szCs w:val="20"/>
              </w:rPr>
              <w:t xml:space="preserve"> 14.6</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1B85428B" w14:textId="77777777" w:rsidR="00436707" w:rsidRPr="00F6205B" w:rsidRDefault="00436707" w:rsidP="0044249F">
            <w:pPr>
              <w:keepNext/>
              <w:keepLines/>
              <w:tabs>
                <w:tab w:val="decimal" w:pos="207"/>
              </w:tabs>
              <w:spacing w:after="0" w:line="240" w:lineRule="auto"/>
              <w:contextualSpacing/>
              <w:jc w:val="center"/>
              <w:rPr>
                <w:sz w:val="20"/>
                <w:szCs w:val="20"/>
              </w:rPr>
            </w:pPr>
            <w:r w:rsidRPr="00F6205B">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6256A077" w14:textId="77777777" w:rsidR="00436707" w:rsidRPr="00F6205B" w:rsidRDefault="00436707" w:rsidP="0044249F">
            <w:pPr>
              <w:keepNext/>
              <w:keepLines/>
              <w:tabs>
                <w:tab w:val="decimal" w:pos="489"/>
              </w:tabs>
              <w:spacing w:after="0" w:line="240" w:lineRule="auto"/>
              <w:contextualSpacing/>
              <w:jc w:val="center"/>
              <w:rPr>
                <w:sz w:val="20"/>
                <w:szCs w:val="20"/>
              </w:rPr>
            </w:pPr>
            <w:r w:rsidRPr="00F6205B">
              <w:rPr>
                <w:sz w:val="20"/>
                <w:szCs w:val="20"/>
              </w:rPr>
              <w:t xml:space="preserve"> 2.9</w:t>
            </w:r>
          </w:p>
        </w:tc>
        <w:tc>
          <w:tcPr>
            <w:tcW w:w="106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3056EA7F" w14:textId="77777777" w:rsidR="00436707" w:rsidRPr="00F6205B" w:rsidRDefault="00436707" w:rsidP="0044249F">
            <w:pPr>
              <w:keepNext/>
              <w:keepLines/>
              <w:tabs>
                <w:tab w:val="decimal" w:pos="321"/>
              </w:tabs>
              <w:spacing w:after="0" w:line="240" w:lineRule="auto"/>
              <w:contextualSpacing/>
              <w:jc w:val="center"/>
              <w:rPr>
                <w:sz w:val="20"/>
                <w:szCs w:val="20"/>
              </w:rPr>
            </w:pPr>
            <w:r w:rsidRPr="00F6205B">
              <w:rPr>
                <w:sz w:val="20"/>
                <w:szCs w:val="20"/>
              </w:rPr>
              <w:t xml:space="preserve"> 1.5</w:t>
            </w:r>
          </w:p>
        </w:tc>
      </w:tr>
      <w:tr w:rsidR="00436707" w:rsidRPr="00F6205B" w14:paraId="72E58F77" w14:textId="77777777" w:rsidTr="003A0BAD">
        <w:trPr>
          <w:trHeight w:val="288"/>
          <w:jc w:val="center"/>
        </w:trPr>
        <w:tc>
          <w:tcPr>
            <w:tcW w:w="2562"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1F6CFFD" w14:textId="77777777" w:rsidR="00436707" w:rsidRPr="00F6205B" w:rsidRDefault="00436707" w:rsidP="0044249F">
            <w:pPr>
              <w:keepNext/>
              <w:keepLines/>
              <w:spacing w:after="0" w:line="240" w:lineRule="auto"/>
              <w:contextualSpacing/>
              <w:jc w:val="right"/>
              <w:rPr>
                <w:sz w:val="20"/>
                <w:szCs w:val="20"/>
              </w:rPr>
            </w:pPr>
            <w:r w:rsidRPr="00F6205B">
              <w:rPr>
                <w:sz w:val="20"/>
                <w:szCs w:val="20"/>
              </w:rPr>
              <w:t>Replace gas storage water heater with more efficient gas storage heater</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96012A" w14:textId="77777777" w:rsidR="00436707" w:rsidRPr="00F6205B" w:rsidRDefault="00436707" w:rsidP="0044249F">
            <w:pPr>
              <w:keepNext/>
              <w:keepLines/>
              <w:spacing w:after="0" w:line="240" w:lineRule="auto"/>
              <w:contextualSpacing/>
              <w:jc w:val="center"/>
              <w:rPr>
                <w:i/>
                <w:sz w:val="20"/>
                <w:szCs w:val="20"/>
              </w:rPr>
            </w:pPr>
            <w:r w:rsidRPr="00F6205B">
              <w:rPr>
                <w:i/>
                <w:sz w:val="20"/>
                <w:szCs w:val="20"/>
              </w:rPr>
              <w:t>39</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B78373" w14:textId="77777777" w:rsidR="00436707" w:rsidRPr="00F6205B" w:rsidRDefault="00436707" w:rsidP="0044249F">
            <w:pPr>
              <w:keepNext/>
              <w:keepLines/>
              <w:tabs>
                <w:tab w:val="decimal" w:pos="261"/>
              </w:tabs>
              <w:spacing w:after="0" w:line="240" w:lineRule="auto"/>
              <w:contextualSpacing/>
              <w:jc w:val="center"/>
              <w:rPr>
                <w:sz w:val="20"/>
                <w:szCs w:val="20"/>
              </w:rPr>
            </w:pPr>
            <w:r w:rsidRPr="00F6205B">
              <w:rPr>
                <w:sz w:val="20"/>
                <w:szCs w:val="20"/>
              </w:rPr>
              <w:t>0.6%</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3A886D" w14:textId="77777777" w:rsidR="00436707" w:rsidRPr="00F6205B" w:rsidRDefault="00436707" w:rsidP="0044249F">
            <w:pPr>
              <w:keepNext/>
              <w:keepLines/>
              <w:tabs>
                <w:tab w:val="decimal" w:pos="258"/>
              </w:tabs>
              <w:spacing w:after="0" w:line="240" w:lineRule="auto"/>
              <w:contextualSpacing/>
              <w:jc w:val="center"/>
              <w:rPr>
                <w:sz w:val="20"/>
                <w:szCs w:val="20"/>
              </w:rPr>
            </w:pPr>
            <w:r w:rsidRPr="00F6205B">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909989" w14:textId="77777777" w:rsidR="00436707" w:rsidRPr="00F6205B" w:rsidRDefault="00436707" w:rsidP="0044249F">
            <w:pPr>
              <w:keepNext/>
              <w:keepLines/>
              <w:tabs>
                <w:tab w:val="decimal" w:pos="285"/>
              </w:tabs>
              <w:spacing w:after="0" w:line="240" w:lineRule="auto"/>
              <w:contextualSpacing/>
              <w:jc w:val="center"/>
              <w:rPr>
                <w:sz w:val="20"/>
                <w:szCs w:val="20"/>
              </w:rPr>
            </w:pPr>
            <w:r w:rsidRPr="00F6205B">
              <w:rPr>
                <w:sz w:val="20"/>
                <w:szCs w:val="20"/>
              </w:rPr>
              <w:t xml:space="preserve"> 10.1</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5EF1BD" w14:textId="77777777" w:rsidR="00436707" w:rsidRPr="00F6205B" w:rsidRDefault="00436707" w:rsidP="0044249F">
            <w:pPr>
              <w:keepNext/>
              <w:keepLines/>
              <w:tabs>
                <w:tab w:val="decimal" w:pos="207"/>
              </w:tabs>
              <w:spacing w:after="0" w:line="240" w:lineRule="auto"/>
              <w:contextualSpacing/>
              <w:jc w:val="center"/>
              <w:rPr>
                <w:sz w:val="20"/>
                <w:szCs w:val="20"/>
              </w:rPr>
            </w:pPr>
            <w:r w:rsidRPr="00F6205B">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6CB8C1" w14:textId="77777777" w:rsidR="00436707" w:rsidRPr="00F6205B" w:rsidRDefault="00436707" w:rsidP="0044249F">
            <w:pPr>
              <w:keepNext/>
              <w:keepLines/>
              <w:tabs>
                <w:tab w:val="decimal" w:pos="489"/>
              </w:tabs>
              <w:spacing w:after="0" w:line="240" w:lineRule="auto"/>
              <w:contextualSpacing/>
              <w:jc w:val="center"/>
              <w:rPr>
                <w:sz w:val="20"/>
                <w:szCs w:val="20"/>
              </w:rPr>
            </w:pPr>
            <w:r w:rsidRPr="00F6205B">
              <w:rPr>
                <w:sz w:val="20"/>
                <w:szCs w:val="20"/>
              </w:rPr>
              <w:t xml:space="preserve"> 1.2</w:t>
            </w:r>
          </w:p>
        </w:tc>
        <w:tc>
          <w:tcPr>
            <w:tcW w:w="1068"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CF87677" w14:textId="77777777" w:rsidR="00436707" w:rsidRPr="00F6205B" w:rsidRDefault="00436707" w:rsidP="0044249F">
            <w:pPr>
              <w:keepNext/>
              <w:keepLines/>
              <w:tabs>
                <w:tab w:val="decimal" w:pos="321"/>
              </w:tabs>
              <w:spacing w:after="0" w:line="240" w:lineRule="auto"/>
              <w:contextualSpacing/>
              <w:jc w:val="center"/>
              <w:rPr>
                <w:sz w:val="20"/>
                <w:szCs w:val="20"/>
              </w:rPr>
            </w:pPr>
            <w:r w:rsidRPr="00F6205B">
              <w:rPr>
                <w:sz w:val="20"/>
                <w:szCs w:val="20"/>
              </w:rPr>
              <w:t xml:space="preserve"> 1.0</w:t>
            </w:r>
          </w:p>
        </w:tc>
      </w:tr>
      <w:tr w:rsidR="00436707" w:rsidRPr="00F6205B" w14:paraId="0D2F1E4A" w14:textId="77777777" w:rsidTr="003A0BAD">
        <w:trPr>
          <w:trHeight w:val="288"/>
          <w:jc w:val="center"/>
        </w:trPr>
        <w:tc>
          <w:tcPr>
            <w:tcW w:w="2562"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6BBDB912" w14:textId="77777777" w:rsidR="00436707" w:rsidRPr="00F6205B" w:rsidRDefault="00436707" w:rsidP="0044249F">
            <w:pPr>
              <w:keepNext/>
              <w:keepLines/>
              <w:spacing w:after="0" w:line="240" w:lineRule="auto"/>
              <w:contextualSpacing/>
              <w:jc w:val="right"/>
              <w:rPr>
                <w:sz w:val="20"/>
                <w:szCs w:val="20"/>
              </w:rPr>
            </w:pPr>
            <w:r w:rsidRPr="00F6205B">
              <w:rPr>
                <w:sz w:val="20"/>
                <w:szCs w:val="20"/>
              </w:rPr>
              <w:t>Increase water heater tank wrap R-value</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6871D6A8" w14:textId="77777777" w:rsidR="00436707" w:rsidRPr="00F6205B" w:rsidRDefault="00436707" w:rsidP="0044249F">
            <w:pPr>
              <w:keepNext/>
              <w:keepLines/>
              <w:spacing w:after="0" w:line="240" w:lineRule="auto"/>
              <w:contextualSpacing/>
              <w:jc w:val="center"/>
              <w:rPr>
                <w:i/>
                <w:sz w:val="20"/>
                <w:szCs w:val="20"/>
              </w:rPr>
            </w:pPr>
            <w:r w:rsidRPr="00F6205B">
              <w:rPr>
                <w:i/>
                <w:sz w:val="20"/>
                <w:szCs w:val="20"/>
              </w:rPr>
              <w:t>102</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7244D341" w14:textId="77777777" w:rsidR="00436707" w:rsidRPr="00F6205B" w:rsidRDefault="00436707" w:rsidP="0044249F">
            <w:pPr>
              <w:keepNext/>
              <w:keepLines/>
              <w:tabs>
                <w:tab w:val="decimal" w:pos="261"/>
              </w:tabs>
              <w:spacing w:after="0" w:line="240" w:lineRule="auto"/>
              <w:contextualSpacing/>
              <w:jc w:val="center"/>
              <w:rPr>
                <w:sz w:val="20"/>
                <w:szCs w:val="20"/>
              </w:rPr>
            </w:pPr>
            <w:r w:rsidRPr="00F6205B">
              <w:rPr>
                <w:sz w:val="20"/>
                <w:szCs w:val="20"/>
              </w:rPr>
              <w:t>0.2%</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556957DA" w14:textId="77777777" w:rsidR="00436707" w:rsidRPr="00F6205B" w:rsidRDefault="00436707" w:rsidP="0044249F">
            <w:pPr>
              <w:keepNext/>
              <w:keepLines/>
              <w:tabs>
                <w:tab w:val="decimal" w:pos="258"/>
              </w:tabs>
              <w:spacing w:after="0" w:line="240" w:lineRule="auto"/>
              <w:contextualSpacing/>
              <w:jc w:val="center"/>
              <w:rPr>
                <w:sz w:val="20"/>
                <w:szCs w:val="20"/>
              </w:rPr>
            </w:pPr>
            <w:r w:rsidRPr="00F6205B">
              <w:rPr>
                <w:sz w:val="20"/>
                <w:szCs w:val="20"/>
              </w:rPr>
              <w:t xml:space="preserve"> 0.3</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455C2E1F" w14:textId="77777777" w:rsidR="00436707" w:rsidRPr="00F6205B" w:rsidRDefault="00436707" w:rsidP="0044249F">
            <w:pPr>
              <w:keepNext/>
              <w:keepLines/>
              <w:tabs>
                <w:tab w:val="decimal" w:pos="285"/>
              </w:tabs>
              <w:spacing w:after="0" w:line="240" w:lineRule="auto"/>
              <w:contextualSpacing/>
              <w:jc w:val="center"/>
              <w:rPr>
                <w:sz w:val="20"/>
                <w:szCs w:val="20"/>
              </w:rPr>
            </w:pPr>
            <w:r w:rsidRPr="00F6205B">
              <w:rPr>
                <w:sz w:val="20"/>
                <w:szCs w:val="20"/>
              </w:rPr>
              <w:t xml:space="preserve"> 1.3</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7C6232A0" w14:textId="77777777" w:rsidR="00436707" w:rsidRPr="00F6205B" w:rsidRDefault="00436707" w:rsidP="0044249F">
            <w:pPr>
              <w:keepNext/>
              <w:keepLines/>
              <w:tabs>
                <w:tab w:val="decimal" w:pos="207"/>
              </w:tabs>
              <w:spacing w:after="0" w:line="240" w:lineRule="auto"/>
              <w:contextualSpacing/>
              <w:jc w:val="center"/>
              <w:rPr>
                <w:sz w:val="20"/>
                <w:szCs w:val="20"/>
              </w:rPr>
            </w:pPr>
            <w:r w:rsidRPr="00F6205B">
              <w:rPr>
                <w:sz w:val="20"/>
                <w:szCs w:val="20"/>
              </w:rPr>
              <w:t xml:space="preserve"> 0.1</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5E3D1C62" w14:textId="77777777" w:rsidR="00436707" w:rsidRPr="00F6205B" w:rsidRDefault="00436707" w:rsidP="0044249F">
            <w:pPr>
              <w:keepNext/>
              <w:keepLines/>
              <w:tabs>
                <w:tab w:val="decimal" w:pos="489"/>
              </w:tabs>
              <w:spacing w:after="0" w:line="240" w:lineRule="auto"/>
              <w:contextualSpacing/>
              <w:jc w:val="center"/>
              <w:rPr>
                <w:sz w:val="20"/>
                <w:szCs w:val="20"/>
              </w:rPr>
            </w:pPr>
            <w:r w:rsidRPr="00F6205B">
              <w:rPr>
                <w:sz w:val="20"/>
                <w:szCs w:val="20"/>
              </w:rPr>
              <w:t xml:space="preserve"> 41.5</w:t>
            </w:r>
          </w:p>
        </w:tc>
        <w:tc>
          <w:tcPr>
            <w:tcW w:w="106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6976C9F8" w14:textId="77777777" w:rsidR="00436707" w:rsidRPr="00F6205B" w:rsidRDefault="00436707" w:rsidP="0044249F">
            <w:pPr>
              <w:keepNext/>
              <w:keepLines/>
              <w:tabs>
                <w:tab w:val="decimal" w:pos="321"/>
              </w:tabs>
              <w:spacing w:after="0" w:line="240" w:lineRule="auto"/>
              <w:contextualSpacing/>
              <w:jc w:val="center"/>
              <w:rPr>
                <w:sz w:val="20"/>
                <w:szCs w:val="20"/>
              </w:rPr>
            </w:pPr>
            <w:r w:rsidRPr="00F6205B">
              <w:rPr>
                <w:sz w:val="20"/>
                <w:szCs w:val="20"/>
              </w:rPr>
              <w:t xml:space="preserve"> 0.3</w:t>
            </w:r>
          </w:p>
        </w:tc>
      </w:tr>
      <w:tr w:rsidR="00436707" w:rsidRPr="00F6205B" w14:paraId="24C3ED0B" w14:textId="77777777" w:rsidTr="003A0BAD">
        <w:trPr>
          <w:trHeight w:val="288"/>
          <w:jc w:val="center"/>
        </w:trPr>
        <w:tc>
          <w:tcPr>
            <w:tcW w:w="2562"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3A9C5A3" w14:textId="77777777" w:rsidR="00436707" w:rsidRPr="00F6205B" w:rsidRDefault="00436707" w:rsidP="0044249F">
            <w:pPr>
              <w:keepNext/>
              <w:keepLines/>
              <w:spacing w:after="0" w:line="240" w:lineRule="auto"/>
              <w:contextualSpacing/>
              <w:jc w:val="right"/>
              <w:rPr>
                <w:sz w:val="20"/>
                <w:szCs w:val="20"/>
              </w:rPr>
            </w:pPr>
            <w:r w:rsidRPr="00F6205B">
              <w:rPr>
                <w:sz w:val="20"/>
                <w:szCs w:val="20"/>
              </w:rPr>
              <w:t>Replace oil storage water heater with more efficient oil storage water heater</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0FE65F" w14:textId="77777777" w:rsidR="00436707" w:rsidRPr="00F6205B" w:rsidRDefault="00436707" w:rsidP="0044249F">
            <w:pPr>
              <w:keepNext/>
              <w:keepLines/>
              <w:spacing w:after="0" w:line="240" w:lineRule="auto"/>
              <w:contextualSpacing/>
              <w:jc w:val="center"/>
              <w:rPr>
                <w:i/>
                <w:sz w:val="20"/>
                <w:szCs w:val="20"/>
              </w:rPr>
            </w:pPr>
            <w:r w:rsidRPr="00F6205B">
              <w:rPr>
                <w:i/>
                <w:sz w:val="20"/>
                <w:szCs w:val="20"/>
              </w:rPr>
              <w:t>9</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056A0F" w14:textId="77777777" w:rsidR="00436707" w:rsidRPr="00F6205B" w:rsidRDefault="00436707" w:rsidP="0044249F">
            <w:pPr>
              <w:keepNext/>
              <w:keepLines/>
              <w:tabs>
                <w:tab w:val="decimal" w:pos="261"/>
              </w:tabs>
              <w:spacing w:after="0" w:line="240" w:lineRule="auto"/>
              <w:contextualSpacing/>
              <w:jc w:val="center"/>
              <w:rPr>
                <w:sz w:val="20"/>
                <w:szCs w:val="20"/>
              </w:rPr>
            </w:pPr>
            <w:r w:rsidRPr="00F6205B">
              <w:rPr>
                <w:sz w:val="20"/>
                <w:szCs w:val="20"/>
              </w:rPr>
              <w:t>0.1%</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C286FD" w14:textId="77777777" w:rsidR="00436707" w:rsidRPr="00F6205B" w:rsidRDefault="00436707" w:rsidP="0044249F">
            <w:pPr>
              <w:keepNext/>
              <w:keepLines/>
              <w:tabs>
                <w:tab w:val="decimal" w:pos="258"/>
              </w:tabs>
              <w:spacing w:after="0" w:line="240" w:lineRule="auto"/>
              <w:contextualSpacing/>
              <w:jc w:val="center"/>
              <w:rPr>
                <w:sz w:val="20"/>
                <w:szCs w:val="20"/>
              </w:rPr>
            </w:pPr>
            <w:r w:rsidRPr="00F6205B">
              <w:rPr>
                <w:sz w:val="20"/>
                <w:szCs w:val="20"/>
              </w:rPr>
              <w:t xml:space="preserve"> 1.3</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C1519A" w14:textId="77777777" w:rsidR="00436707" w:rsidRPr="00F6205B" w:rsidRDefault="00436707" w:rsidP="0044249F">
            <w:pPr>
              <w:keepNext/>
              <w:keepLines/>
              <w:tabs>
                <w:tab w:val="decimal" w:pos="285"/>
              </w:tabs>
              <w:spacing w:after="0" w:line="240" w:lineRule="auto"/>
              <w:contextualSpacing/>
              <w:jc w:val="center"/>
              <w:rPr>
                <w:sz w:val="20"/>
                <w:szCs w:val="20"/>
              </w:rPr>
            </w:pPr>
            <w:r w:rsidRPr="00F6205B">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647BE7" w14:textId="77777777" w:rsidR="00436707" w:rsidRPr="00F6205B" w:rsidRDefault="00436707" w:rsidP="0044249F">
            <w:pPr>
              <w:keepNext/>
              <w:keepLines/>
              <w:tabs>
                <w:tab w:val="decimal" w:pos="207"/>
              </w:tabs>
              <w:spacing w:after="0" w:line="240" w:lineRule="auto"/>
              <w:contextualSpacing/>
              <w:jc w:val="center"/>
              <w:rPr>
                <w:sz w:val="20"/>
                <w:szCs w:val="20"/>
              </w:rPr>
            </w:pPr>
            <w:r w:rsidRPr="00F6205B">
              <w:rPr>
                <w:sz w:val="20"/>
                <w:szCs w:val="20"/>
              </w:rPr>
              <w:t xml:space="preserve"> 0.03</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F2299A" w14:textId="77777777" w:rsidR="00436707" w:rsidRPr="00F6205B" w:rsidRDefault="00436707" w:rsidP="0044249F">
            <w:pPr>
              <w:keepNext/>
              <w:keepLines/>
              <w:tabs>
                <w:tab w:val="decimal" w:pos="489"/>
              </w:tabs>
              <w:spacing w:after="0" w:line="240" w:lineRule="auto"/>
              <w:contextualSpacing/>
              <w:jc w:val="center"/>
              <w:rPr>
                <w:sz w:val="20"/>
                <w:szCs w:val="20"/>
              </w:rPr>
            </w:pPr>
            <w:r w:rsidRPr="00F6205B">
              <w:rPr>
                <w:sz w:val="20"/>
                <w:szCs w:val="20"/>
              </w:rPr>
              <w:t>- 0.2</w:t>
            </w:r>
          </w:p>
        </w:tc>
        <w:tc>
          <w:tcPr>
            <w:tcW w:w="1068"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832ED3D" w14:textId="77777777" w:rsidR="00436707" w:rsidRPr="00F6205B" w:rsidRDefault="00436707" w:rsidP="0044249F">
            <w:pPr>
              <w:keepNext/>
              <w:keepLines/>
              <w:tabs>
                <w:tab w:val="decimal" w:pos="321"/>
              </w:tabs>
              <w:spacing w:after="0" w:line="240" w:lineRule="auto"/>
              <w:contextualSpacing/>
              <w:jc w:val="center"/>
              <w:rPr>
                <w:sz w:val="20"/>
                <w:szCs w:val="20"/>
              </w:rPr>
            </w:pPr>
            <w:r w:rsidRPr="00F6205B">
              <w:rPr>
                <w:sz w:val="20"/>
                <w:szCs w:val="20"/>
              </w:rPr>
              <w:t xml:space="preserve"> 0.2</w:t>
            </w:r>
          </w:p>
        </w:tc>
      </w:tr>
      <w:tr w:rsidR="00436707" w:rsidRPr="00F6205B" w14:paraId="62571CD0" w14:textId="77777777" w:rsidTr="003A0BAD">
        <w:trPr>
          <w:trHeight w:val="288"/>
          <w:jc w:val="center"/>
        </w:trPr>
        <w:tc>
          <w:tcPr>
            <w:tcW w:w="2562"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0B697519" w14:textId="77777777" w:rsidR="00436707" w:rsidRPr="00F6205B" w:rsidRDefault="00436707" w:rsidP="0044249F">
            <w:pPr>
              <w:keepNext/>
              <w:keepLines/>
              <w:spacing w:after="0" w:line="240" w:lineRule="auto"/>
              <w:contextualSpacing/>
              <w:jc w:val="right"/>
              <w:rPr>
                <w:sz w:val="20"/>
                <w:szCs w:val="20"/>
              </w:rPr>
            </w:pPr>
            <w:r w:rsidRPr="00F6205B">
              <w:rPr>
                <w:sz w:val="20"/>
                <w:szCs w:val="20"/>
              </w:rPr>
              <w:t>Replace propane storage water heater with instantaneous</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67BDF91A" w14:textId="77777777" w:rsidR="00436707" w:rsidRPr="00F6205B" w:rsidRDefault="00436707" w:rsidP="0044249F">
            <w:pPr>
              <w:keepNext/>
              <w:keepLines/>
              <w:spacing w:after="0" w:line="240" w:lineRule="auto"/>
              <w:contextualSpacing/>
              <w:jc w:val="center"/>
              <w:rPr>
                <w:i/>
                <w:sz w:val="20"/>
                <w:szCs w:val="20"/>
              </w:rPr>
            </w:pPr>
            <w:r w:rsidRPr="00F6205B">
              <w:rPr>
                <w:i/>
                <w:sz w:val="20"/>
                <w:szCs w:val="20"/>
              </w:rPr>
              <w:t>6</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7E0A3D0C" w14:textId="77777777" w:rsidR="00436707" w:rsidRPr="00F6205B" w:rsidRDefault="00436707" w:rsidP="0044249F">
            <w:pPr>
              <w:keepNext/>
              <w:keepLines/>
              <w:tabs>
                <w:tab w:val="decimal" w:pos="261"/>
              </w:tabs>
              <w:spacing w:after="0" w:line="240" w:lineRule="auto"/>
              <w:contextualSpacing/>
              <w:jc w:val="center"/>
              <w:rPr>
                <w:sz w:val="20"/>
                <w:szCs w:val="20"/>
              </w:rPr>
            </w:pPr>
            <w:r w:rsidRPr="00F6205B">
              <w:rPr>
                <w:sz w:val="20"/>
                <w:szCs w:val="20"/>
              </w:rPr>
              <w:t>0.1%</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69D4F70F" w14:textId="77777777" w:rsidR="00436707" w:rsidRPr="00F6205B" w:rsidRDefault="00436707" w:rsidP="0044249F">
            <w:pPr>
              <w:keepNext/>
              <w:keepLines/>
              <w:tabs>
                <w:tab w:val="decimal" w:pos="258"/>
              </w:tabs>
              <w:spacing w:after="0" w:line="240" w:lineRule="auto"/>
              <w:contextualSpacing/>
              <w:jc w:val="center"/>
              <w:rPr>
                <w:sz w:val="20"/>
                <w:szCs w:val="20"/>
              </w:rPr>
            </w:pPr>
            <w:r w:rsidRPr="00F6205B">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2A16E479" w14:textId="77777777" w:rsidR="00436707" w:rsidRPr="00F6205B" w:rsidRDefault="00436707" w:rsidP="0044249F">
            <w:pPr>
              <w:keepNext/>
              <w:keepLines/>
              <w:tabs>
                <w:tab w:val="decimal" w:pos="285"/>
              </w:tabs>
              <w:spacing w:after="0" w:line="240" w:lineRule="auto"/>
              <w:contextualSpacing/>
              <w:jc w:val="center"/>
              <w:rPr>
                <w:sz w:val="20"/>
                <w:szCs w:val="20"/>
              </w:rPr>
            </w:pPr>
            <w:r w:rsidRPr="00F6205B">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4B47D09F" w14:textId="77777777" w:rsidR="00436707" w:rsidRPr="00F6205B" w:rsidRDefault="00436707" w:rsidP="0044249F">
            <w:pPr>
              <w:keepNext/>
              <w:keepLines/>
              <w:tabs>
                <w:tab w:val="decimal" w:pos="207"/>
              </w:tabs>
              <w:spacing w:after="0" w:line="240" w:lineRule="auto"/>
              <w:contextualSpacing/>
              <w:jc w:val="center"/>
              <w:rPr>
                <w:sz w:val="20"/>
                <w:szCs w:val="20"/>
              </w:rPr>
            </w:pPr>
            <w:r w:rsidRPr="00F6205B">
              <w:rPr>
                <w:sz w:val="20"/>
                <w:szCs w:val="20"/>
              </w:rPr>
              <w:t xml:space="preserve"> 1.6</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1D1B355C" w14:textId="77777777" w:rsidR="00436707" w:rsidRPr="00F6205B" w:rsidRDefault="00436707" w:rsidP="0044249F">
            <w:pPr>
              <w:keepNext/>
              <w:keepLines/>
              <w:tabs>
                <w:tab w:val="decimal" w:pos="489"/>
              </w:tabs>
              <w:spacing w:after="0" w:line="240" w:lineRule="auto"/>
              <w:contextualSpacing/>
              <w:jc w:val="center"/>
              <w:rPr>
                <w:sz w:val="20"/>
                <w:szCs w:val="20"/>
              </w:rPr>
            </w:pPr>
            <w:r w:rsidRPr="00F6205B">
              <w:rPr>
                <w:sz w:val="20"/>
                <w:szCs w:val="20"/>
              </w:rPr>
              <w:t xml:space="preserve"> 0.3</w:t>
            </w:r>
          </w:p>
        </w:tc>
        <w:tc>
          <w:tcPr>
            <w:tcW w:w="106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37DADCD8" w14:textId="77777777" w:rsidR="00436707" w:rsidRPr="00F6205B" w:rsidRDefault="00436707" w:rsidP="0044249F">
            <w:pPr>
              <w:keepNext/>
              <w:keepLines/>
              <w:tabs>
                <w:tab w:val="decimal" w:pos="321"/>
              </w:tabs>
              <w:spacing w:after="0" w:line="240" w:lineRule="auto"/>
              <w:contextualSpacing/>
              <w:jc w:val="center"/>
              <w:rPr>
                <w:sz w:val="20"/>
                <w:szCs w:val="20"/>
              </w:rPr>
            </w:pPr>
            <w:r w:rsidRPr="00F6205B">
              <w:rPr>
                <w:sz w:val="20"/>
                <w:szCs w:val="20"/>
              </w:rPr>
              <w:t xml:space="preserve"> 0.1</w:t>
            </w:r>
          </w:p>
        </w:tc>
      </w:tr>
      <w:tr w:rsidR="00436707" w:rsidRPr="00F6205B" w14:paraId="569BB81D" w14:textId="77777777" w:rsidTr="003A0BAD">
        <w:trPr>
          <w:trHeight w:val="288"/>
          <w:jc w:val="center"/>
        </w:trPr>
        <w:tc>
          <w:tcPr>
            <w:tcW w:w="2562"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2F9494E" w14:textId="77777777" w:rsidR="00436707" w:rsidRPr="00F6205B" w:rsidRDefault="00436707" w:rsidP="0044249F">
            <w:pPr>
              <w:keepNext/>
              <w:keepLines/>
              <w:spacing w:after="0" w:line="240" w:lineRule="auto"/>
              <w:contextualSpacing/>
              <w:jc w:val="right"/>
              <w:rPr>
                <w:sz w:val="20"/>
                <w:szCs w:val="20"/>
              </w:rPr>
            </w:pPr>
            <w:r w:rsidRPr="00F6205B">
              <w:rPr>
                <w:sz w:val="20"/>
                <w:szCs w:val="20"/>
              </w:rPr>
              <w:t>Replace propane storage water heater with more efficient propane storage heater</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7E04D5" w14:textId="77777777" w:rsidR="00436707" w:rsidRPr="00F6205B" w:rsidRDefault="00436707" w:rsidP="0044249F">
            <w:pPr>
              <w:keepNext/>
              <w:keepLines/>
              <w:spacing w:after="0" w:line="240" w:lineRule="auto"/>
              <w:contextualSpacing/>
              <w:jc w:val="center"/>
              <w:rPr>
                <w:i/>
                <w:sz w:val="20"/>
                <w:szCs w:val="20"/>
              </w:rPr>
            </w:pPr>
            <w:r w:rsidRPr="00F6205B">
              <w:rPr>
                <w:i/>
                <w:sz w:val="20"/>
                <w:szCs w:val="20"/>
              </w:rPr>
              <w:t>4</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8C54DE" w14:textId="77777777" w:rsidR="00436707" w:rsidRPr="00F6205B" w:rsidRDefault="00436707" w:rsidP="0044249F">
            <w:pPr>
              <w:keepNext/>
              <w:keepLines/>
              <w:tabs>
                <w:tab w:val="decimal" w:pos="261"/>
              </w:tabs>
              <w:spacing w:after="0" w:line="240" w:lineRule="auto"/>
              <w:contextualSpacing/>
              <w:jc w:val="center"/>
              <w:rPr>
                <w:sz w:val="20"/>
                <w:szCs w:val="20"/>
              </w:rPr>
            </w:pPr>
            <w:r w:rsidRPr="00F6205B">
              <w:rPr>
                <w:sz w:val="20"/>
                <w:szCs w:val="20"/>
              </w:rPr>
              <w:t>0.1%</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A09B4B" w14:textId="77777777" w:rsidR="00436707" w:rsidRPr="00F6205B" w:rsidRDefault="00436707" w:rsidP="0044249F">
            <w:pPr>
              <w:keepNext/>
              <w:keepLines/>
              <w:tabs>
                <w:tab w:val="decimal" w:pos="258"/>
              </w:tabs>
              <w:spacing w:after="0" w:line="240" w:lineRule="auto"/>
              <w:contextualSpacing/>
              <w:jc w:val="center"/>
              <w:rPr>
                <w:sz w:val="20"/>
                <w:szCs w:val="20"/>
              </w:rPr>
            </w:pPr>
            <w:r w:rsidRPr="00F6205B">
              <w:rPr>
                <w:sz w:val="20"/>
                <w:szCs w:val="20"/>
              </w:rPr>
              <w:t xml:space="preserve"> &lt;0.1</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72737F" w14:textId="77777777" w:rsidR="00436707" w:rsidRPr="00F6205B" w:rsidRDefault="00436707" w:rsidP="0044249F">
            <w:pPr>
              <w:keepNext/>
              <w:keepLines/>
              <w:tabs>
                <w:tab w:val="decimal" w:pos="285"/>
              </w:tabs>
              <w:spacing w:after="0" w:line="240" w:lineRule="auto"/>
              <w:contextualSpacing/>
              <w:jc w:val="center"/>
              <w:rPr>
                <w:sz w:val="20"/>
                <w:szCs w:val="20"/>
              </w:rPr>
            </w:pPr>
            <w:r w:rsidRPr="00F6205B">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C5B4AA" w14:textId="77777777" w:rsidR="00436707" w:rsidRPr="00F6205B" w:rsidRDefault="00436707" w:rsidP="0044249F">
            <w:pPr>
              <w:keepNext/>
              <w:keepLines/>
              <w:tabs>
                <w:tab w:val="decimal" w:pos="207"/>
              </w:tabs>
              <w:spacing w:after="0" w:line="240" w:lineRule="auto"/>
              <w:contextualSpacing/>
              <w:jc w:val="center"/>
              <w:rPr>
                <w:sz w:val="20"/>
                <w:szCs w:val="20"/>
              </w:rPr>
            </w:pPr>
            <w:r w:rsidRPr="00F6205B">
              <w:rPr>
                <w:sz w:val="20"/>
                <w:szCs w:val="20"/>
              </w:rPr>
              <w:t xml:space="preserve"> 1.0</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B0BC51" w14:textId="77777777" w:rsidR="00436707" w:rsidRPr="00F6205B" w:rsidRDefault="00436707" w:rsidP="0044249F">
            <w:pPr>
              <w:keepNext/>
              <w:keepLines/>
              <w:tabs>
                <w:tab w:val="decimal" w:pos="489"/>
              </w:tabs>
              <w:spacing w:after="0" w:line="240" w:lineRule="auto"/>
              <w:contextualSpacing/>
              <w:jc w:val="center"/>
              <w:rPr>
                <w:sz w:val="20"/>
                <w:szCs w:val="20"/>
              </w:rPr>
            </w:pPr>
            <w:r w:rsidRPr="00F6205B">
              <w:rPr>
                <w:sz w:val="20"/>
                <w:szCs w:val="20"/>
              </w:rPr>
              <w:t>- &lt;0.1</w:t>
            </w:r>
          </w:p>
        </w:tc>
        <w:tc>
          <w:tcPr>
            <w:tcW w:w="1068"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635521B" w14:textId="77777777" w:rsidR="00436707" w:rsidRPr="00F6205B" w:rsidRDefault="00436707" w:rsidP="0044249F">
            <w:pPr>
              <w:keepNext/>
              <w:keepLines/>
              <w:tabs>
                <w:tab w:val="decimal" w:pos="321"/>
              </w:tabs>
              <w:spacing w:after="0" w:line="240" w:lineRule="auto"/>
              <w:contextualSpacing/>
              <w:jc w:val="center"/>
              <w:rPr>
                <w:sz w:val="20"/>
                <w:szCs w:val="20"/>
              </w:rPr>
            </w:pPr>
            <w:r w:rsidRPr="00F6205B">
              <w:rPr>
                <w:sz w:val="20"/>
                <w:szCs w:val="20"/>
              </w:rPr>
              <w:t xml:space="preserve"> 0.1</w:t>
            </w:r>
          </w:p>
        </w:tc>
      </w:tr>
      <w:tr w:rsidR="00436707" w:rsidRPr="00F6205B" w14:paraId="7B17CA52" w14:textId="77777777" w:rsidTr="003A0BAD">
        <w:trPr>
          <w:trHeight w:val="288"/>
          <w:jc w:val="center"/>
        </w:trPr>
        <w:tc>
          <w:tcPr>
            <w:tcW w:w="2562" w:type="dxa"/>
            <w:tcBorders>
              <w:top w:val="single" w:sz="4" w:space="0" w:color="000000" w:themeColor="text1"/>
              <w:left w:val="single" w:sz="4" w:space="0" w:color="auto"/>
              <w:bottom w:val="single" w:sz="4" w:space="0" w:color="auto"/>
              <w:right w:val="single" w:sz="4" w:space="0" w:color="000000" w:themeColor="text1"/>
            </w:tcBorders>
            <w:shd w:val="clear" w:color="auto" w:fill="BFBFBF" w:themeFill="background1" w:themeFillShade="BF"/>
            <w:vAlign w:val="center"/>
          </w:tcPr>
          <w:p w14:paraId="2EF3165D" w14:textId="77777777" w:rsidR="00436707" w:rsidRPr="00F6205B" w:rsidRDefault="00436707" w:rsidP="0044249F">
            <w:pPr>
              <w:keepNext/>
              <w:keepLines/>
              <w:spacing w:after="0" w:line="240" w:lineRule="auto"/>
              <w:contextualSpacing/>
              <w:jc w:val="right"/>
              <w:rPr>
                <w:sz w:val="20"/>
                <w:szCs w:val="20"/>
              </w:rPr>
            </w:pPr>
            <w:r w:rsidRPr="00F6205B">
              <w:rPr>
                <w:sz w:val="20"/>
                <w:szCs w:val="20"/>
              </w:rPr>
              <w:t>Replace propane storage water heater with condensing propane water heater</w:t>
            </w:r>
          </w:p>
        </w:tc>
        <w:tc>
          <w:tcPr>
            <w:tcW w:w="88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BFBFBF" w:themeFill="background1" w:themeFillShade="BF"/>
            <w:vAlign w:val="center"/>
          </w:tcPr>
          <w:p w14:paraId="3EADC1DB" w14:textId="77777777" w:rsidR="00436707" w:rsidRPr="00F6205B" w:rsidRDefault="00436707" w:rsidP="0044249F">
            <w:pPr>
              <w:keepNext/>
              <w:keepLines/>
              <w:spacing w:after="0" w:line="240" w:lineRule="auto"/>
              <w:contextualSpacing/>
              <w:jc w:val="center"/>
              <w:rPr>
                <w:i/>
                <w:sz w:val="20"/>
                <w:szCs w:val="20"/>
              </w:rPr>
            </w:pPr>
            <w:r w:rsidRPr="00F6205B">
              <w:rPr>
                <w:i/>
                <w:sz w:val="20"/>
                <w:szCs w:val="20"/>
              </w:rPr>
              <w:t>4</w:t>
            </w:r>
          </w:p>
        </w:tc>
        <w:tc>
          <w:tcPr>
            <w:tcW w:w="106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BFBFBF" w:themeFill="background1" w:themeFillShade="BF"/>
            <w:vAlign w:val="center"/>
          </w:tcPr>
          <w:p w14:paraId="2AF2C0C2" w14:textId="77777777" w:rsidR="00436707" w:rsidRPr="00F6205B" w:rsidRDefault="00436707" w:rsidP="0044249F">
            <w:pPr>
              <w:keepNext/>
              <w:keepLines/>
              <w:tabs>
                <w:tab w:val="decimal" w:pos="261"/>
              </w:tabs>
              <w:spacing w:after="0" w:line="240" w:lineRule="auto"/>
              <w:contextualSpacing/>
              <w:jc w:val="center"/>
              <w:rPr>
                <w:sz w:val="20"/>
                <w:szCs w:val="20"/>
              </w:rPr>
            </w:pPr>
            <w:r w:rsidRPr="00F6205B">
              <w:rPr>
                <w:sz w:val="20"/>
                <w:szCs w:val="20"/>
              </w:rPr>
              <w:t>0.1%</w:t>
            </w:r>
          </w:p>
        </w:tc>
        <w:tc>
          <w:tcPr>
            <w:tcW w:w="106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BFBFBF" w:themeFill="background1" w:themeFillShade="BF"/>
            <w:vAlign w:val="center"/>
          </w:tcPr>
          <w:p w14:paraId="3DD98FEB" w14:textId="77777777" w:rsidR="00436707" w:rsidRPr="00F6205B" w:rsidRDefault="00436707" w:rsidP="0044249F">
            <w:pPr>
              <w:keepNext/>
              <w:keepLines/>
              <w:tabs>
                <w:tab w:val="decimal" w:pos="258"/>
              </w:tabs>
              <w:spacing w:after="0" w:line="240" w:lineRule="auto"/>
              <w:contextualSpacing/>
              <w:jc w:val="center"/>
              <w:rPr>
                <w:sz w:val="20"/>
                <w:szCs w:val="20"/>
              </w:rPr>
            </w:pPr>
            <w:r w:rsidRPr="00F6205B">
              <w:rPr>
                <w:sz w:val="20"/>
                <w:szCs w:val="20"/>
              </w:rPr>
              <w:t>--</w:t>
            </w:r>
          </w:p>
        </w:tc>
        <w:tc>
          <w:tcPr>
            <w:tcW w:w="106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BFBFBF" w:themeFill="background1" w:themeFillShade="BF"/>
            <w:vAlign w:val="center"/>
          </w:tcPr>
          <w:p w14:paraId="5E73021C" w14:textId="77777777" w:rsidR="00436707" w:rsidRPr="00F6205B" w:rsidRDefault="00436707" w:rsidP="0044249F">
            <w:pPr>
              <w:keepNext/>
              <w:keepLines/>
              <w:tabs>
                <w:tab w:val="decimal" w:pos="285"/>
              </w:tabs>
              <w:spacing w:after="0" w:line="240" w:lineRule="auto"/>
              <w:contextualSpacing/>
              <w:jc w:val="center"/>
              <w:rPr>
                <w:sz w:val="20"/>
                <w:szCs w:val="20"/>
              </w:rPr>
            </w:pPr>
            <w:r w:rsidRPr="00F6205B">
              <w:rPr>
                <w:sz w:val="20"/>
                <w:szCs w:val="20"/>
              </w:rPr>
              <w:t>--</w:t>
            </w:r>
          </w:p>
        </w:tc>
        <w:tc>
          <w:tcPr>
            <w:tcW w:w="106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BFBFBF" w:themeFill="background1" w:themeFillShade="BF"/>
            <w:vAlign w:val="center"/>
          </w:tcPr>
          <w:p w14:paraId="7D24E0E8" w14:textId="77777777" w:rsidR="00436707" w:rsidRPr="00F6205B" w:rsidRDefault="00436707" w:rsidP="0044249F">
            <w:pPr>
              <w:keepNext/>
              <w:keepLines/>
              <w:tabs>
                <w:tab w:val="decimal" w:pos="207"/>
              </w:tabs>
              <w:spacing w:after="0" w:line="240" w:lineRule="auto"/>
              <w:contextualSpacing/>
              <w:jc w:val="center"/>
              <w:rPr>
                <w:sz w:val="20"/>
                <w:szCs w:val="20"/>
              </w:rPr>
            </w:pPr>
            <w:r w:rsidRPr="00F6205B">
              <w:rPr>
                <w:sz w:val="20"/>
                <w:szCs w:val="20"/>
              </w:rPr>
              <w:t xml:space="preserve"> 1.3</w:t>
            </w:r>
          </w:p>
        </w:tc>
        <w:tc>
          <w:tcPr>
            <w:tcW w:w="106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BFBFBF" w:themeFill="background1" w:themeFillShade="BF"/>
            <w:vAlign w:val="center"/>
          </w:tcPr>
          <w:p w14:paraId="0AD52456" w14:textId="77777777" w:rsidR="00436707" w:rsidRPr="00F6205B" w:rsidRDefault="00436707" w:rsidP="0044249F">
            <w:pPr>
              <w:keepNext/>
              <w:keepLines/>
              <w:tabs>
                <w:tab w:val="decimal" w:pos="489"/>
              </w:tabs>
              <w:spacing w:after="0" w:line="240" w:lineRule="auto"/>
              <w:contextualSpacing/>
              <w:jc w:val="center"/>
              <w:rPr>
                <w:sz w:val="20"/>
                <w:szCs w:val="20"/>
              </w:rPr>
            </w:pPr>
            <w:r w:rsidRPr="00F6205B">
              <w:rPr>
                <w:sz w:val="20"/>
                <w:szCs w:val="20"/>
              </w:rPr>
              <w:t xml:space="preserve"> 0.3</w:t>
            </w:r>
          </w:p>
        </w:tc>
        <w:tc>
          <w:tcPr>
            <w:tcW w:w="1068" w:type="dxa"/>
            <w:tcBorders>
              <w:top w:val="single" w:sz="4" w:space="0" w:color="000000" w:themeColor="text1"/>
              <w:left w:val="single" w:sz="4" w:space="0" w:color="000000" w:themeColor="text1"/>
              <w:bottom w:val="single" w:sz="4" w:space="0" w:color="auto"/>
              <w:right w:val="single" w:sz="4" w:space="0" w:color="auto"/>
            </w:tcBorders>
            <w:shd w:val="clear" w:color="auto" w:fill="BFBFBF" w:themeFill="background1" w:themeFillShade="BF"/>
            <w:vAlign w:val="center"/>
          </w:tcPr>
          <w:p w14:paraId="2DDFBB0E" w14:textId="77777777" w:rsidR="00436707" w:rsidRPr="00F6205B" w:rsidRDefault="00436707" w:rsidP="0044249F">
            <w:pPr>
              <w:keepNext/>
              <w:keepLines/>
              <w:tabs>
                <w:tab w:val="decimal" w:pos="321"/>
              </w:tabs>
              <w:spacing w:after="0" w:line="240" w:lineRule="auto"/>
              <w:contextualSpacing/>
              <w:jc w:val="center"/>
              <w:rPr>
                <w:sz w:val="20"/>
                <w:szCs w:val="20"/>
              </w:rPr>
            </w:pPr>
            <w:r w:rsidRPr="00F6205B">
              <w:rPr>
                <w:sz w:val="20"/>
                <w:szCs w:val="20"/>
              </w:rPr>
              <w:t xml:space="preserve"> 0.1</w:t>
            </w:r>
          </w:p>
        </w:tc>
      </w:tr>
    </w:tbl>
    <w:p w14:paraId="5AB99B81" w14:textId="77777777" w:rsidR="00436707" w:rsidRPr="00F6205B" w:rsidRDefault="00436707" w:rsidP="00436707">
      <w:pPr>
        <w:keepNext/>
        <w:keepLines/>
        <w:spacing w:after="0" w:line="240" w:lineRule="auto"/>
        <w:ind w:left="-270"/>
        <w:contextualSpacing/>
        <w:rPr>
          <w:sz w:val="18"/>
          <w:szCs w:val="18"/>
        </w:rPr>
      </w:pPr>
      <w:r w:rsidRPr="00F6205B">
        <w:rPr>
          <w:sz w:val="18"/>
          <w:szCs w:val="18"/>
          <w:vertAlign w:val="superscript"/>
        </w:rPr>
        <w:t xml:space="preserve">i </w:t>
      </w:r>
      <w:r w:rsidRPr="00F6205B">
        <w:rPr>
          <w:sz w:val="18"/>
          <w:szCs w:val="18"/>
        </w:rPr>
        <w:t>Negative savings indicate a consumption increase.</w:t>
      </w:r>
    </w:p>
    <w:p w14:paraId="1D8F9D79" w14:textId="77777777" w:rsidR="00436707" w:rsidRPr="00F6205B" w:rsidRDefault="00436707" w:rsidP="00436707">
      <w:pPr>
        <w:keepNext/>
        <w:keepLines/>
        <w:spacing w:after="0" w:line="240" w:lineRule="auto"/>
        <w:ind w:left="-270"/>
        <w:contextualSpacing/>
        <w:rPr>
          <w:sz w:val="18"/>
          <w:szCs w:val="18"/>
        </w:rPr>
      </w:pPr>
      <w:r w:rsidRPr="00F6205B">
        <w:rPr>
          <w:sz w:val="18"/>
          <w:szCs w:val="18"/>
          <w:vertAlign w:val="superscript"/>
        </w:rPr>
        <w:t>ii</w:t>
      </w:r>
      <w:r w:rsidRPr="00F6205B">
        <w:rPr>
          <w:sz w:val="18"/>
          <w:szCs w:val="18"/>
        </w:rPr>
        <w:t xml:space="preserve"> Percent savings over baseline consumption in MMBtus.</w:t>
      </w:r>
    </w:p>
    <w:p w14:paraId="2998FD3B" w14:textId="77777777" w:rsidR="00436707" w:rsidRPr="00F6205B" w:rsidRDefault="00436707" w:rsidP="00436707">
      <w:pPr>
        <w:keepNext/>
        <w:keepLines/>
        <w:spacing w:after="0" w:line="240" w:lineRule="auto"/>
        <w:ind w:left="-270"/>
        <w:contextualSpacing/>
        <w:rPr>
          <w:sz w:val="18"/>
          <w:szCs w:val="18"/>
        </w:rPr>
      </w:pPr>
      <w:r w:rsidRPr="00F6205B">
        <w:rPr>
          <w:sz w:val="18"/>
          <w:szCs w:val="18"/>
          <w:vertAlign w:val="superscript"/>
        </w:rPr>
        <w:t>iii</w:t>
      </w:r>
      <w:r w:rsidRPr="00F6205B">
        <w:rPr>
          <w:sz w:val="18"/>
          <w:szCs w:val="18"/>
        </w:rPr>
        <w:t xml:space="preserve"> In millions.</w:t>
      </w:r>
    </w:p>
    <w:p w14:paraId="6D3784D7" w14:textId="77777777" w:rsidR="00436707" w:rsidRPr="00F6205B" w:rsidRDefault="00436707" w:rsidP="00436707"/>
    <w:p w14:paraId="05F02618" w14:textId="77777777" w:rsidR="00436707" w:rsidRPr="00F6205B" w:rsidRDefault="00436707" w:rsidP="00436707">
      <w:pPr>
        <w:spacing w:after="0" w:line="240" w:lineRule="auto"/>
        <w:rPr>
          <w:rFonts w:eastAsiaTheme="majorEastAsia" w:cstheme="majorBidi"/>
          <w:b/>
          <w:bCs/>
        </w:rPr>
      </w:pPr>
      <w:r w:rsidRPr="00F6205B">
        <w:br w:type="page"/>
      </w:r>
    </w:p>
    <w:p w14:paraId="68F20F1A" w14:textId="77777777" w:rsidR="00436707" w:rsidRPr="00F6205B" w:rsidRDefault="00436707" w:rsidP="00C47544">
      <w:pPr>
        <w:pStyle w:val="Heading4"/>
        <w:numPr>
          <w:ilvl w:val="0"/>
          <w:numId w:val="0"/>
        </w:numPr>
        <w:jc w:val="both"/>
      </w:pPr>
      <w:r w:rsidRPr="00F6205B">
        <w:lastRenderedPageBreak/>
        <w:t>Appliances and Lighting</w:t>
      </w:r>
    </w:p>
    <w:p w14:paraId="293A54FA" w14:textId="209D367E" w:rsidR="00436707" w:rsidRPr="00F6205B" w:rsidRDefault="00436707" w:rsidP="00436707">
      <w:pPr>
        <w:keepNext/>
      </w:pPr>
      <w:r w:rsidRPr="00F6205B">
        <w:t>The potential for electric savings achievable by increasing homes’ saturation of efficient lighting is considerable (</w:t>
      </w:r>
      <w:r w:rsidR="00173155" w:rsidRPr="00F6205B">
        <w:fldChar w:fldCharType="begin"/>
      </w:r>
      <w:r w:rsidR="00173155" w:rsidRPr="00F6205B">
        <w:instrText xml:space="preserve"> REF _Ref439319257 \h </w:instrText>
      </w:r>
      <w:r w:rsidR="00F6205B">
        <w:instrText xml:space="preserve"> \* MERGEFORMAT </w:instrText>
      </w:r>
      <w:r w:rsidR="00173155" w:rsidRPr="00F6205B">
        <w:fldChar w:fldCharType="separate"/>
      </w:r>
      <w:r w:rsidR="00FA26A9" w:rsidRPr="00F6205B">
        <w:t xml:space="preserve">Table </w:t>
      </w:r>
      <w:r w:rsidR="00FA26A9">
        <w:rPr>
          <w:noProof/>
        </w:rPr>
        <w:t>20</w:t>
      </w:r>
      <w:r w:rsidR="00173155" w:rsidRPr="00F6205B">
        <w:fldChar w:fldCharType="end"/>
      </w:r>
      <w:r w:rsidRPr="00F6205B">
        <w:t xml:space="preserve">). However, lighting upgrades—along with refrigerator and freezer upgrades, to a lesser degree—also result in more fossil fuel consumption due to reduced internal heat gains. </w:t>
      </w:r>
    </w:p>
    <w:p w14:paraId="3DDAD050" w14:textId="333418A2" w:rsidR="00436707" w:rsidRPr="00F6205B" w:rsidRDefault="00436707" w:rsidP="004F23CF">
      <w:pPr>
        <w:pStyle w:val="Caption"/>
      </w:pPr>
      <w:bookmarkStart w:id="223" w:name="_Ref366833894"/>
      <w:bookmarkStart w:id="224" w:name="_Ref439319257"/>
      <w:bookmarkStart w:id="225" w:name="_Toc373324128"/>
      <w:bookmarkStart w:id="226" w:name="_Toc391887356"/>
      <w:bookmarkStart w:id="227" w:name="_Toc439931851"/>
      <w:r w:rsidRPr="00F6205B">
        <w:t>Table</w:t>
      </w:r>
      <w:bookmarkEnd w:id="223"/>
      <w:r w:rsidR="004F23CF" w:rsidRPr="00F6205B">
        <w:t xml:space="preserve"> </w:t>
      </w:r>
      <w:fldSimple w:instr=" SEQ Table \* ARABIC ">
        <w:r w:rsidR="00FA26A9">
          <w:rPr>
            <w:noProof/>
          </w:rPr>
          <w:t>20</w:t>
        </w:r>
      </w:fldSimple>
      <w:bookmarkEnd w:id="224"/>
      <w:r w:rsidRPr="00F6205B">
        <w:t>: Appliance Savings Potential—First-Year</w:t>
      </w:r>
      <w:bookmarkEnd w:id="225"/>
      <w:bookmarkEnd w:id="226"/>
      <w:bookmarkEnd w:id="227"/>
    </w:p>
    <w:p w14:paraId="0BF479BC" w14:textId="77777777" w:rsidR="00346A82" w:rsidRPr="00F6205B" w:rsidRDefault="00346A82" w:rsidP="00346A82">
      <w:pPr>
        <w:pStyle w:val="Caption"/>
        <w:spacing w:before="0" w:after="120"/>
        <w:rPr>
          <w:b w:val="0"/>
          <w:bCs w:val="0"/>
          <w:sz w:val="18"/>
        </w:rPr>
      </w:pPr>
      <w:r w:rsidRPr="00F6205B">
        <w:rPr>
          <w:b w:val="0"/>
          <w:bCs w:val="0"/>
          <w:sz w:val="18"/>
        </w:rPr>
        <w:t>Base: all single-family homes (population-weighted)</w:t>
      </w:r>
    </w:p>
    <w:tbl>
      <w:tblPr>
        <w:tblW w:w="9744"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448"/>
        <w:gridCol w:w="888"/>
        <w:gridCol w:w="1068"/>
        <w:gridCol w:w="1068"/>
        <w:gridCol w:w="1068"/>
        <w:gridCol w:w="1068"/>
        <w:gridCol w:w="1068"/>
        <w:gridCol w:w="1068"/>
      </w:tblGrid>
      <w:tr w:rsidR="00436707" w:rsidRPr="00F6205B" w14:paraId="6A275F61" w14:textId="77777777" w:rsidTr="003B4970">
        <w:trPr>
          <w:trHeight w:val="288"/>
          <w:jc w:val="center"/>
        </w:trPr>
        <w:tc>
          <w:tcPr>
            <w:tcW w:w="2448" w:type="dxa"/>
            <w:tcBorders>
              <w:top w:val="single" w:sz="4" w:space="0" w:color="auto"/>
              <w:left w:val="single" w:sz="4" w:space="0" w:color="auto"/>
              <w:bottom w:val="single" w:sz="4" w:space="0" w:color="auto"/>
              <w:right w:val="single" w:sz="4" w:space="0" w:color="000000" w:themeColor="text1"/>
            </w:tcBorders>
            <w:shd w:val="clear" w:color="auto" w:fill="0B4D2C" w:themeFill="background2" w:themeFillShade="BF"/>
            <w:vAlign w:val="center"/>
          </w:tcPr>
          <w:p w14:paraId="70C94CE7" w14:textId="77777777" w:rsidR="00436707" w:rsidRPr="00F6205B" w:rsidRDefault="00436707" w:rsidP="0044249F">
            <w:pPr>
              <w:keepNext/>
              <w:keepLines/>
              <w:spacing w:after="0" w:line="240" w:lineRule="auto"/>
              <w:contextualSpacing/>
              <w:rPr>
                <w:b/>
                <w:sz w:val="20"/>
                <w:szCs w:val="20"/>
              </w:rPr>
            </w:pPr>
          </w:p>
        </w:tc>
        <w:tc>
          <w:tcPr>
            <w:tcW w:w="888" w:type="dxa"/>
            <w:tcBorders>
              <w:top w:val="single" w:sz="4" w:space="0" w:color="auto"/>
              <w:left w:val="single" w:sz="4" w:space="0" w:color="000000" w:themeColor="text1"/>
              <w:bottom w:val="single" w:sz="4" w:space="0" w:color="auto"/>
              <w:right w:val="single" w:sz="4" w:space="0" w:color="000000" w:themeColor="text1"/>
            </w:tcBorders>
            <w:shd w:val="clear" w:color="auto" w:fill="0B4D2C" w:themeFill="background2" w:themeFillShade="BF"/>
            <w:vAlign w:val="center"/>
          </w:tcPr>
          <w:p w14:paraId="75983F23" w14:textId="002B0D29" w:rsidR="00436707" w:rsidRPr="00F6205B" w:rsidRDefault="009D03E3" w:rsidP="0044249F">
            <w:pPr>
              <w:keepNext/>
              <w:keepLines/>
              <w:spacing w:after="0" w:line="240" w:lineRule="auto"/>
              <w:contextualSpacing/>
              <w:jc w:val="center"/>
              <w:rPr>
                <w:b/>
                <w:i/>
                <w:sz w:val="20"/>
                <w:szCs w:val="20"/>
              </w:rPr>
            </w:pPr>
            <w:r w:rsidRPr="00F6205B">
              <w:rPr>
                <w:b/>
                <w:i/>
                <w:sz w:val="20"/>
                <w:szCs w:val="20"/>
              </w:rPr>
              <w:t>N</w:t>
            </w:r>
          </w:p>
        </w:tc>
        <w:tc>
          <w:tcPr>
            <w:tcW w:w="1068" w:type="dxa"/>
            <w:tcBorders>
              <w:top w:val="single" w:sz="4" w:space="0" w:color="auto"/>
              <w:left w:val="single" w:sz="4" w:space="0" w:color="000000" w:themeColor="text1"/>
              <w:bottom w:val="single" w:sz="4" w:space="0" w:color="auto"/>
              <w:right w:val="single" w:sz="4" w:space="0" w:color="000000" w:themeColor="text1"/>
            </w:tcBorders>
            <w:shd w:val="clear" w:color="auto" w:fill="0B4D2C" w:themeFill="background2" w:themeFillShade="BF"/>
            <w:vAlign w:val="center"/>
          </w:tcPr>
          <w:p w14:paraId="6CBB206B" w14:textId="77777777" w:rsidR="00436707" w:rsidRPr="00F6205B" w:rsidRDefault="00436707" w:rsidP="0044249F">
            <w:pPr>
              <w:keepNext/>
              <w:keepLines/>
              <w:spacing w:after="0" w:line="240" w:lineRule="auto"/>
              <w:contextualSpacing/>
              <w:jc w:val="center"/>
              <w:rPr>
                <w:b/>
                <w:sz w:val="20"/>
                <w:szCs w:val="20"/>
              </w:rPr>
            </w:pPr>
            <w:r w:rsidRPr="00F6205B">
              <w:rPr>
                <w:b/>
                <w:sz w:val="20"/>
                <w:szCs w:val="20"/>
              </w:rPr>
              <w:t>Percent Savings</w:t>
            </w:r>
            <w:r w:rsidRPr="00F6205B">
              <w:rPr>
                <w:b/>
                <w:sz w:val="20"/>
                <w:szCs w:val="20"/>
                <w:vertAlign w:val="superscript"/>
              </w:rPr>
              <w:t>i</w:t>
            </w:r>
          </w:p>
        </w:tc>
        <w:tc>
          <w:tcPr>
            <w:tcW w:w="1068" w:type="dxa"/>
            <w:tcBorders>
              <w:top w:val="single" w:sz="4" w:space="0" w:color="auto"/>
              <w:left w:val="single" w:sz="4" w:space="0" w:color="000000" w:themeColor="text1"/>
              <w:bottom w:val="single" w:sz="4" w:space="0" w:color="auto"/>
              <w:right w:val="single" w:sz="4" w:space="0" w:color="000000" w:themeColor="text1"/>
            </w:tcBorders>
            <w:shd w:val="clear" w:color="auto" w:fill="0B4D2C" w:themeFill="background2" w:themeFillShade="BF"/>
            <w:vAlign w:val="center"/>
            <w:hideMark/>
          </w:tcPr>
          <w:p w14:paraId="61D788B4" w14:textId="22C0B55B" w:rsidR="00436707" w:rsidRPr="00F6205B" w:rsidRDefault="009D03E3" w:rsidP="0044249F">
            <w:pPr>
              <w:keepNext/>
              <w:keepLines/>
              <w:spacing w:after="0" w:line="240" w:lineRule="auto"/>
              <w:contextualSpacing/>
              <w:jc w:val="center"/>
              <w:rPr>
                <w:b/>
                <w:sz w:val="20"/>
                <w:szCs w:val="20"/>
              </w:rPr>
            </w:pPr>
            <w:r w:rsidRPr="00F6205B">
              <w:rPr>
                <w:b/>
                <w:sz w:val="20"/>
                <w:szCs w:val="20"/>
              </w:rPr>
              <w:t>Fuel Oil (gal</w:t>
            </w:r>
            <w:r w:rsidR="00436707" w:rsidRPr="00F6205B">
              <w:rPr>
                <w:b/>
                <w:sz w:val="20"/>
                <w:szCs w:val="20"/>
              </w:rPr>
              <w:t>)</w:t>
            </w:r>
            <w:r w:rsidR="00436707" w:rsidRPr="00F6205B">
              <w:rPr>
                <w:b/>
                <w:sz w:val="20"/>
                <w:vertAlign w:val="superscript"/>
              </w:rPr>
              <w:t>ii</w:t>
            </w:r>
          </w:p>
        </w:tc>
        <w:tc>
          <w:tcPr>
            <w:tcW w:w="1068" w:type="dxa"/>
            <w:tcBorders>
              <w:top w:val="single" w:sz="4" w:space="0" w:color="auto"/>
              <w:left w:val="single" w:sz="4" w:space="0" w:color="000000" w:themeColor="text1"/>
              <w:bottom w:val="single" w:sz="4" w:space="0" w:color="auto"/>
              <w:right w:val="single" w:sz="4" w:space="0" w:color="000000" w:themeColor="text1"/>
            </w:tcBorders>
            <w:shd w:val="clear" w:color="auto" w:fill="0B4D2C" w:themeFill="background2" w:themeFillShade="BF"/>
            <w:vAlign w:val="center"/>
            <w:hideMark/>
          </w:tcPr>
          <w:p w14:paraId="24A44785" w14:textId="77777777" w:rsidR="00436707" w:rsidRPr="00F6205B" w:rsidRDefault="00436707" w:rsidP="0044249F">
            <w:pPr>
              <w:keepNext/>
              <w:keepLines/>
              <w:spacing w:after="0" w:line="240" w:lineRule="auto"/>
              <w:contextualSpacing/>
              <w:jc w:val="center"/>
              <w:rPr>
                <w:b/>
                <w:sz w:val="20"/>
                <w:szCs w:val="20"/>
              </w:rPr>
            </w:pPr>
            <w:r w:rsidRPr="00F6205B">
              <w:rPr>
                <w:b/>
                <w:sz w:val="20"/>
                <w:szCs w:val="20"/>
              </w:rPr>
              <w:t>Nat. Gas (ccf)</w:t>
            </w:r>
            <w:r w:rsidRPr="00F6205B">
              <w:rPr>
                <w:b/>
                <w:sz w:val="20"/>
                <w:vertAlign w:val="superscript"/>
              </w:rPr>
              <w:t>ii</w:t>
            </w:r>
          </w:p>
        </w:tc>
        <w:tc>
          <w:tcPr>
            <w:tcW w:w="1068" w:type="dxa"/>
            <w:tcBorders>
              <w:top w:val="single" w:sz="4" w:space="0" w:color="auto"/>
              <w:left w:val="single" w:sz="4" w:space="0" w:color="000000" w:themeColor="text1"/>
              <w:bottom w:val="single" w:sz="4" w:space="0" w:color="auto"/>
              <w:right w:val="single" w:sz="4" w:space="0" w:color="000000" w:themeColor="text1"/>
            </w:tcBorders>
            <w:shd w:val="clear" w:color="auto" w:fill="0B4D2C" w:themeFill="background2" w:themeFillShade="BF"/>
            <w:vAlign w:val="center"/>
            <w:hideMark/>
          </w:tcPr>
          <w:p w14:paraId="4D5882E5" w14:textId="0DAE65F5" w:rsidR="00436707" w:rsidRPr="00F6205B" w:rsidRDefault="009D03E3" w:rsidP="0044249F">
            <w:pPr>
              <w:keepNext/>
              <w:keepLines/>
              <w:spacing w:after="0" w:line="240" w:lineRule="auto"/>
              <w:contextualSpacing/>
              <w:jc w:val="center"/>
              <w:rPr>
                <w:b/>
                <w:sz w:val="20"/>
                <w:szCs w:val="20"/>
              </w:rPr>
            </w:pPr>
            <w:r w:rsidRPr="00F6205B">
              <w:rPr>
                <w:b/>
                <w:sz w:val="20"/>
                <w:szCs w:val="20"/>
              </w:rPr>
              <w:t>Propane (gal</w:t>
            </w:r>
            <w:r w:rsidR="00436707" w:rsidRPr="00F6205B">
              <w:rPr>
                <w:b/>
                <w:sz w:val="20"/>
                <w:szCs w:val="20"/>
              </w:rPr>
              <w:t>)</w:t>
            </w:r>
            <w:r w:rsidR="00436707" w:rsidRPr="00F6205B">
              <w:rPr>
                <w:b/>
                <w:sz w:val="20"/>
                <w:vertAlign w:val="superscript"/>
              </w:rPr>
              <w:t>ii</w:t>
            </w:r>
          </w:p>
        </w:tc>
        <w:tc>
          <w:tcPr>
            <w:tcW w:w="1068" w:type="dxa"/>
            <w:tcBorders>
              <w:top w:val="single" w:sz="4" w:space="0" w:color="auto"/>
              <w:left w:val="single" w:sz="4" w:space="0" w:color="000000" w:themeColor="text1"/>
              <w:bottom w:val="single" w:sz="4" w:space="0" w:color="auto"/>
              <w:right w:val="single" w:sz="4" w:space="0" w:color="000000" w:themeColor="text1"/>
            </w:tcBorders>
            <w:shd w:val="clear" w:color="auto" w:fill="0B4D2C" w:themeFill="background2" w:themeFillShade="BF"/>
            <w:vAlign w:val="center"/>
          </w:tcPr>
          <w:p w14:paraId="57A27344" w14:textId="77777777" w:rsidR="00436707" w:rsidRPr="00F6205B" w:rsidRDefault="00436707" w:rsidP="0044249F">
            <w:pPr>
              <w:keepNext/>
              <w:keepLines/>
              <w:spacing w:after="0" w:line="240" w:lineRule="auto"/>
              <w:contextualSpacing/>
              <w:jc w:val="center"/>
              <w:rPr>
                <w:b/>
                <w:sz w:val="20"/>
                <w:szCs w:val="20"/>
              </w:rPr>
            </w:pPr>
            <w:r w:rsidRPr="00F6205B">
              <w:rPr>
                <w:b/>
                <w:sz w:val="20"/>
                <w:szCs w:val="20"/>
              </w:rPr>
              <w:t>Electric (kWh)</w:t>
            </w:r>
            <w:r w:rsidRPr="00F6205B">
              <w:rPr>
                <w:b/>
                <w:sz w:val="20"/>
                <w:vertAlign w:val="superscript"/>
              </w:rPr>
              <w:t>ii</w:t>
            </w:r>
          </w:p>
        </w:tc>
        <w:tc>
          <w:tcPr>
            <w:tcW w:w="1068" w:type="dxa"/>
            <w:tcBorders>
              <w:top w:val="single" w:sz="4" w:space="0" w:color="auto"/>
              <w:left w:val="single" w:sz="4" w:space="0" w:color="000000" w:themeColor="text1"/>
              <w:bottom w:val="single" w:sz="4" w:space="0" w:color="auto"/>
              <w:right w:val="single" w:sz="4" w:space="0" w:color="auto"/>
            </w:tcBorders>
            <w:shd w:val="clear" w:color="auto" w:fill="0B4D2C" w:themeFill="background2" w:themeFillShade="BF"/>
            <w:vAlign w:val="center"/>
          </w:tcPr>
          <w:p w14:paraId="0E2CDD02" w14:textId="77777777" w:rsidR="00436707" w:rsidRPr="00F6205B" w:rsidRDefault="00436707" w:rsidP="0044249F">
            <w:pPr>
              <w:keepNext/>
              <w:keepLines/>
              <w:spacing w:after="0" w:line="240" w:lineRule="auto"/>
              <w:contextualSpacing/>
              <w:jc w:val="center"/>
              <w:rPr>
                <w:b/>
                <w:sz w:val="20"/>
                <w:szCs w:val="20"/>
              </w:rPr>
            </w:pPr>
            <w:r w:rsidRPr="00F6205B">
              <w:rPr>
                <w:b/>
                <w:sz w:val="20"/>
                <w:szCs w:val="20"/>
              </w:rPr>
              <w:t>Total MMBtu</w:t>
            </w:r>
            <w:r w:rsidRPr="00F6205B">
              <w:rPr>
                <w:b/>
                <w:sz w:val="20"/>
                <w:vertAlign w:val="superscript"/>
              </w:rPr>
              <w:t>ii</w:t>
            </w:r>
          </w:p>
        </w:tc>
      </w:tr>
      <w:tr w:rsidR="009D03E3" w:rsidRPr="00F6205B" w14:paraId="6D245FC9" w14:textId="77777777" w:rsidTr="003B4970">
        <w:trPr>
          <w:trHeight w:val="288"/>
          <w:jc w:val="center"/>
        </w:trPr>
        <w:tc>
          <w:tcPr>
            <w:tcW w:w="2448" w:type="dxa"/>
            <w:tcBorders>
              <w:top w:val="single" w:sz="4" w:space="0" w:color="000000" w:themeColor="text1"/>
              <w:left w:val="single" w:sz="4" w:space="0" w:color="auto"/>
              <w:bottom w:val="single" w:sz="4" w:space="0" w:color="auto"/>
              <w:right w:val="single" w:sz="4" w:space="0" w:color="000000" w:themeColor="text1"/>
            </w:tcBorders>
            <w:shd w:val="clear" w:color="auto" w:fill="404040" w:themeFill="text1" w:themeFillTint="BF"/>
            <w:vAlign w:val="center"/>
          </w:tcPr>
          <w:p w14:paraId="0382FB49" w14:textId="77777777" w:rsidR="00436707" w:rsidRPr="00F6205B" w:rsidRDefault="00436707" w:rsidP="0044249F">
            <w:pPr>
              <w:keepNext/>
              <w:keepLines/>
              <w:spacing w:after="0" w:line="240" w:lineRule="auto"/>
              <w:contextualSpacing/>
              <w:jc w:val="right"/>
              <w:rPr>
                <w:color w:val="FFFFFF" w:themeColor="background1"/>
                <w:sz w:val="20"/>
                <w:szCs w:val="20"/>
              </w:rPr>
            </w:pPr>
            <w:r w:rsidRPr="00F6205B">
              <w:rPr>
                <w:color w:val="FFFFFF" w:themeColor="background1"/>
                <w:sz w:val="20"/>
                <w:szCs w:val="20"/>
              </w:rPr>
              <w:t>Baseline consumption</w:t>
            </w:r>
          </w:p>
        </w:tc>
        <w:tc>
          <w:tcPr>
            <w:tcW w:w="88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404040" w:themeFill="text1" w:themeFillTint="BF"/>
            <w:vAlign w:val="center"/>
          </w:tcPr>
          <w:p w14:paraId="52EEDA56" w14:textId="77777777" w:rsidR="00436707" w:rsidRPr="00F6205B" w:rsidRDefault="00436707" w:rsidP="0044249F">
            <w:pPr>
              <w:keepNext/>
              <w:keepLines/>
              <w:spacing w:after="0" w:line="240" w:lineRule="auto"/>
              <w:contextualSpacing/>
              <w:jc w:val="center"/>
              <w:rPr>
                <w:color w:val="FFFFFF" w:themeColor="background1"/>
                <w:sz w:val="20"/>
                <w:szCs w:val="20"/>
              </w:rPr>
            </w:pPr>
            <w:r w:rsidRPr="00F6205B">
              <w:rPr>
                <w:color w:val="FFFFFF" w:themeColor="background1"/>
                <w:sz w:val="20"/>
                <w:szCs w:val="20"/>
              </w:rPr>
              <w:t>180</w:t>
            </w:r>
          </w:p>
        </w:tc>
        <w:tc>
          <w:tcPr>
            <w:tcW w:w="106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404040" w:themeFill="text1" w:themeFillTint="BF"/>
            <w:vAlign w:val="center"/>
          </w:tcPr>
          <w:p w14:paraId="303B05A3" w14:textId="77777777" w:rsidR="00436707" w:rsidRPr="00F6205B" w:rsidRDefault="00436707" w:rsidP="0044249F">
            <w:pPr>
              <w:keepNext/>
              <w:keepLines/>
              <w:spacing w:after="0" w:line="240" w:lineRule="auto"/>
              <w:contextualSpacing/>
              <w:jc w:val="center"/>
              <w:rPr>
                <w:color w:val="FFFFFF" w:themeColor="background1"/>
                <w:sz w:val="20"/>
                <w:szCs w:val="20"/>
              </w:rPr>
            </w:pPr>
            <w:r w:rsidRPr="00F6205B">
              <w:rPr>
                <w:color w:val="FFFFFF" w:themeColor="background1"/>
                <w:sz w:val="20"/>
                <w:szCs w:val="20"/>
              </w:rPr>
              <w:t>--</w:t>
            </w:r>
          </w:p>
        </w:tc>
        <w:tc>
          <w:tcPr>
            <w:tcW w:w="106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404040" w:themeFill="text1" w:themeFillTint="BF"/>
            <w:vAlign w:val="center"/>
          </w:tcPr>
          <w:p w14:paraId="6354035F" w14:textId="77777777" w:rsidR="00436707" w:rsidRPr="00F6205B" w:rsidRDefault="00436707" w:rsidP="0044249F">
            <w:pPr>
              <w:keepNext/>
              <w:keepLines/>
              <w:spacing w:after="0" w:line="240" w:lineRule="auto"/>
              <w:contextualSpacing/>
              <w:jc w:val="center"/>
              <w:rPr>
                <w:color w:val="FFFFFF" w:themeColor="background1"/>
                <w:sz w:val="20"/>
                <w:szCs w:val="20"/>
              </w:rPr>
            </w:pPr>
            <w:r w:rsidRPr="00F6205B">
              <w:rPr>
                <w:color w:val="FFFFFF" w:themeColor="background1"/>
                <w:sz w:val="20"/>
                <w:szCs w:val="20"/>
              </w:rPr>
              <w:t>531.0</w:t>
            </w:r>
          </w:p>
        </w:tc>
        <w:tc>
          <w:tcPr>
            <w:tcW w:w="106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404040" w:themeFill="text1" w:themeFillTint="BF"/>
            <w:vAlign w:val="center"/>
          </w:tcPr>
          <w:p w14:paraId="29124674" w14:textId="77777777" w:rsidR="00436707" w:rsidRPr="00F6205B" w:rsidRDefault="00436707" w:rsidP="0044249F">
            <w:pPr>
              <w:keepNext/>
              <w:keepLines/>
              <w:spacing w:after="0" w:line="240" w:lineRule="auto"/>
              <w:contextualSpacing/>
              <w:jc w:val="center"/>
              <w:rPr>
                <w:color w:val="FFFFFF" w:themeColor="background1"/>
                <w:sz w:val="20"/>
                <w:szCs w:val="20"/>
              </w:rPr>
            </w:pPr>
            <w:r w:rsidRPr="00F6205B">
              <w:rPr>
                <w:color w:val="FFFFFF" w:themeColor="background1"/>
                <w:sz w:val="20"/>
                <w:szCs w:val="20"/>
              </w:rPr>
              <w:t>328.9</w:t>
            </w:r>
          </w:p>
        </w:tc>
        <w:tc>
          <w:tcPr>
            <w:tcW w:w="106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404040" w:themeFill="text1" w:themeFillTint="BF"/>
            <w:vAlign w:val="center"/>
          </w:tcPr>
          <w:p w14:paraId="3D259C0B" w14:textId="77777777" w:rsidR="00436707" w:rsidRPr="00F6205B" w:rsidRDefault="00436707" w:rsidP="0044249F">
            <w:pPr>
              <w:keepNext/>
              <w:keepLines/>
              <w:spacing w:after="0" w:line="240" w:lineRule="auto"/>
              <w:contextualSpacing/>
              <w:jc w:val="center"/>
              <w:rPr>
                <w:color w:val="FFFFFF" w:themeColor="background1"/>
                <w:sz w:val="20"/>
                <w:szCs w:val="20"/>
              </w:rPr>
            </w:pPr>
            <w:r w:rsidRPr="00F6205B">
              <w:rPr>
                <w:color w:val="FFFFFF" w:themeColor="background1"/>
                <w:sz w:val="20"/>
                <w:szCs w:val="20"/>
              </w:rPr>
              <w:t>34.7</w:t>
            </w:r>
          </w:p>
        </w:tc>
        <w:tc>
          <w:tcPr>
            <w:tcW w:w="106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404040" w:themeFill="text1" w:themeFillTint="BF"/>
            <w:vAlign w:val="center"/>
          </w:tcPr>
          <w:p w14:paraId="66E02BE8" w14:textId="77777777" w:rsidR="00436707" w:rsidRPr="00F6205B" w:rsidRDefault="00436707" w:rsidP="0044249F">
            <w:pPr>
              <w:keepNext/>
              <w:keepLines/>
              <w:spacing w:after="0" w:line="240" w:lineRule="auto"/>
              <w:contextualSpacing/>
              <w:jc w:val="center"/>
              <w:rPr>
                <w:color w:val="FFFFFF" w:themeColor="background1"/>
                <w:sz w:val="20"/>
                <w:szCs w:val="20"/>
              </w:rPr>
            </w:pPr>
            <w:r w:rsidRPr="00F6205B">
              <w:rPr>
                <w:color w:val="FFFFFF" w:themeColor="background1"/>
                <w:sz w:val="20"/>
                <w:szCs w:val="20"/>
              </w:rPr>
              <w:t>12,034.2</w:t>
            </w:r>
          </w:p>
        </w:tc>
        <w:tc>
          <w:tcPr>
            <w:tcW w:w="1068" w:type="dxa"/>
            <w:tcBorders>
              <w:top w:val="single" w:sz="4" w:space="0" w:color="000000" w:themeColor="text1"/>
              <w:left w:val="single" w:sz="4" w:space="0" w:color="000000" w:themeColor="text1"/>
              <w:bottom w:val="single" w:sz="4" w:space="0" w:color="auto"/>
              <w:right w:val="single" w:sz="4" w:space="0" w:color="auto"/>
            </w:tcBorders>
            <w:shd w:val="clear" w:color="auto" w:fill="404040" w:themeFill="text1" w:themeFillTint="BF"/>
            <w:vAlign w:val="center"/>
          </w:tcPr>
          <w:p w14:paraId="41016249" w14:textId="77777777" w:rsidR="00436707" w:rsidRPr="00F6205B" w:rsidRDefault="00436707" w:rsidP="0044249F">
            <w:pPr>
              <w:keepNext/>
              <w:keepLines/>
              <w:spacing w:after="0" w:line="240" w:lineRule="auto"/>
              <w:contextualSpacing/>
              <w:jc w:val="center"/>
              <w:rPr>
                <w:color w:val="FFFFFF" w:themeColor="background1"/>
                <w:sz w:val="20"/>
                <w:szCs w:val="20"/>
              </w:rPr>
            </w:pPr>
            <w:r w:rsidRPr="00F6205B">
              <w:rPr>
                <w:color w:val="FFFFFF" w:themeColor="background1"/>
                <w:sz w:val="20"/>
                <w:szCs w:val="20"/>
              </w:rPr>
              <w:t>156.6</w:t>
            </w:r>
          </w:p>
        </w:tc>
      </w:tr>
      <w:tr w:rsidR="00436707" w:rsidRPr="00F6205B" w14:paraId="53645369" w14:textId="77777777" w:rsidTr="003B4970">
        <w:trPr>
          <w:trHeight w:val="288"/>
          <w:jc w:val="center"/>
        </w:trPr>
        <w:tc>
          <w:tcPr>
            <w:tcW w:w="2448" w:type="dxa"/>
            <w:tcBorders>
              <w:top w:val="single" w:sz="4" w:space="0" w:color="auto"/>
              <w:left w:val="single" w:sz="4" w:space="0" w:color="auto"/>
              <w:bottom w:val="single" w:sz="4" w:space="0" w:color="000000" w:themeColor="text1"/>
              <w:right w:val="single" w:sz="4" w:space="0" w:color="000000" w:themeColor="text1"/>
            </w:tcBorders>
            <w:vAlign w:val="center"/>
          </w:tcPr>
          <w:p w14:paraId="277B96FC" w14:textId="0AFB54C8" w:rsidR="00436707" w:rsidRPr="00F6205B" w:rsidRDefault="00436707" w:rsidP="0044249F">
            <w:pPr>
              <w:keepNext/>
              <w:keepLines/>
              <w:spacing w:after="0" w:line="240" w:lineRule="auto"/>
              <w:contextualSpacing/>
              <w:jc w:val="right"/>
              <w:rPr>
                <w:sz w:val="20"/>
                <w:szCs w:val="20"/>
              </w:rPr>
            </w:pPr>
            <w:r w:rsidRPr="00F6205B">
              <w:rPr>
                <w:sz w:val="20"/>
                <w:szCs w:val="20"/>
              </w:rPr>
              <w:t xml:space="preserve">Increase socket </w:t>
            </w:r>
            <w:r w:rsidR="003E662E">
              <w:rPr>
                <w:sz w:val="20"/>
                <w:szCs w:val="20"/>
              </w:rPr>
              <w:t>saturation of efficient lighting</w:t>
            </w:r>
          </w:p>
        </w:tc>
        <w:tc>
          <w:tcPr>
            <w:tcW w:w="88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B5C09DA" w14:textId="77777777" w:rsidR="00436707" w:rsidRPr="00F6205B" w:rsidRDefault="00436707" w:rsidP="0044249F">
            <w:pPr>
              <w:keepNext/>
              <w:keepLines/>
              <w:spacing w:after="0" w:line="240" w:lineRule="auto"/>
              <w:contextualSpacing/>
              <w:jc w:val="center"/>
              <w:rPr>
                <w:i/>
                <w:sz w:val="20"/>
                <w:szCs w:val="20"/>
              </w:rPr>
            </w:pPr>
            <w:r w:rsidRPr="00F6205B">
              <w:rPr>
                <w:i/>
                <w:sz w:val="20"/>
                <w:szCs w:val="20"/>
              </w:rPr>
              <w:t>180</w:t>
            </w:r>
          </w:p>
        </w:tc>
        <w:tc>
          <w:tcPr>
            <w:tcW w:w="106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4F2D4E7" w14:textId="77777777" w:rsidR="00436707" w:rsidRPr="00F6205B" w:rsidRDefault="00436707" w:rsidP="0044249F">
            <w:pPr>
              <w:keepNext/>
              <w:keepLines/>
              <w:tabs>
                <w:tab w:val="decimal" w:pos="227"/>
              </w:tabs>
              <w:spacing w:after="0" w:line="240" w:lineRule="auto"/>
              <w:contextualSpacing/>
              <w:jc w:val="center"/>
              <w:rPr>
                <w:sz w:val="20"/>
                <w:szCs w:val="20"/>
              </w:rPr>
            </w:pPr>
            <w:r w:rsidRPr="00F6205B">
              <w:rPr>
                <w:sz w:val="20"/>
                <w:szCs w:val="20"/>
              </w:rPr>
              <w:t>2.6%</w:t>
            </w:r>
          </w:p>
        </w:tc>
        <w:tc>
          <w:tcPr>
            <w:tcW w:w="106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2DE5A31" w14:textId="77777777" w:rsidR="00436707" w:rsidRPr="00F6205B" w:rsidRDefault="00436707" w:rsidP="0044249F">
            <w:pPr>
              <w:keepNext/>
              <w:keepLines/>
              <w:tabs>
                <w:tab w:val="decimal" w:pos="329"/>
              </w:tabs>
              <w:spacing w:after="0" w:line="240" w:lineRule="auto"/>
              <w:contextualSpacing/>
              <w:jc w:val="center"/>
              <w:rPr>
                <w:sz w:val="20"/>
                <w:szCs w:val="20"/>
              </w:rPr>
            </w:pPr>
            <w:r w:rsidRPr="00F6205B">
              <w:rPr>
                <w:sz w:val="20"/>
                <w:szCs w:val="20"/>
              </w:rPr>
              <w:t>- 11.0</w:t>
            </w:r>
          </w:p>
        </w:tc>
        <w:tc>
          <w:tcPr>
            <w:tcW w:w="106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736CD15" w14:textId="77777777" w:rsidR="00436707" w:rsidRPr="00F6205B" w:rsidRDefault="00436707" w:rsidP="0044249F">
            <w:pPr>
              <w:keepNext/>
              <w:keepLines/>
              <w:tabs>
                <w:tab w:val="decimal" w:pos="341"/>
              </w:tabs>
              <w:spacing w:after="0" w:line="240" w:lineRule="auto"/>
              <w:contextualSpacing/>
              <w:jc w:val="center"/>
              <w:rPr>
                <w:sz w:val="20"/>
                <w:szCs w:val="20"/>
              </w:rPr>
            </w:pPr>
            <w:r w:rsidRPr="00F6205B">
              <w:rPr>
                <w:sz w:val="20"/>
                <w:szCs w:val="20"/>
              </w:rPr>
              <w:t>- 5.9</w:t>
            </w:r>
          </w:p>
        </w:tc>
        <w:tc>
          <w:tcPr>
            <w:tcW w:w="106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C66A32E" w14:textId="77777777" w:rsidR="00436707" w:rsidRPr="00F6205B" w:rsidRDefault="00436707" w:rsidP="0044249F">
            <w:pPr>
              <w:keepNext/>
              <w:keepLines/>
              <w:tabs>
                <w:tab w:val="decimal" w:pos="263"/>
              </w:tabs>
              <w:spacing w:after="0" w:line="240" w:lineRule="auto"/>
              <w:contextualSpacing/>
              <w:jc w:val="center"/>
              <w:rPr>
                <w:sz w:val="20"/>
                <w:szCs w:val="20"/>
              </w:rPr>
            </w:pPr>
            <w:r w:rsidRPr="00F6205B">
              <w:rPr>
                <w:sz w:val="20"/>
                <w:szCs w:val="20"/>
              </w:rPr>
              <w:t>- 0.7</w:t>
            </w:r>
          </w:p>
        </w:tc>
        <w:tc>
          <w:tcPr>
            <w:tcW w:w="106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88EDBA0" w14:textId="77777777" w:rsidR="00436707" w:rsidRPr="00F6205B" w:rsidRDefault="00436707" w:rsidP="0044249F">
            <w:pPr>
              <w:keepNext/>
              <w:keepLines/>
              <w:tabs>
                <w:tab w:val="decimal" w:pos="500"/>
              </w:tabs>
              <w:spacing w:after="0" w:line="240" w:lineRule="auto"/>
              <w:contextualSpacing/>
              <w:jc w:val="center"/>
              <w:rPr>
                <w:sz w:val="20"/>
                <w:szCs w:val="20"/>
              </w:rPr>
            </w:pPr>
            <w:r w:rsidRPr="00F6205B">
              <w:rPr>
                <w:sz w:val="20"/>
                <w:szCs w:val="20"/>
              </w:rPr>
              <w:t xml:space="preserve"> 1,900.0</w:t>
            </w:r>
          </w:p>
        </w:tc>
        <w:tc>
          <w:tcPr>
            <w:tcW w:w="1068" w:type="dxa"/>
            <w:tcBorders>
              <w:top w:val="single" w:sz="4" w:space="0" w:color="auto"/>
              <w:left w:val="single" w:sz="4" w:space="0" w:color="000000" w:themeColor="text1"/>
              <w:bottom w:val="single" w:sz="4" w:space="0" w:color="000000" w:themeColor="text1"/>
              <w:right w:val="single" w:sz="4" w:space="0" w:color="auto"/>
            </w:tcBorders>
            <w:vAlign w:val="center"/>
          </w:tcPr>
          <w:p w14:paraId="7B8C60A3" w14:textId="77777777" w:rsidR="00436707" w:rsidRPr="00F6205B" w:rsidRDefault="00436707" w:rsidP="0044249F">
            <w:pPr>
              <w:keepNext/>
              <w:keepLines/>
              <w:tabs>
                <w:tab w:val="decimal" w:pos="377"/>
              </w:tabs>
              <w:spacing w:after="0" w:line="240" w:lineRule="auto"/>
              <w:contextualSpacing/>
              <w:jc w:val="center"/>
              <w:rPr>
                <w:sz w:val="20"/>
                <w:szCs w:val="20"/>
              </w:rPr>
            </w:pPr>
            <w:r w:rsidRPr="00F6205B">
              <w:rPr>
                <w:sz w:val="20"/>
                <w:szCs w:val="20"/>
              </w:rPr>
              <w:t xml:space="preserve"> 4.1</w:t>
            </w:r>
          </w:p>
        </w:tc>
      </w:tr>
      <w:tr w:rsidR="00436707" w:rsidRPr="00F6205B" w14:paraId="77F575C0" w14:textId="77777777" w:rsidTr="003B4970">
        <w:trPr>
          <w:trHeight w:val="288"/>
          <w:jc w:val="center"/>
        </w:trPr>
        <w:tc>
          <w:tcPr>
            <w:tcW w:w="2448"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4AE0C945" w14:textId="77777777" w:rsidR="00436707" w:rsidRPr="00F6205B" w:rsidRDefault="00436707" w:rsidP="0044249F">
            <w:pPr>
              <w:keepNext/>
              <w:keepLines/>
              <w:spacing w:after="0" w:line="240" w:lineRule="auto"/>
              <w:contextualSpacing/>
              <w:jc w:val="right"/>
              <w:rPr>
                <w:sz w:val="20"/>
                <w:szCs w:val="20"/>
              </w:rPr>
            </w:pPr>
            <w:r w:rsidRPr="00F6205B">
              <w:rPr>
                <w:sz w:val="20"/>
                <w:szCs w:val="20"/>
              </w:rPr>
              <w:t>Upgrade clothes washer</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2C964C03" w14:textId="77777777" w:rsidR="00436707" w:rsidRPr="00F6205B" w:rsidRDefault="00436707" w:rsidP="0044249F">
            <w:pPr>
              <w:keepNext/>
              <w:keepLines/>
              <w:spacing w:after="0" w:line="240" w:lineRule="auto"/>
              <w:contextualSpacing/>
              <w:jc w:val="center"/>
              <w:rPr>
                <w:i/>
                <w:sz w:val="20"/>
                <w:szCs w:val="20"/>
              </w:rPr>
            </w:pPr>
            <w:r w:rsidRPr="00F6205B">
              <w:rPr>
                <w:i/>
                <w:sz w:val="20"/>
                <w:szCs w:val="20"/>
              </w:rPr>
              <w:t>177</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1CEED0CE" w14:textId="77777777" w:rsidR="00436707" w:rsidRPr="00F6205B" w:rsidRDefault="00436707" w:rsidP="0044249F">
            <w:pPr>
              <w:keepNext/>
              <w:keepLines/>
              <w:tabs>
                <w:tab w:val="decimal" w:pos="227"/>
              </w:tabs>
              <w:spacing w:after="0" w:line="240" w:lineRule="auto"/>
              <w:contextualSpacing/>
              <w:jc w:val="center"/>
              <w:rPr>
                <w:sz w:val="20"/>
                <w:szCs w:val="20"/>
              </w:rPr>
            </w:pPr>
            <w:r w:rsidRPr="00F6205B">
              <w:rPr>
                <w:sz w:val="20"/>
                <w:szCs w:val="20"/>
              </w:rPr>
              <w:t>1.2%</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10CD2DC7" w14:textId="77777777" w:rsidR="00436707" w:rsidRPr="00F6205B" w:rsidRDefault="00436707" w:rsidP="0044249F">
            <w:pPr>
              <w:keepNext/>
              <w:keepLines/>
              <w:tabs>
                <w:tab w:val="decimal" w:pos="329"/>
              </w:tabs>
              <w:spacing w:after="0" w:line="240" w:lineRule="auto"/>
              <w:contextualSpacing/>
              <w:jc w:val="center"/>
              <w:rPr>
                <w:sz w:val="20"/>
                <w:szCs w:val="20"/>
              </w:rPr>
            </w:pPr>
            <w:r w:rsidRPr="00F6205B">
              <w:rPr>
                <w:sz w:val="20"/>
                <w:szCs w:val="20"/>
              </w:rPr>
              <w:t xml:space="preserve"> 3.8</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2A61F4F3" w14:textId="77777777" w:rsidR="00436707" w:rsidRPr="00F6205B" w:rsidRDefault="00436707" w:rsidP="0044249F">
            <w:pPr>
              <w:keepNext/>
              <w:keepLines/>
              <w:tabs>
                <w:tab w:val="decimal" w:pos="341"/>
              </w:tabs>
              <w:spacing w:after="0" w:line="240" w:lineRule="auto"/>
              <w:contextualSpacing/>
              <w:jc w:val="center"/>
              <w:rPr>
                <w:sz w:val="20"/>
                <w:szCs w:val="20"/>
              </w:rPr>
            </w:pPr>
            <w:r w:rsidRPr="00F6205B">
              <w:rPr>
                <w:sz w:val="20"/>
                <w:szCs w:val="20"/>
              </w:rPr>
              <w:t xml:space="preserve"> 3.3</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0AFED6F6" w14:textId="77777777" w:rsidR="00436707" w:rsidRPr="00F6205B" w:rsidRDefault="00436707" w:rsidP="0044249F">
            <w:pPr>
              <w:keepNext/>
              <w:keepLines/>
              <w:tabs>
                <w:tab w:val="decimal" w:pos="263"/>
              </w:tabs>
              <w:spacing w:after="0" w:line="240" w:lineRule="auto"/>
              <w:contextualSpacing/>
              <w:jc w:val="center"/>
              <w:rPr>
                <w:sz w:val="20"/>
                <w:szCs w:val="20"/>
              </w:rPr>
            </w:pPr>
            <w:r w:rsidRPr="00F6205B">
              <w:rPr>
                <w:sz w:val="20"/>
                <w:szCs w:val="20"/>
              </w:rPr>
              <w:t xml:space="preserve"> 0.5</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6D89562F" w14:textId="77777777" w:rsidR="00436707" w:rsidRPr="00F6205B" w:rsidRDefault="00436707" w:rsidP="0044249F">
            <w:pPr>
              <w:keepNext/>
              <w:keepLines/>
              <w:tabs>
                <w:tab w:val="decimal" w:pos="500"/>
              </w:tabs>
              <w:spacing w:after="0" w:line="240" w:lineRule="auto"/>
              <w:contextualSpacing/>
              <w:jc w:val="center"/>
              <w:rPr>
                <w:sz w:val="20"/>
                <w:szCs w:val="20"/>
              </w:rPr>
            </w:pPr>
            <w:r w:rsidRPr="00F6205B">
              <w:rPr>
                <w:sz w:val="20"/>
                <w:szCs w:val="20"/>
              </w:rPr>
              <w:t xml:space="preserve"> 323.6</w:t>
            </w:r>
          </w:p>
        </w:tc>
        <w:tc>
          <w:tcPr>
            <w:tcW w:w="106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48BC3977" w14:textId="77777777" w:rsidR="00436707" w:rsidRPr="00F6205B" w:rsidRDefault="00436707" w:rsidP="0044249F">
            <w:pPr>
              <w:keepNext/>
              <w:keepLines/>
              <w:tabs>
                <w:tab w:val="decimal" w:pos="377"/>
              </w:tabs>
              <w:spacing w:after="0" w:line="240" w:lineRule="auto"/>
              <w:contextualSpacing/>
              <w:jc w:val="center"/>
              <w:rPr>
                <w:sz w:val="20"/>
                <w:szCs w:val="20"/>
              </w:rPr>
            </w:pPr>
            <w:r w:rsidRPr="00F6205B">
              <w:rPr>
                <w:sz w:val="20"/>
                <w:szCs w:val="20"/>
              </w:rPr>
              <w:t xml:space="preserve"> 2.0</w:t>
            </w:r>
          </w:p>
        </w:tc>
      </w:tr>
      <w:tr w:rsidR="00436707" w:rsidRPr="00F6205B" w14:paraId="63A72566" w14:textId="77777777" w:rsidTr="003B4970">
        <w:trPr>
          <w:trHeight w:val="288"/>
          <w:jc w:val="center"/>
        </w:trPr>
        <w:tc>
          <w:tcPr>
            <w:tcW w:w="244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EB339B1" w14:textId="77777777" w:rsidR="00436707" w:rsidRPr="00F6205B" w:rsidRDefault="00436707" w:rsidP="0044249F">
            <w:pPr>
              <w:keepNext/>
              <w:keepLines/>
              <w:spacing w:after="0" w:line="240" w:lineRule="auto"/>
              <w:contextualSpacing/>
              <w:jc w:val="right"/>
              <w:rPr>
                <w:sz w:val="20"/>
                <w:szCs w:val="20"/>
              </w:rPr>
            </w:pPr>
            <w:r w:rsidRPr="00F6205B">
              <w:rPr>
                <w:sz w:val="20"/>
                <w:szCs w:val="20"/>
              </w:rPr>
              <w:t>Upgrade refrigerator</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B9075A" w14:textId="77777777" w:rsidR="00436707" w:rsidRPr="00F6205B" w:rsidRDefault="00436707" w:rsidP="0044249F">
            <w:pPr>
              <w:keepNext/>
              <w:keepLines/>
              <w:spacing w:after="0" w:line="240" w:lineRule="auto"/>
              <w:contextualSpacing/>
              <w:jc w:val="center"/>
              <w:rPr>
                <w:i/>
                <w:sz w:val="20"/>
                <w:szCs w:val="20"/>
              </w:rPr>
            </w:pPr>
            <w:r w:rsidRPr="00F6205B">
              <w:rPr>
                <w:i/>
                <w:sz w:val="20"/>
                <w:szCs w:val="20"/>
              </w:rPr>
              <w:t>180</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5BEF8C" w14:textId="77777777" w:rsidR="00436707" w:rsidRPr="00F6205B" w:rsidRDefault="00436707" w:rsidP="0044249F">
            <w:pPr>
              <w:keepNext/>
              <w:keepLines/>
              <w:tabs>
                <w:tab w:val="decimal" w:pos="227"/>
              </w:tabs>
              <w:spacing w:after="0" w:line="240" w:lineRule="auto"/>
              <w:contextualSpacing/>
              <w:jc w:val="center"/>
              <w:rPr>
                <w:sz w:val="20"/>
                <w:szCs w:val="20"/>
              </w:rPr>
            </w:pPr>
            <w:r w:rsidRPr="00F6205B">
              <w:rPr>
                <w:sz w:val="20"/>
                <w:szCs w:val="20"/>
              </w:rPr>
              <w:t>0.6%</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019E41" w14:textId="77777777" w:rsidR="00436707" w:rsidRPr="00F6205B" w:rsidRDefault="00436707" w:rsidP="0044249F">
            <w:pPr>
              <w:keepNext/>
              <w:keepLines/>
              <w:tabs>
                <w:tab w:val="decimal" w:pos="329"/>
              </w:tabs>
              <w:spacing w:after="0" w:line="240" w:lineRule="auto"/>
              <w:contextualSpacing/>
              <w:jc w:val="center"/>
              <w:rPr>
                <w:sz w:val="20"/>
                <w:szCs w:val="20"/>
              </w:rPr>
            </w:pPr>
            <w:r w:rsidRPr="00F6205B">
              <w:rPr>
                <w:sz w:val="20"/>
                <w:szCs w:val="20"/>
              </w:rPr>
              <w:t>- 2.9</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211FFE" w14:textId="77777777" w:rsidR="00436707" w:rsidRPr="00F6205B" w:rsidRDefault="00436707" w:rsidP="0044249F">
            <w:pPr>
              <w:keepNext/>
              <w:keepLines/>
              <w:tabs>
                <w:tab w:val="decimal" w:pos="341"/>
              </w:tabs>
              <w:spacing w:after="0" w:line="240" w:lineRule="auto"/>
              <w:contextualSpacing/>
              <w:jc w:val="center"/>
              <w:rPr>
                <w:sz w:val="20"/>
                <w:szCs w:val="20"/>
              </w:rPr>
            </w:pPr>
            <w:r w:rsidRPr="00F6205B">
              <w:rPr>
                <w:sz w:val="20"/>
                <w:szCs w:val="20"/>
              </w:rPr>
              <w:t>- 1.6</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D54132" w14:textId="77777777" w:rsidR="00436707" w:rsidRPr="00F6205B" w:rsidRDefault="00436707" w:rsidP="0044249F">
            <w:pPr>
              <w:keepNext/>
              <w:keepLines/>
              <w:tabs>
                <w:tab w:val="decimal" w:pos="263"/>
              </w:tabs>
              <w:spacing w:after="0" w:line="240" w:lineRule="auto"/>
              <w:contextualSpacing/>
              <w:jc w:val="center"/>
              <w:rPr>
                <w:sz w:val="20"/>
                <w:szCs w:val="20"/>
              </w:rPr>
            </w:pPr>
            <w:r w:rsidRPr="00F6205B">
              <w:rPr>
                <w:sz w:val="20"/>
                <w:szCs w:val="20"/>
              </w:rPr>
              <w:t>- 0.2</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32E0A0" w14:textId="77777777" w:rsidR="00436707" w:rsidRPr="00F6205B" w:rsidRDefault="00436707" w:rsidP="0044249F">
            <w:pPr>
              <w:keepNext/>
              <w:keepLines/>
              <w:tabs>
                <w:tab w:val="decimal" w:pos="500"/>
              </w:tabs>
              <w:spacing w:after="0" w:line="240" w:lineRule="auto"/>
              <w:contextualSpacing/>
              <w:jc w:val="center"/>
              <w:rPr>
                <w:sz w:val="20"/>
                <w:szCs w:val="20"/>
              </w:rPr>
            </w:pPr>
            <w:r w:rsidRPr="00F6205B">
              <w:rPr>
                <w:sz w:val="20"/>
                <w:szCs w:val="20"/>
              </w:rPr>
              <w:t xml:space="preserve"> 439.0</w:t>
            </w:r>
          </w:p>
        </w:tc>
        <w:tc>
          <w:tcPr>
            <w:tcW w:w="1068"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FE01C36" w14:textId="77777777" w:rsidR="00436707" w:rsidRPr="00F6205B" w:rsidRDefault="00436707" w:rsidP="0044249F">
            <w:pPr>
              <w:keepNext/>
              <w:keepLines/>
              <w:tabs>
                <w:tab w:val="decimal" w:pos="377"/>
              </w:tabs>
              <w:spacing w:after="0" w:line="240" w:lineRule="auto"/>
              <w:contextualSpacing/>
              <w:jc w:val="center"/>
              <w:rPr>
                <w:sz w:val="20"/>
                <w:szCs w:val="20"/>
              </w:rPr>
            </w:pPr>
            <w:r w:rsidRPr="00F6205B">
              <w:rPr>
                <w:sz w:val="20"/>
                <w:szCs w:val="20"/>
              </w:rPr>
              <w:t xml:space="preserve"> 0.9</w:t>
            </w:r>
          </w:p>
        </w:tc>
      </w:tr>
      <w:tr w:rsidR="00436707" w:rsidRPr="00F6205B" w14:paraId="589FB091" w14:textId="77777777" w:rsidTr="003B4970">
        <w:trPr>
          <w:trHeight w:val="288"/>
          <w:jc w:val="center"/>
        </w:trPr>
        <w:tc>
          <w:tcPr>
            <w:tcW w:w="2448"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1E529578" w14:textId="77777777" w:rsidR="00436707" w:rsidRPr="00F6205B" w:rsidRDefault="00436707" w:rsidP="0044249F">
            <w:pPr>
              <w:keepNext/>
              <w:keepLines/>
              <w:spacing w:after="0" w:line="240" w:lineRule="auto"/>
              <w:contextualSpacing/>
              <w:jc w:val="right"/>
              <w:rPr>
                <w:sz w:val="20"/>
                <w:szCs w:val="20"/>
              </w:rPr>
            </w:pPr>
            <w:r w:rsidRPr="00F6205B">
              <w:rPr>
                <w:sz w:val="20"/>
                <w:szCs w:val="20"/>
              </w:rPr>
              <w:t>Upgrade dishwasher</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613CE725" w14:textId="77777777" w:rsidR="00436707" w:rsidRPr="00F6205B" w:rsidRDefault="00436707" w:rsidP="0044249F">
            <w:pPr>
              <w:keepNext/>
              <w:keepLines/>
              <w:spacing w:after="0" w:line="240" w:lineRule="auto"/>
              <w:contextualSpacing/>
              <w:jc w:val="center"/>
              <w:rPr>
                <w:i/>
                <w:sz w:val="20"/>
                <w:szCs w:val="20"/>
              </w:rPr>
            </w:pPr>
            <w:r w:rsidRPr="00F6205B">
              <w:rPr>
                <w:i/>
                <w:sz w:val="20"/>
                <w:szCs w:val="20"/>
              </w:rPr>
              <w:t>164</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787C6C60" w14:textId="77777777" w:rsidR="00436707" w:rsidRPr="00F6205B" w:rsidRDefault="00436707" w:rsidP="0044249F">
            <w:pPr>
              <w:keepNext/>
              <w:keepLines/>
              <w:tabs>
                <w:tab w:val="decimal" w:pos="227"/>
              </w:tabs>
              <w:spacing w:after="0" w:line="240" w:lineRule="auto"/>
              <w:contextualSpacing/>
              <w:jc w:val="center"/>
              <w:rPr>
                <w:sz w:val="20"/>
                <w:szCs w:val="20"/>
              </w:rPr>
            </w:pPr>
            <w:r w:rsidRPr="00F6205B">
              <w:rPr>
                <w:sz w:val="20"/>
                <w:szCs w:val="20"/>
              </w:rPr>
              <w:t>0.4%</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58569B54" w14:textId="77777777" w:rsidR="00436707" w:rsidRPr="00F6205B" w:rsidRDefault="00436707" w:rsidP="0044249F">
            <w:pPr>
              <w:keepNext/>
              <w:keepLines/>
              <w:tabs>
                <w:tab w:val="decimal" w:pos="329"/>
              </w:tabs>
              <w:spacing w:after="0" w:line="240" w:lineRule="auto"/>
              <w:contextualSpacing/>
              <w:jc w:val="center"/>
              <w:rPr>
                <w:sz w:val="20"/>
                <w:szCs w:val="20"/>
              </w:rPr>
            </w:pPr>
            <w:r w:rsidRPr="00F6205B">
              <w:rPr>
                <w:sz w:val="20"/>
                <w:szCs w:val="20"/>
              </w:rPr>
              <w:t xml:space="preserve"> 1.9</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0D91DA7B" w14:textId="77777777" w:rsidR="00436707" w:rsidRPr="00F6205B" w:rsidRDefault="00436707" w:rsidP="0044249F">
            <w:pPr>
              <w:keepNext/>
              <w:keepLines/>
              <w:tabs>
                <w:tab w:val="decimal" w:pos="341"/>
              </w:tabs>
              <w:spacing w:after="0" w:line="240" w:lineRule="auto"/>
              <w:contextualSpacing/>
              <w:jc w:val="center"/>
              <w:rPr>
                <w:sz w:val="20"/>
                <w:szCs w:val="20"/>
              </w:rPr>
            </w:pPr>
            <w:r w:rsidRPr="00F6205B">
              <w:rPr>
                <w:sz w:val="20"/>
                <w:szCs w:val="20"/>
              </w:rPr>
              <w:t xml:space="preserve"> 0.9</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2F7768EA" w14:textId="77777777" w:rsidR="00436707" w:rsidRPr="00F6205B" w:rsidRDefault="00436707" w:rsidP="0044249F">
            <w:pPr>
              <w:keepNext/>
              <w:keepLines/>
              <w:tabs>
                <w:tab w:val="decimal" w:pos="263"/>
              </w:tabs>
              <w:spacing w:after="0" w:line="240" w:lineRule="auto"/>
              <w:contextualSpacing/>
              <w:jc w:val="center"/>
              <w:rPr>
                <w:sz w:val="20"/>
                <w:szCs w:val="20"/>
              </w:rPr>
            </w:pPr>
            <w:r w:rsidRPr="00F6205B">
              <w:rPr>
                <w:sz w:val="20"/>
                <w:szCs w:val="20"/>
              </w:rPr>
              <w:t xml:space="preserve"> 0.3</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1300B6BF" w14:textId="77777777" w:rsidR="00436707" w:rsidRPr="00F6205B" w:rsidRDefault="00436707" w:rsidP="0044249F">
            <w:pPr>
              <w:keepNext/>
              <w:keepLines/>
              <w:tabs>
                <w:tab w:val="decimal" w:pos="500"/>
              </w:tabs>
              <w:spacing w:after="0" w:line="240" w:lineRule="auto"/>
              <w:contextualSpacing/>
              <w:jc w:val="center"/>
              <w:rPr>
                <w:sz w:val="20"/>
                <w:szCs w:val="20"/>
              </w:rPr>
            </w:pPr>
            <w:r w:rsidRPr="00F6205B">
              <w:rPr>
                <w:sz w:val="20"/>
                <w:szCs w:val="20"/>
              </w:rPr>
              <w:t xml:space="preserve"> 69.7</w:t>
            </w:r>
          </w:p>
        </w:tc>
        <w:tc>
          <w:tcPr>
            <w:tcW w:w="106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1D6F79C8" w14:textId="77777777" w:rsidR="00436707" w:rsidRPr="00F6205B" w:rsidRDefault="00436707" w:rsidP="0044249F">
            <w:pPr>
              <w:keepNext/>
              <w:keepLines/>
              <w:tabs>
                <w:tab w:val="decimal" w:pos="377"/>
              </w:tabs>
              <w:spacing w:after="0" w:line="240" w:lineRule="auto"/>
              <w:contextualSpacing/>
              <w:jc w:val="center"/>
              <w:rPr>
                <w:sz w:val="20"/>
                <w:szCs w:val="20"/>
              </w:rPr>
            </w:pPr>
            <w:r w:rsidRPr="00F6205B">
              <w:rPr>
                <w:sz w:val="20"/>
                <w:szCs w:val="20"/>
              </w:rPr>
              <w:t xml:space="preserve"> 0.6</w:t>
            </w:r>
          </w:p>
        </w:tc>
      </w:tr>
      <w:tr w:rsidR="00436707" w:rsidRPr="00F6205B" w14:paraId="36FB091A" w14:textId="77777777" w:rsidTr="003B4970">
        <w:trPr>
          <w:trHeight w:val="288"/>
          <w:jc w:val="center"/>
        </w:trPr>
        <w:tc>
          <w:tcPr>
            <w:tcW w:w="244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1458C63" w14:textId="77777777" w:rsidR="00436707" w:rsidRPr="00F6205B" w:rsidRDefault="00436707" w:rsidP="0044249F">
            <w:pPr>
              <w:keepNext/>
              <w:keepLines/>
              <w:spacing w:after="0" w:line="240" w:lineRule="auto"/>
              <w:contextualSpacing/>
              <w:jc w:val="right"/>
              <w:rPr>
                <w:sz w:val="20"/>
                <w:szCs w:val="20"/>
              </w:rPr>
            </w:pPr>
            <w:r w:rsidRPr="00F6205B">
              <w:rPr>
                <w:sz w:val="20"/>
                <w:szCs w:val="20"/>
              </w:rPr>
              <w:t>Upgrade freezer</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27600B" w14:textId="77777777" w:rsidR="00436707" w:rsidRPr="00F6205B" w:rsidRDefault="00436707" w:rsidP="0044249F">
            <w:pPr>
              <w:keepNext/>
              <w:keepLines/>
              <w:spacing w:after="0" w:line="240" w:lineRule="auto"/>
              <w:contextualSpacing/>
              <w:jc w:val="center"/>
              <w:rPr>
                <w:i/>
                <w:sz w:val="20"/>
                <w:szCs w:val="20"/>
              </w:rPr>
            </w:pPr>
            <w:r w:rsidRPr="00F6205B">
              <w:rPr>
                <w:i/>
                <w:sz w:val="20"/>
                <w:szCs w:val="20"/>
              </w:rPr>
              <w:t>60</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9C7B09" w14:textId="77777777" w:rsidR="00436707" w:rsidRPr="00F6205B" w:rsidRDefault="00436707" w:rsidP="0044249F">
            <w:pPr>
              <w:keepNext/>
              <w:keepLines/>
              <w:tabs>
                <w:tab w:val="decimal" w:pos="227"/>
              </w:tabs>
              <w:spacing w:after="0" w:line="240" w:lineRule="auto"/>
              <w:contextualSpacing/>
              <w:jc w:val="center"/>
              <w:rPr>
                <w:sz w:val="20"/>
                <w:szCs w:val="20"/>
              </w:rPr>
            </w:pPr>
            <w:r w:rsidRPr="00F6205B">
              <w:rPr>
                <w:sz w:val="20"/>
                <w:szCs w:val="20"/>
              </w:rPr>
              <w:t>0.3%</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28E2EE" w14:textId="77777777" w:rsidR="00436707" w:rsidRPr="00F6205B" w:rsidRDefault="00436707" w:rsidP="0044249F">
            <w:pPr>
              <w:keepNext/>
              <w:keepLines/>
              <w:tabs>
                <w:tab w:val="decimal" w:pos="329"/>
              </w:tabs>
              <w:spacing w:after="0" w:line="240" w:lineRule="auto"/>
              <w:contextualSpacing/>
              <w:jc w:val="center"/>
              <w:rPr>
                <w:sz w:val="20"/>
                <w:szCs w:val="20"/>
              </w:rPr>
            </w:pPr>
            <w:r w:rsidRPr="00F6205B">
              <w:rPr>
                <w:sz w:val="20"/>
                <w:szCs w:val="20"/>
              </w:rPr>
              <w:t>- 0.6</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96BC6D" w14:textId="77777777" w:rsidR="00436707" w:rsidRPr="00F6205B" w:rsidRDefault="00436707" w:rsidP="0044249F">
            <w:pPr>
              <w:keepNext/>
              <w:keepLines/>
              <w:tabs>
                <w:tab w:val="decimal" w:pos="341"/>
              </w:tabs>
              <w:spacing w:after="0" w:line="240" w:lineRule="auto"/>
              <w:contextualSpacing/>
              <w:jc w:val="center"/>
              <w:rPr>
                <w:sz w:val="20"/>
                <w:szCs w:val="20"/>
              </w:rPr>
            </w:pPr>
            <w:r w:rsidRPr="00F6205B">
              <w:rPr>
                <w:sz w:val="20"/>
                <w:szCs w:val="20"/>
              </w:rPr>
              <w:t>- 0.1</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C74DBB" w14:textId="77777777" w:rsidR="00436707" w:rsidRPr="00F6205B" w:rsidRDefault="00436707" w:rsidP="0044249F">
            <w:pPr>
              <w:keepNext/>
              <w:keepLines/>
              <w:tabs>
                <w:tab w:val="decimal" w:pos="263"/>
              </w:tabs>
              <w:spacing w:after="0" w:line="240" w:lineRule="auto"/>
              <w:contextualSpacing/>
              <w:jc w:val="center"/>
              <w:rPr>
                <w:sz w:val="20"/>
                <w:szCs w:val="20"/>
              </w:rPr>
            </w:pPr>
            <w:r w:rsidRPr="00F6205B">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FDD840" w14:textId="77777777" w:rsidR="00436707" w:rsidRPr="00F6205B" w:rsidRDefault="00436707" w:rsidP="0044249F">
            <w:pPr>
              <w:keepNext/>
              <w:keepLines/>
              <w:tabs>
                <w:tab w:val="decimal" w:pos="500"/>
              </w:tabs>
              <w:spacing w:after="0" w:line="240" w:lineRule="auto"/>
              <w:contextualSpacing/>
              <w:jc w:val="center"/>
              <w:rPr>
                <w:sz w:val="20"/>
                <w:szCs w:val="20"/>
              </w:rPr>
            </w:pPr>
            <w:r w:rsidRPr="00F6205B">
              <w:rPr>
                <w:sz w:val="20"/>
                <w:szCs w:val="20"/>
              </w:rPr>
              <w:t xml:space="preserve"> 174.0</w:t>
            </w:r>
          </w:p>
        </w:tc>
        <w:tc>
          <w:tcPr>
            <w:tcW w:w="1068"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C5DD681" w14:textId="77777777" w:rsidR="00436707" w:rsidRPr="00F6205B" w:rsidRDefault="00436707" w:rsidP="0044249F">
            <w:pPr>
              <w:keepNext/>
              <w:keepLines/>
              <w:tabs>
                <w:tab w:val="decimal" w:pos="377"/>
              </w:tabs>
              <w:spacing w:after="0" w:line="240" w:lineRule="auto"/>
              <w:contextualSpacing/>
              <w:jc w:val="center"/>
              <w:rPr>
                <w:sz w:val="20"/>
                <w:szCs w:val="20"/>
              </w:rPr>
            </w:pPr>
            <w:r w:rsidRPr="00F6205B">
              <w:rPr>
                <w:sz w:val="20"/>
                <w:szCs w:val="20"/>
              </w:rPr>
              <w:t xml:space="preserve"> 0.5</w:t>
            </w:r>
          </w:p>
        </w:tc>
      </w:tr>
      <w:tr w:rsidR="00436707" w:rsidRPr="00F6205B" w14:paraId="110C4C59" w14:textId="77777777" w:rsidTr="003B4970">
        <w:trPr>
          <w:trHeight w:val="288"/>
          <w:jc w:val="center"/>
        </w:trPr>
        <w:tc>
          <w:tcPr>
            <w:tcW w:w="2448" w:type="dxa"/>
            <w:tcBorders>
              <w:top w:val="single" w:sz="4" w:space="0" w:color="000000" w:themeColor="text1"/>
              <w:left w:val="single" w:sz="4" w:space="0" w:color="auto"/>
              <w:bottom w:val="single" w:sz="4" w:space="0" w:color="auto"/>
              <w:right w:val="single" w:sz="4" w:space="0" w:color="000000" w:themeColor="text1"/>
            </w:tcBorders>
            <w:shd w:val="clear" w:color="auto" w:fill="BFBFBF" w:themeFill="background1" w:themeFillShade="BF"/>
            <w:vAlign w:val="center"/>
          </w:tcPr>
          <w:p w14:paraId="5798F632" w14:textId="65E4E864" w:rsidR="00436707" w:rsidRPr="00F6205B" w:rsidRDefault="00436707" w:rsidP="0044249F">
            <w:pPr>
              <w:keepNext/>
              <w:keepLines/>
              <w:spacing w:after="0" w:line="240" w:lineRule="auto"/>
              <w:contextualSpacing/>
              <w:jc w:val="right"/>
              <w:rPr>
                <w:sz w:val="20"/>
                <w:szCs w:val="20"/>
              </w:rPr>
            </w:pPr>
            <w:r w:rsidRPr="00F6205B">
              <w:rPr>
                <w:sz w:val="20"/>
                <w:szCs w:val="20"/>
              </w:rPr>
              <w:t>Upgrade dehumidifier</w:t>
            </w:r>
          </w:p>
        </w:tc>
        <w:tc>
          <w:tcPr>
            <w:tcW w:w="88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BFBFBF" w:themeFill="background1" w:themeFillShade="BF"/>
            <w:vAlign w:val="center"/>
          </w:tcPr>
          <w:p w14:paraId="2229CE82" w14:textId="77777777" w:rsidR="00436707" w:rsidRPr="00F6205B" w:rsidRDefault="00436707" w:rsidP="0044249F">
            <w:pPr>
              <w:keepNext/>
              <w:keepLines/>
              <w:spacing w:after="0" w:line="240" w:lineRule="auto"/>
              <w:contextualSpacing/>
              <w:jc w:val="center"/>
              <w:rPr>
                <w:i/>
                <w:sz w:val="20"/>
                <w:szCs w:val="20"/>
              </w:rPr>
            </w:pPr>
            <w:r w:rsidRPr="00F6205B">
              <w:rPr>
                <w:i/>
                <w:sz w:val="20"/>
                <w:szCs w:val="20"/>
              </w:rPr>
              <w:t>49</w:t>
            </w:r>
          </w:p>
        </w:tc>
        <w:tc>
          <w:tcPr>
            <w:tcW w:w="106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BFBFBF" w:themeFill="background1" w:themeFillShade="BF"/>
            <w:vAlign w:val="center"/>
          </w:tcPr>
          <w:p w14:paraId="38E40BBF" w14:textId="77777777" w:rsidR="00436707" w:rsidRPr="00F6205B" w:rsidRDefault="00436707" w:rsidP="0044249F">
            <w:pPr>
              <w:keepNext/>
              <w:keepLines/>
              <w:tabs>
                <w:tab w:val="decimal" w:pos="227"/>
              </w:tabs>
              <w:spacing w:after="0" w:line="240" w:lineRule="auto"/>
              <w:contextualSpacing/>
              <w:jc w:val="center"/>
              <w:rPr>
                <w:sz w:val="20"/>
                <w:szCs w:val="20"/>
              </w:rPr>
            </w:pPr>
            <w:r w:rsidRPr="00F6205B">
              <w:rPr>
                <w:sz w:val="20"/>
                <w:szCs w:val="20"/>
              </w:rPr>
              <w:t>0.1%</w:t>
            </w:r>
          </w:p>
        </w:tc>
        <w:tc>
          <w:tcPr>
            <w:tcW w:w="106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BFBFBF" w:themeFill="background1" w:themeFillShade="BF"/>
            <w:vAlign w:val="center"/>
          </w:tcPr>
          <w:p w14:paraId="1FA372E8" w14:textId="77777777" w:rsidR="00436707" w:rsidRPr="00F6205B" w:rsidRDefault="00436707" w:rsidP="0044249F">
            <w:pPr>
              <w:keepNext/>
              <w:keepLines/>
              <w:tabs>
                <w:tab w:val="decimal" w:pos="329"/>
              </w:tabs>
              <w:spacing w:after="0" w:line="240" w:lineRule="auto"/>
              <w:contextualSpacing/>
              <w:jc w:val="center"/>
              <w:rPr>
                <w:sz w:val="20"/>
                <w:szCs w:val="20"/>
              </w:rPr>
            </w:pPr>
            <w:r w:rsidRPr="00F6205B">
              <w:rPr>
                <w:sz w:val="20"/>
                <w:szCs w:val="20"/>
              </w:rPr>
              <w:t>- &lt;0.1</w:t>
            </w:r>
          </w:p>
        </w:tc>
        <w:tc>
          <w:tcPr>
            <w:tcW w:w="106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BFBFBF" w:themeFill="background1" w:themeFillShade="BF"/>
            <w:vAlign w:val="center"/>
          </w:tcPr>
          <w:p w14:paraId="5C7C03EC" w14:textId="77777777" w:rsidR="00436707" w:rsidRPr="00F6205B" w:rsidRDefault="00436707" w:rsidP="0044249F">
            <w:pPr>
              <w:keepNext/>
              <w:keepLines/>
              <w:tabs>
                <w:tab w:val="decimal" w:pos="341"/>
              </w:tabs>
              <w:spacing w:after="0" w:line="240" w:lineRule="auto"/>
              <w:contextualSpacing/>
              <w:jc w:val="center"/>
              <w:rPr>
                <w:sz w:val="20"/>
                <w:szCs w:val="20"/>
              </w:rPr>
            </w:pPr>
            <w:r w:rsidRPr="00F6205B">
              <w:rPr>
                <w:sz w:val="20"/>
                <w:szCs w:val="20"/>
              </w:rPr>
              <w:t>- &lt;0.1</w:t>
            </w:r>
          </w:p>
        </w:tc>
        <w:tc>
          <w:tcPr>
            <w:tcW w:w="106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BFBFBF" w:themeFill="background1" w:themeFillShade="BF"/>
            <w:vAlign w:val="center"/>
          </w:tcPr>
          <w:p w14:paraId="1CAF662E" w14:textId="77777777" w:rsidR="00436707" w:rsidRPr="00F6205B" w:rsidRDefault="00436707" w:rsidP="0044249F">
            <w:pPr>
              <w:keepNext/>
              <w:keepLines/>
              <w:tabs>
                <w:tab w:val="decimal" w:pos="263"/>
              </w:tabs>
              <w:spacing w:after="0" w:line="240" w:lineRule="auto"/>
              <w:contextualSpacing/>
              <w:jc w:val="center"/>
              <w:rPr>
                <w:sz w:val="20"/>
                <w:szCs w:val="20"/>
              </w:rPr>
            </w:pPr>
            <w:r w:rsidRPr="00F6205B">
              <w:rPr>
                <w:sz w:val="20"/>
                <w:szCs w:val="20"/>
              </w:rPr>
              <w:t>- &lt;0.1</w:t>
            </w:r>
          </w:p>
        </w:tc>
        <w:tc>
          <w:tcPr>
            <w:tcW w:w="106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BFBFBF" w:themeFill="background1" w:themeFillShade="BF"/>
            <w:vAlign w:val="center"/>
          </w:tcPr>
          <w:p w14:paraId="0FEFA657" w14:textId="77777777" w:rsidR="00436707" w:rsidRPr="00F6205B" w:rsidRDefault="00436707" w:rsidP="0044249F">
            <w:pPr>
              <w:keepNext/>
              <w:keepLines/>
              <w:tabs>
                <w:tab w:val="decimal" w:pos="500"/>
              </w:tabs>
              <w:spacing w:after="0" w:line="240" w:lineRule="auto"/>
              <w:contextualSpacing/>
              <w:jc w:val="center"/>
              <w:rPr>
                <w:sz w:val="20"/>
                <w:szCs w:val="20"/>
              </w:rPr>
            </w:pPr>
            <w:r w:rsidRPr="00F6205B">
              <w:rPr>
                <w:sz w:val="20"/>
                <w:szCs w:val="20"/>
              </w:rPr>
              <w:t xml:space="preserve"> 39.3</w:t>
            </w:r>
          </w:p>
        </w:tc>
        <w:tc>
          <w:tcPr>
            <w:tcW w:w="1068" w:type="dxa"/>
            <w:tcBorders>
              <w:top w:val="single" w:sz="4" w:space="0" w:color="000000" w:themeColor="text1"/>
              <w:left w:val="single" w:sz="4" w:space="0" w:color="000000" w:themeColor="text1"/>
              <w:bottom w:val="single" w:sz="4" w:space="0" w:color="auto"/>
              <w:right w:val="single" w:sz="4" w:space="0" w:color="auto"/>
            </w:tcBorders>
            <w:shd w:val="clear" w:color="auto" w:fill="BFBFBF" w:themeFill="background1" w:themeFillShade="BF"/>
            <w:vAlign w:val="center"/>
          </w:tcPr>
          <w:p w14:paraId="77CD10D9" w14:textId="77777777" w:rsidR="00436707" w:rsidRPr="00F6205B" w:rsidRDefault="00436707" w:rsidP="0044249F">
            <w:pPr>
              <w:keepNext/>
              <w:keepLines/>
              <w:tabs>
                <w:tab w:val="decimal" w:pos="377"/>
              </w:tabs>
              <w:spacing w:after="0" w:line="240" w:lineRule="auto"/>
              <w:contextualSpacing/>
              <w:jc w:val="center"/>
              <w:rPr>
                <w:sz w:val="20"/>
                <w:szCs w:val="20"/>
              </w:rPr>
            </w:pPr>
            <w:r w:rsidRPr="00F6205B">
              <w:rPr>
                <w:sz w:val="20"/>
                <w:szCs w:val="20"/>
              </w:rPr>
              <w:t xml:space="preserve"> 0.1</w:t>
            </w:r>
          </w:p>
        </w:tc>
      </w:tr>
    </w:tbl>
    <w:p w14:paraId="1FD99B05" w14:textId="77777777" w:rsidR="00436707" w:rsidRPr="00F6205B" w:rsidRDefault="00436707" w:rsidP="00436707">
      <w:pPr>
        <w:keepNext/>
        <w:spacing w:after="0" w:line="240" w:lineRule="auto"/>
        <w:ind w:left="-180"/>
        <w:contextualSpacing/>
        <w:rPr>
          <w:sz w:val="18"/>
          <w:szCs w:val="18"/>
        </w:rPr>
      </w:pPr>
      <w:r w:rsidRPr="00F6205B">
        <w:rPr>
          <w:sz w:val="18"/>
          <w:szCs w:val="18"/>
          <w:vertAlign w:val="superscript"/>
        </w:rPr>
        <w:t>i</w:t>
      </w:r>
      <w:r w:rsidRPr="00F6205B">
        <w:rPr>
          <w:sz w:val="18"/>
          <w:szCs w:val="18"/>
        </w:rPr>
        <w:t xml:space="preserve"> Percent savings over baseline consumption in MMBtus.</w:t>
      </w:r>
    </w:p>
    <w:p w14:paraId="7A1CDA7E" w14:textId="3D3D67ED" w:rsidR="00436707" w:rsidRPr="00F6205B" w:rsidRDefault="00436707" w:rsidP="00436707">
      <w:pPr>
        <w:keepNext/>
        <w:spacing w:after="0" w:line="240" w:lineRule="auto"/>
        <w:ind w:left="-180"/>
        <w:contextualSpacing/>
        <w:rPr>
          <w:sz w:val="18"/>
          <w:szCs w:val="18"/>
        </w:rPr>
      </w:pPr>
      <w:r w:rsidRPr="00F6205B">
        <w:rPr>
          <w:sz w:val="18"/>
          <w:szCs w:val="18"/>
          <w:vertAlign w:val="superscript"/>
        </w:rPr>
        <w:t>ii</w:t>
      </w:r>
      <w:r w:rsidRPr="00F6205B">
        <w:rPr>
          <w:sz w:val="18"/>
          <w:szCs w:val="18"/>
        </w:rPr>
        <w:t xml:space="preserve"> In millions. Negative savings i</w:t>
      </w:r>
      <w:r w:rsidR="003E662E">
        <w:rPr>
          <w:sz w:val="18"/>
          <w:szCs w:val="18"/>
        </w:rPr>
        <w:t>ndicate a consumption increase.</w:t>
      </w:r>
    </w:p>
    <w:p w14:paraId="3FF6FF25" w14:textId="77777777" w:rsidR="00436707" w:rsidRPr="00F6205B" w:rsidRDefault="00436707" w:rsidP="00436707"/>
    <w:p w14:paraId="01A71386" w14:textId="77777777" w:rsidR="00436707" w:rsidRPr="00F6205B" w:rsidRDefault="00436707" w:rsidP="008F1A41">
      <w:pPr>
        <w:pStyle w:val="Heading4"/>
        <w:keepNext/>
        <w:numPr>
          <w:ilvl w:val="0"/>
          <w:numId w:val="0"/>
        </w:numPr>
        <w:jc w:val="both"/>
      </w:pPr>
      <w:r w:rsidRPr="00F6205B">
        <w:t>Heat Pumps and Solar Technologies</w:t>
      </w:r>
    </w:p>
    <w:p w14:paraId="01A4B06F" w14:textId="306F505F" w:rsidR="00436707" w:rsidRPr="00F6205B" w:rsidRDefault="00436707" w:rsidP="00436707">
      <w:pPr>
        <w:keepNext/>
      </w:pPr>
      <w:r w:rsidRPr="00F6205B">
        <w:t>By far the most substantial savings among all the individual measures occur with heat pumps and solar technologies (</w:t>
      </w:r>
      <w:r w:rsidR="003135F8" w:rsidRPr="00F6205B">
        <w:fldChar w:fldCharType="begin"/>
      </w:r>
      <w:r w:rsidR="003135F8" w:rsidRPr="00F6205B">
        <w:instrText xml:space="preserve"> REF _Ref439319636 \h </w:instrText>
      </w:r>
      <w:r w:rsidR="00F6205B">
        <w:instrText xml:space="preserve"> \* MERGEFORMAT </w:instrText>
      </w:r>
      <w:r w:rsidR="003135F8" w:rsidRPr="00F6205B">
        <w:fldChar w:fldCharType="separate"/>
      </w:r>
      <w:r w:rsidR="00FA26A9" w:rsidRPr="00F6205B">
        <w:t xml:space="preserve">Table </w:t>
      </w:r>
      <w:r w:rsidR="00FA26A9">
        <w:rPr>
          <w:noProof/>
        </w:rPr>
        <w:t>21</w:t>
      </w:r>
      <w:r w:rsidR="003135F8" w:rsidRPr="00F6205B">
        <w:fldChar w:fldCharType="end"/>
      </w:r>
      <w:r w:rsidRPr="00F6205B">
        <w:t xml:space="preserve">). While each of the three heat pump upgrades—ground source, air source, and ductless—by themselves result in a great deal more electric consumption because of the change in heating fuel, each leads to a sizable net reduction in total MMBtu consumption. Ductless mini-splits exhibit the greatest potential savings as a </w:t>
      </w:r>
      <w:r w:rsidRPr="00F6205B">
        <w:lastRenderedPageBreak/>
        <w:t>result of their high efficiency, the high percentage of a home’s heating load displaced, and being applied at all 180 homes.</w:t>
      </w:r>
    </w:p>
    <w:p w14:paraId="26114102" w14:textId="2AF5426A" w:rsidR="00436707" w:rsidRPr="00F6205B" w:rsidRDefault="00436707" w:rsidP="004F23CF">
      <w:pPr>
        <w:pStyle w:val="Caption"/>
      </w:pPr>
      <w:bookmarkStart w:id="228" w:name="_Ref366833949"/>
      <w:bookmarkStart w:id="229" w:name="_Ref439319636"/>
      <w:bookmarkStart w:id="230" w:name="_Toc373324129"/>
      <w:bookmarkStart w:id="231" w:name="_Toc391887357"/>
      <w:bookmarkStart w:id="232" w:name="_Toc439931852"/>
      <w:r w:rsidRPr="00F6205B">
        <w:t>Table</w:t>
      </w:r>
      <w:bookmarkEnd w:id="228"/>
      <w:r w:rsidR="004F23CF" w:rsidRPr="00F6205B">
        <w:t xml:space="preserve"> </w:t>
      </w:r>
      <w:fldSimple w:instr=" SEQ Table \* ARABIC ">
        <w:r w:rsidR="00FA26A9">
          <w:rPr>
            <w:noProof/>
          </w:rPr>
          <w:t>21</w:t>
        </w:r>
      </w:fldSimple>
      <w:bookmarkEnd w:id="229"/>
      <w:r w:rsidRPr="00F6205B">
        <w:t>: Heat Pumps and Solar Technologies Savings Potential—First-Year</w:t>
      </w:r>
      <w:bookmarkEnd w:id="230"/>
      <w:bookmarkEnd w:id="231"/>
      <w:bookmarkEnd w:id="232"/>
    </w:p>
    <w:p w14:paraId="489B68F6" w14:textId="77777777" w:rsidR="00346A82" w:rsidRPr="00F6205B" w:rsidRDefault="00346A82" w:rsidP="00346A82">
      <w:pPr>
        <w:pStyle w:val="Caption"/>
        <w:spacing w:before="0" w:after="120"/>
        <w:rPr>
          <w:b w:val="0"/>
          <w:bCs w:val="0"/>
          <w:sz w:val="18"/>
        </w:rPr>
      </w:pPr>
      <w:r w:rsidRPr="00F6205B">
        <w:rPr>
          <w:b w:val="0"/>
          <w:bCs w:val="0"/>
          <w:sz w:val="18"/>
        </w:rPr>
        <w:t>Base: all single-family homes (population-weighted)</w:t>
      </w:r>
    </w:p>
    <w:tbl>
      <w:tblPr>
        <w:tblW w:w="9744"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448"/>
        <w:gridCol w:w="888"/>
        <w:gridCol w:w="1068"/>
        <w:gridCol w:w="1068"/>
        <w:gridCol w:w="1068"/>
        <w:gridCol w:w="1068"/>
        <w:gridCol w:w="1068"/>
        <w:gridCol w:w="1068"/>
      </w:tblGrid>
      <w:tr w:rsidR="00436707" w:rsidRPr="00F6205B" w14:paraId="35A1AD63" w14:textId="77777777" w:rsidTr="00DE30C1">
        <w:trPr>
          <w:trHeight w:val="288"/>
          <w:jc w:val="center"/>
        </w:trPr>
        <w:tc>
          <w:tcPr>
            <w:tcW w:w="2448" w:type="dxa"/>
            <w:tcBorders>
              <w:top w:val="single" w:sz="4" w:space="0" w:color="auto"/>
              <w:left w:val="single" w:sz="4" w:space="0" w:color="auto"/>
              <w:bottom w:val="single" w:sz="4" w:space="0" w:color="auto"/>
              <w:right w:val="single" w:sz="4" w:space="0" w:color="000000" w:themeColor="text1"/>
            </w:tcBorders>
            <w:shd w:val="clear" w:color="auto" w:fill="0B4D2C" w:themeFill="background2" w:themeFillShade="BF"/>
            <w:vAlign w:val="center"/>
          </w:tcPr>
          <w:p w14:paraId="7EFE5FF8" w14:textId="77777777" w:rsidR="00436707" w:rsidRPr="00F6205B" w:rsidRDefault="00436707" w:rsidP="0044249F">
            <w:pPr>
              <w:keepNext/>
              <w:keepLines/>
              <w:spacing w:after="0" w:line="240" w:lineRule="auto"/>
              <w:contextualSpacing/>
              <w:rPr>
                <w:b/>
                <w:sz w:val="20"/>
                <w:szCs w:val="20"/>
              </w:rPr>
            </w:pPr>
          </w:p>
        </w:tc>
        <w:tc>
          <w:tcPr>
            <w:tcW w:w="888" w:type="dxa"/>
            <w:tcBorders>
              <w:top w:val="single" w:sz="4" w:space="0" w:color="auto"/>
              <w:left w:val="single" w:sz="4" w:space="0" w:color="000000" w:themeColor="text1"/>
              <w:bottom w:val="single" w:sz="4" w:space="0" w:color="auto"/>
              <w:right w:val="single" w:sz="4" w:space="0" w:color="000000" w:themeColor="text1"/>
            </w:tcBorders>
            <w:shd w:val="clear" w:color="auto" w:fill="0B4D2C" w:themeFill="background2" w:themeFillShade="BF"/>
            <w:vAlign w:val="center"/>
          </w:tcPr>
          <w:p w14:paraId="7FB4B995" w14:textId="6BA368F1" w:rsidR="00436707" w:rsidRPr="00F6205B" w:rsidRDefault="00DE30C1" w:rsidP="0044249F">
            <w:pPr>
              <w:keepNext/>
              <w:keepLines/>
              <w:spacing w:after="0" w:line="240" w:lineRule="auto"/>
              <w:contextualSpacing/>
              <w:jc w:val="center"/>
              <w:rPr>
                <w:b/>
                <w:i/>
                <w:sz w:val="20"/>
                <w:szCs w:val="20"/>
              </w:rPr>
            </w:pPr>
            <w:r w:rsidRPr="00F6205B">
              <w:rPr>
                <w:b/>
                <w:i/>
                <w:sz w:val="20"/>
                <w:szCs w:val="20"/>
              </w:rPr>
              <w:t>N</w:t>
            </w:r>
          </w:p>
        </w:tc>
        <w:tc>
          <w:tcPr>
            <w:tcW w:w="1068" w:type="dxa"/>
            <w:tcBorders>
              <w:top w:val="single" w:sz="4" w:space="0" w:color="auto"/>
              <w:left w:val="single" w:sz="4" w:space="0" w:color="000000" w:themeColor="text1"/>
              <w:bottom w:val="single" w:sz="4" w:space="0" w:color="auto"/>
              <w:right w:val="single" w:sz="4" w:space="0" w:color="000000" w:themeColor="text1"/>
            </w:tcBorders>
            <w:shd w:val="clear" w:color="auto" w:fill="0B4D2C" w:themeFill="background2" w:themeFillShade="BF"/>
            <w:vAlign w:val="center"/>
          </w:tcPr>
          <w:p w14:paraId="53407925" w14:textId="77777777" w:rsidR="00436707" w:rsidRPr="00F6205B" w:rsidRDefault="00436707" w:rsidP="0044249F">
            <w:pPr>
              <w:keepNext/>
              <w:keepLines/>
              <w:spacing w:after="0" w:line="240" w:lineRule="auto"/>
              <w:contextualSpacing/>
              <w:jc w:val="center"/>
              <w:rPr>
                <w:b/>
                <w:sz w:val="20"/>
                <w:szCs w:val="20"/>
              </w:rPr>
            </w:pPr>
            <w:r w:rsidRPr="00F6205B">
              <w:rPr>
                <w:b/>
                <w:sz w:val="20"/>
                <w:szCs w:val="20"/>
              </w:rPr>
              <w:t>Percent Savings</w:t>
            </w:r>
            <w:r w:rsidRPr="00F6205B">
              <w:rPr>
                <w:b/>
                <w:sz w:val="20"/>
                <w:szCs w:val="20"/>
                <w:vertAlign w:val="superscript"/>
              </w:rPr>
              <w:t>i</w:t>
            </w:r>
          </w:p>
        </w:tc>
        <w:tc>
          <w:tcPr>
            <w:tcW w:w="1068" w:type="dxa"/>
            <w:tcBorders>
              <w:top w:val="single" w:sz="4" w:space="0" w:color="auto"/>
              <w:left w:val="single" w:sz="4" w:space="0" w:color="000000" w:themeColor="text1"/>
              <w:bottom w:val="single" w:sz="4" w:space="0" w:color="auto"/>
              <w:right w:val="single" w:sz="4" w:space="0" w:color="000000" w:themeColor="text1"/>
            </w:tcBorders>
            <w:shd w:val="clear" w:color="auto" w:fill="0B4D2C" w:themeFill="background2" w:themeFillShade="BF"/>
            <w:vAlign w:val="center"/>
            <w:hideMark/>
          </w:tcPr>
          <w:p w14:paraId="6B746F8F" w14:textId="66D34311" w:rsidR="00436707" w:rsidRPr="00F6205B" w:rsidRDefault="00DE30C1" w:rsidP="0044249F">
            <w:pPr>
              <w:keepNext/>
              <w:keepLines/>
              <w:spacing w:after="0" w:line="240" w:lineRule="auto"/>
              <w:contextualSpacing/>
              <w:jc w:val="center"/>
              <w:rPr>
                <w:b/>
                <w:sz w:val="20"/>
                <w:szCs w:val="20"/>
              </w:rPr>
            </w:pPr>
            <w:r w:rsidRPr="00F6205B">
              <w:rPr>
                <w:b/>
                <w:sz w:val="20"/>
                <w:szCs w:val="20"/>
              </w:rPr>
              <w:t>Fuel Oil (gal</w:t>
            </w:r>
            <w:r w:rsidR="00436707" w:rsidRPr="00F6205B">
              <w:rPr>
                <w:b/>
                <w:sz w:val="20"/>
                <w:szCs w:val="20"/>
              </w:rPr>
              <w:t>)</w:t>
            </w:r>
            <w:r w:rsidR="00436707" w:rsidRPr="00F6205B">
              <w:rPr>
                <w:b/>
                <w:sz w:val="20"/>
                <w:vertAlign w:val="superscript"/>
              </w:rPr>
              <w:t>ii</w:t>
            </w:r>
          </w:p>
        </w:tc>
        <w:tc>
          <w:tcPr>
            <w:tcW w:w="1068" w:type="dxa"/>
            <w:tcBorders>
              <w:top w:val="single" w:sz="4" w:space="0" w:color="auto"/>
              <w:left w:val="single" w:sz="4" w:space="0" w:color="000000" w:themeColor="text1"/>
              <w:bottom w:val="single" w:sz="4" w:space="0" w:color="auto"/>
              <w:right w:val="single" w:sz="4" w:space="0" w:color="000000" w:themeColor="text1"/>
            </w:tcBorders>
            <w:shd w:val="clear" w:color="auto" w:fill="0B4D2C" w:themeFill="background2" w:themeFillShade="BF"/>
            <w:vAlign w:val="center"/>
            <w:hideMark/>
          </w:tcPr>
          <w:p w14:paraId="6CE8A919" w14:textId="77777777" w:rsidR="00436707" w:rsidRPr="00F6205B" w:rsidRDefault="00436707" w:rsidP="0044249F">
            <w:pPr>
              <w:keepNext/>
              <w:keepLines/>
              <w:spacing w:after="0" w:line="240" w:lineRule="auto"/>
              <w:contextualSpacing/>
              <w:jc w:val="center"/>
              <w:rPr>
                <w:b/>
                <w:sz w:val="20"/>
                <w:szCs w:val="20"/>
              </w:rPr>
            </w:pPr>
            <w:r w:rsidRPr="00F6205B">
              <w:rPr>
                <w:b/>
                <w:sz w:val="20"/>
                <w:szCs w:val="20"/>
              </w:rPr>
              <w:t>Nat. Gas (ccf)</w:t>
            </w:r>
            <w:r w:rsidRPr="00F6205B">
              <w:rPr>
                <w:b/>
                <w:sz w:val="20"/>
                <w:vertAlign w:val="superscript"/>
              </w:rPr>
              <w:t>ii</w:t>
            </w:r>
          </w:p>
        </w:tc>
        <w:tc>
          <w:tcPr>
            <w:tcW w:w="1068" w:type="dxa"/>
            <w:tcBorders>
              <w:top w:val="single" w:sz="4" w:space="0" w:color="auto"/>
              <w:left w:val="single" w:sz="4" w:space="0" w:color="000000" w:themeColor="text1"/>
              <w:bottom w:val="single" w:sz="4" w:space="0" w:color="auto"/>
              <w:right w:val="single" w:sz="4" w:space="0" w:color="000000" w:themeColor="text1"/>
            </w:tcBorders>
            <w:shd w:val="clear" w:color="auto" w:fill="0B4D2C" w:themeFill="background2" w:themeFillShade="BF"/>
            <w:vAlign w:val="center"/>
            <w:hideMark/>
          </w:tcPr>
          <w:p w14:paraId="34AC1081" w14:textId="5056F7DD" w:rsidR="00436707" w:rsidRPr="00F6205B" w:rsidRDefault="00DE30C1" w:rsidP="0044249F">
            <w:pPr>
              <w:keepNext/>
              <w:keepLines/>
              <w:spacing w:after="0" w:line="240" w:lineRule="auto"/>
              <w:contextualSpacing/>
              <w:jc w:val="center"/>
              <w:rPr>
                <w:b/>
                <w:sz w:val="20"/>
                <w:szCs w:val="20"/>
              </w:rPr>
            </w:pPr>
            <w:r w:rsidRPr="00F6205B">
              <w:rPr>
                <w:b/>
                <w:sz w:val="20"/>
                <w:szCs w:val="20"/>
              </w:rPr>
              <w:t>Propane (gal</w:t>
            </w:r>
            <w:r w:rsidR="00436707" w:rsidRPr="00F6205B">
              <w:rPr>
                <w:b/>
                <w:sz w:val="20"/>
                <w:szCs w:val="20"/>
              </w:rPr>
              <w:t>)</w:t>
            </w:r>
            <w:r w:rsidR="00436707" w:rsidRPr="00F6205B">
              <w:rPr>
                <w:b/>
                <w:sz w:val="20"/>
                <w:vertAlign w:val="superscript"/>
              </w:rPr>
              <w:t>ii</w:t>
            </w:r>
          </w:p>
        </w:tc>
        <w:tc>
          <w:tcPr>
            <w:tcW w:w="1068" w:type="dxa"/>
            <w:tcBorders>
              <w:top w:val="single" w:sz="4" w:space="0" w:color="auto"/>
              <w:left w:val="single" w:sz="4" w:space="0" w:color="000000" w:themeColor="text1"/>
              <w:bottom w:val="single" w:sz="4" w:space="0" w:color="auto"/>
              <w:right w:val="single" w:sz="4" w:space="0" w:color="000000" w:themeColor="text1"/>
            </w:tcBorders>
            <w:shd w:val="clear" w:color="auto" w:fill="0B4D2C" w:themeFill="background2" w:themeFillShade="BF"/>
            <w:vAlign w:val="center"/>
          </w:tcPr>
          <w:p w14:paraId="4801F868" w14:textId="77777777" w:rsidR="00436707" w:rsidRPr="00F6205B" w:rsidRDefault="00436707" w:rsidP="0044249F">
            <w:pPr>
              <w:keepNext/>
              <w:keepLines/>
              <w:spacing w:after="0" w:line="240" w:lineRule="auto"/>
              <w:contextualSpacing/>
              <w:jc w:val="center"/>
              <w:rPr>
                <w:b/>
                <w:sz w:val="20"/>
                <w:szCs w:val="20"/>
              </w:rPr>
            </w:pPr>
            <w:r w:rsidRPr="00F6205B">
              <w:rPr>
                <w:b/>
                <w:sz w:val="20"/>
                <w:szCs w:val="20"/>
              </w:rPr>
              <w:t>Electric (kWh)</w:t>
            </w:r>
            <w:r w:rsidRPr="00F6205B">
              <w:rPr>
                <w:b/>
                <w:sz w:val="20"/>
                <w:vertAlign w:val="superscript"/>
              </w:rPr>
              <w:t>ii</w:t>
            </w:r>
          </w:p>
        </w:tc>
        <w:tc>
          <w:tcPr>
            <w:tcW w:w="1068" w:type="dxa"/>
            <w:tcBorders>
              <w:top w:val="single" w:sz="4" w:space="0" w:color="auto"/>
              <w:left w:val="single" w:sz="4" w:space="0" w:color="000000" w:themeColor="text1"/>
              <w:bottom w:val="single" w:sz="4" w:space="0" w:color="auto"/>
              <w:right w:val="single" w:sz="4" w:space="0" w:color="auto"/>
            </w:tcBorders>
            <w:shd w:val="clear" w:color="auto" w:fill="0B4D2C" w:themeFill="background2" w:themeFillShade="BF"/>
            <w:vAlign w:val="center"/>
          </w:tcPr>
          <w:p w14:paraId="0EA39BEE" w14:textId="77777777" w:rsidR="00436707" w:rsidRPr="00F6205B" w:rsidRDefault="00436707" w:rsidP="0044249F">
            <w:pPr>
              <w:keepNext/>
              <w:keepLines/>
              <w:spacing w:after="0" w:line="240" w:lineRule="auto"/>
              <w:contextualSpacing/>
              <w:jc w:val="center"/>
              <w:rPr>
                <w:b/>
                <w:sz w:val="20"/>
                <w:szCs w:val="20"/>
              </w:rPr>
            </w:pPr>
            <w:r w:rsidRPr="00F6205B">
              <w:rPr>
                <w:b/>
                <w:sz w:val="20"/>
                <w:szCs w:val="20"/>
              </w:rPr>
              <w:t>Total MMBtu</w:t>
            </w:r>
            <w:r w:rsidRPr="00F6205B">
              <w:rPr>
                <w:b/>
                <w:sz w:val="20"/>
                <w:vertAlign w:val="superscript"/>
              </w:rPr>
              <w:t>ii</w:t>
            </w:r>
          </w:p>
        </w:tc>
      </w:tr>
      <w:tr w:rsidR="00DE30C1" w:rsidRPr="00F6205B" w14:paraId="347B7A9C" w14:textId="77777777" w:rsidTr="00DE30C1">
        <w:trPr>
          <w:trHeight w:val="288"/>
          <w:jc w:val="center"/>
        </w:trPr>
        <w:tc>
          <w:tcPr>
            <w:tcW w:w="2448" w:type="dxa"/>
            <w:tcBorders>
              <w:top w:val="single" w:sz="4" w:space="0" w:color="auto"/>
              <w:left w:val="single" w:sz="4" w:space="0" w:color="auto"/>
              <w:bottom w:val="single" w:sz="4" w:space="0" w:color="auto"/>
              <w:right w:val="single" w:sz="4" w:space="0" w:color="000000" w:themeColor="text1"/>
            </w:tcBorders>
            <w:shd w:val="clear" w:color="auto" w:fill="404040" w:themeFill="text1" w:themeFillTint="BF"/>
            <w:vAlign w:val="center"/>
          </w:tcPr>
          <w:p w14:paraId="16858416" w14:textId="77777777" w:rsidR="00436707" w:rsidRPr="00F6205B" w:rsidRDefault="00436707" w:rsidP="0044249F">
            <w:pPr>
              <w:keepNext/>
              <w:keepLines/>
              <w:spacing w:after="0" w:line="240" w:lineRule="auto"/>
              <w:contextualSpacing/>
              <w:jc w:val="right"/>
              <w:rPr>
                <w:color w:val="FFFFFF" w:themeColor="background1"/>
                <w:sz w:val="20"/>
                <w:szCs w:val="20"/>
              </w:rPr>
            </w:pPr>
            <w:r w:rsidRPr="00F6205B">
              <w:rPr>
                <w:color w:val="FFFFFF" w:themeColor="background1"/>
                <w:sz w:val="20"/>
                <w:szCs w:val="20"/>
              </w:rPr>
              <w:t>Baseline consumption</w:t>
            </w:r>
          </w:p>
        </w:tc>
        <w:tc>
          <w:tcPr>
            <w:tcW w:w="888" w:type="dxa"/>
            <w:tcBorders>
              <w:top w:val="single" w:sz="4" w:space="0" w:color="auto"/>
              <w:left w:val="single" w:sz="4" w:space="0" w:color="000000" w:themeColor="text1"/>
              <w:bottom w:val="single" w:sz="4" w:space="0" w:color="auto"/>
              <w:right w:val="single" w:sz="4" w:space="0" w:color="000000" w:themeColor="text1"/>
            </w:tcBorders>
            <w:shd w:val="clear" w:color="auto" w:fill="404040" w:themeFill="text1" w:themeFillTint="BF"/>
            <w:vAlign w:val="center"/>
          </w:tcPr>
          <w:p w14:paraId="1B2900A8" w14:textId="77777777" w:rsidR="00436707" w:rsidRPr="00F6205B" w:rsidRDefault="00436707" w:rsidP="0044249F">
            <w:pPr>
              <w:keepNext/>
              <w:keepLines/>
              <w:spacing w:after="0" w:line="240" w:lineRule="auto"/>
              <w:contextualSpacing/>
              <w:jc w:val="center"/>
              <w:rPr>
                <w:color w:val="FFFFFF" w:themeColor="background1"/>
                <w:sz w:val="20"/>
                <w:szCs w:val="20"/>
              </w:rPr>
            </w:pPr>
            <w:r w:rsidRPr="00F6205B">
              <w:rPr>
                <w:color w:val="FFFFFF" w:themeColor="background1"/>
                <w:sz w:val="20"/>
                <w:szCs w:val="20"/>
              </w:rPr>
              <w:t>180</w:t>
            </w:r>
          </w:p>
        </w:tc>
        <w:tc>
          <w:tcPr>
            <w:tcW w:w="1068" w:type="dxa"/>
            <w:tcBorders>
              <w:top w:val="single" w:sz="4" w:space="0" w:color="auto"/>
              <w:left w:val="single" w:sz="4" w:space="0" w:color="000000" w:themeColor="text1"/>
              <w:bottom w:val="single" w:sz="4" w:space="0" w:color="auto"/>
              <w:right w:val="single" w:sz="4" w:space="0" w:color="000000" w:themeColor="text1"/>
            </w:tcBorders>
            <w:shd w:val="clear" w:color="auto" w:fill="404040" w:themeFill="text1" w:themeFillTint="BF"/>
            <w:vAlign w:val="center"/>
          </w:tcPr>
          <w:p w14:paraId="0F0AFD82" w14:textId="77777777" w:rsidR="00436707" w:rsidRPr="00F6205B" w:rsidRDefault="00436707" w:rsidP="0044249F">
            <w:pPr>
              <w:keepNext/>
              <w:keepLines/>
              <w:spacing w:after="0" w:line="240" w:lineRule="auto"/>
              <w:contextualSpacing/>
              <w:jc w:val="center"/>
              <w:rPr>
                <w:color w:val="FFFFFF" w:themeColor="background1"/>
                <w:sz w:val="20"/>
                <w:szCs w:val="20"/>
              </w:rPr>
            </w:pPr>
            <w:r w:rsidRPr="00F6205B">
              <w:rPr>
                <w:color w:val="FFFFFF" w:themeColor="background1"/>
                <w:sz w:val="20"/>
                <w:szCs w:val="20"/>
              </w:rPr>
              <w:t>-</w:t>
            </w:r>
          </w:p>
        </w:tc>
        <w:tc>
          <w:tcPr>
            <w:tcW w:w="1068" w:type="dxa"/>
            <w:tcBorders>
              <w:top w:val="single" w:sz="4" w:space="0" w:color="auto"/>
              <w:left w:val="single" w:sz="4" w:space="0" w:color="000000" w:themeColor="text1"/>
              <w:bottom w:val="single" w:sz="4" w:space="0" w:color="auto"/>
              <w:right w:val="single" w:sz="4" w:space="0" w:color="000000" w:themeColor="text1"/>
            </w:tcBorders>
            <w:shd w:val="clear" w:color="auto" w:fill="404040" w:themeFill="text1" w:themeFillTint="BF"/>
            <w:vAlign w:val="center"/>
          </w:tcPr>
          <w:p w14:paraId="33AC1ADA" w14:textId="77777777" w:rsidR="00436707" w:rsidRPr="00F6205B" w:rsidRDefault="00436707" w:rsidP="0044249F">
            <w:pPr>
              <w:keepNext/>
              <w:keepLines/>
              <w:spacing w:after="0" w:line="240" w:lineRule="auto"/>
              <w:contextualSpacing/>
              <w:jc w:val="center"/>
              <w:rPr>
                <w:color w:val="FFFFFF" w:themeColor="background1"/>
                <w:sz w:val="20"/>
                <w:szCs w:val="20"/>
              </w:rPr>
            </w:pPr>
            <w:r w:rsidRPr="00F6205B">
              <w:rPr>
                <w:color w:val="FFFFFF" w:themeColor="background1"/>
                <w:sz w:val="20"/>
                <w:szCs w:val="20"/>
              </w:rPr>
              <w:t>531.0</w:t>
            </w:r>
          </w:p>
        </w:tc>
        <w:tc>
          <w:tcPr>
            <w:tcW w:w="1068" w:type="dxa"/>
            <w:tcBorders>
              <w:top w:val="single" w:sz="4" w:space="0" w:color="auto"/>
              <w:left w:val="single" w:sz="4" w:space="0" w:color="000000" w:themeColor="text1"/>
              <w:bottom w:val="single" w:sz="4" w:space="0" w:color="auto"/>
              <w:right w:val="single" w:sz="4" w:space="0" w:color="000000" w:themeColor="text1"/>
            </w:tcBorders>
            <w:shd w:val="clear" w:color="auto" w:fill="404040" w:themeFill="text1" w:themeFillTint="BF"/>
            <w:vAlign w:val="center"/>
          </w:tcPr>
          <w:p w14:paraId="6C8EE0A1" w14:textId="77777777" w:rsidR="00436707" w:rsidRPr="00F6205B" w:rsidRDefault="00436707" w:rsidP="0044249F">
            <w:pPr>
              <w:keepNext/>
              <w:keepLines/>
              <w:spacing w:after="0" w:line="240" w:lineRule="auto"/>
              <w:contextualSpacing/>
              <w:jc w:val="center"/>
              <w:rPr>
                <w:color w:val="FFFFFF" w:themeColor="background1"/>
                <w:sz w:val="20"/>
                <w:szCs w:val="20"/>
              </w:rPr>
            </w:pPr>
            <w:r w:rsidRPr="00F6205B">
              <w:rPr>
                <w:color w:val="FFFFFF" w:themeColor="background1"/>
                <w:sz w:val="20"/>
                <w:szCs w:val="20"/>
              </w:rPr>
              <w:t>328.9</w:t>
            </w:r>
          </w:p>
        </w:tc>
        <w:tc>
          <w:tcPr>
            <w:tcW w:w="1068" w:type="dxa"/>
            <w:tcBorders>
              <w:top w:val="single" w:sz="4" w:space="0" w:color="auto"/>
              <w:left w:val="single" w:sz="4" w:space="0" w:color="000000" w:themeColor="text1"/>
              <w:bottom w:val="single" w:sz="4" w:space="0" w:color="auto"/>
              <w:right w:val="single" w:sz="4" w:space="0" w:color="000000" w:themeColor="text1"/>
            </w:tcBorders>
            <w:shd w:val="clear" w:color="auto" w:fill="404040" w:themeFill="text1" w:themeFillTint="BF"/>
            <w:vAlign w:val="center"/>
          </w:tcPr>
          <w:p w14:paraId="404C6C9C" w14:textId="77777777" w:rsidR="00436707" w:rsidRPr="00F6205B" w:rsidRDefault="00436707" w:rsidP="0044249F">
            <w:pPr>
              <w:keepNext/>
              <w:keepLines/>
              <w:spacing w:after="0" w:line="240" w:lineRule="auto"/>
              <w:contextualSpacing/>
              <w:jc w:val="center"/>
              <w:rPr>
                <w:color w:val="FFFFFF" w:themeColor="background1"/>
                <w:sz w:val="20"/>
                <w:szCs w:val="20"/>
              </w:rPr>
            </w:pPr>
            <w:r w:rsidRPr="00F6205B">
              <w:rPr>
                <w:color w:val="FFFFFF" w:themeColor="background1"/>
                <w:sz w:val="20"/>
                <w:szCs w:val="20"/>
              </w:rPr>
              <w:t>34.7</w:t>
            </w:r>
          </w:p>
        </w:tc>
        <w:tc>
          <w:tcPr>
            <w:tcW w:w="1068" w:type="dxa"/>
            <w:tcBorders>
              <w:top w:val="single" w:sz="4" w:space="0" w:color="auto"/>
              <w:left w:val="single" w:sz="4" w:space="0" w:color="000000" w:themeColor="text1"/>
              <w:bottom w:val="single" w:sz="4" w:space="0" w:color="auto"/>
              <w:right w:val="single" w:sz="4" w:space="0" w:color="000000" w:themeColor="text1"/>
            </w:tcBorders>
            <w:shd w:val="clear" w:color="auto" w:fill="404040" w:themeFill="text1" w:themeFillTint="BF"/>
            <w:vAlign w:val="center"/>
          </w:tcPr>
          <w:p w14:paraId="4EEF7AB5" w14:textId="77777777" w:rsidR="00436707" w:rsidRPr="00F6205B" w:rsidRDefault="00436707" w:rsidP="0044249F">
            <w:pPr>
              <w:keepNext/>
              <w:keepLines/>
              <w:spacing w:after="0" w:line="240" w:lineRule="auto"/>
              <w:contextualSpacing/>
              <w:jc w:val="center"/>
              <w:rPr>
                <w:color w:val="FFFFFF" w:themeColor="background1"/>
                <w:sz w:val="20"/>
                <w:szCs w:val="20"/>
              </w:rPr>
            </w:pPr>
            <w:r w:rsidRPr="00F6205B">
              <w:rPr>
                <w:color w:val="FFFFFF" w:themeColor="background1"/>
                <w:sz w:val="20"/>
                <w:szCs w:val="20"/>
              </w:rPr>
              <w:t>12,034.2</w:t>
            </w:r>
          </w:p>
        </w:tc>
        <w:tc>
          <w:tcPr>
            <w:tcW w:w="1068" w:type="dxa"/>
            <w:tcBorders>
              <w:top w:val="single" w:sz="4" w:space="0" w:color="auto"/>
              <w:left w:val="single" w:sz="4" w:space="0" w:color="000000" w:themeColor="text1"/>
              <w:bottom w:val="single" w:sz="4" w:space="0" w:color="auto"/>
              <w:right w:val="single" w:sz="4" w:space="0" w:color="auto"/>
            </w:tcBorders>
            <w:shd w:val="clear" w:color="auto" w:fill="404040" w:themeFill="text1" w:themeFillTint="BF"/>
            <w:vAlign w:val="center"/>
          </w:tcPr>
          <w:p w14:paraId="54434A05" w14:textId="77777777" w:rsidR="00436707" w:rsidRPr="00F6205B" w:rsidRDefault="00436707" w:rsidP="0044249F">
            <w:pPr>
              <w:keepNext/>
              <w:keepLines/>
              <w:spacing w:after="0" w:line="240" w:lineRule="auto"/>
              <w:contextualSpacing/>
              <w:jc w:val="center"/>
              <w:rPr>
                <w:color w:val="FFFFFF" w:themeColor="background1"/>
                <w:sz w:val="20"/>
                <w:szCs w:val="20"/>
              </w:rPr>
            </w:pPr>
            <w:r w:rsidRPr="00F6205B">
              <w:rPr>
                <w:color w:val="FFFFFF" w:themeColor="background1"/>
                <w:sz w:val="20"/>
                <w:szCs w:val="20"/>
              </w:rPr>
              <w:t>156.6</w:t>
            </w:r>
          </w:p>
        </w:tc>
      </w:tr>
      <w:tr w:rsidR="00436707" w:rsidRPr="00F6205B" w14:paraId="735B4C74" w14:textId="77777777" w:rsidTr="00DE30C1">
        <w:trPr>
          <w:trHeight w:val="288"/>
          <w:jc w:val="center"/>
        </w:trPr>
        <w:tc>
          <w:tcPr>
            <w:tcW w:w="2448" w:type="dxa"/>
            <w:tcBorders>
              <w:top w:val="single" w:sz="4" w:space="0" w:color="auto"/>
              <w:left w:val="single" w:sz="4" w:space="0" w:color="auto"/>
              <w:bottom w:val="single" w:sz="4" w:space="0" w:color="000000" w:themeColor="text1"/>
              <w:right w:val="single" w:sz="4" w:space="0" w:color="000000" w:themeColor="text1"/>
            </w:tcBorders>
            <w:vAlign w:val="center"/>
          </w:tcPr>
          <w:p w14:paraId="001B6F85" w14:textId="77777777" w:rsidR="00436707" w:rsidRPr="00F6205B" w:rsidRDefault="00436707" w:rsidP="0044249F">
            <w:pPr>
              <w:keepNext/>
              <w:keepLines/>
              <w:spacing w:after="0" w:line="240" w:lineRule="auto"/>
              <w:contextualSpacing/>
              <w:jc w:val="right"/>
              <w:rPr>
                <w:sz w:val="20"/>
                <w:szCs w:val="20"/>
              </w:rPr>
            </w:pPr>
            <w:r w:rsidRPr="00F6205B">
              <w:rPr>
                <w:sz w:val="20"/>
                <w:szCs w:val="20"/>
              </w:rPr>
              <w:t>Install ductless mini-split</w:t>
            </w:r>
            <w:r w:rsidRPr="00F6205B">
              <w:rPr>
                <w:sz w:val="20"/>
                <w:szCs w:val="20"/>
                <w:vertAlign w:val="superscript"/>
              </w:rPr>
              <w:t>iii</w:t>
            </w:r>
          </w:p>
        </w:tc>
        <w:tc>
          <w:tcPr>
            <w:tcW w:w="88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791E150" w14:textId="77777777" w:rsidR="00436707" w:rsidRPr="00F6205B" w:rsidRDefault="00436707" w:rsidP="0044249F">
            <w:pPr>
              <w:keepNext/>
              <w:keepLines/>
              <w:spacing w:after="0" w:line="240" w:lineRule="auto"/>
              <w:contextualSpacing/>
              <w:jc w:val="center"/>
              <w:rPr>
                <w:i/>
                <w:sz w:val="20"/>
                <w:szCs w:val="20"/>
              </w:rPr>
            </w:pPr>
            <w:r w:rsidRPr="00F6205B">
              <w:rPr>
                <w:i/>
                <w:sz w:val="20"/>
                <w:szCs w:val="20"/>
              </w:rPr>
              <w:t>180</w:t>
            </w:r>
          </w:p>
        </w:tc>
        <w:tc>
          <w:tcPr>
            <w:tcW w:w="106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27D830B" w14:textId="77777777" w:rsidR="00436707" w:rsidRPr="00F6205B" w:rsidRDefault="00436707" w:rsidP="0044249F">
            <w:pPr>
              <w:keepNext/>
              <w:keepLines/>
              <w:tabs>
                <w:tab w:val="decimal" w:pos="384"/>
              </w:tabs>
              <w:spacing w:after="0" w:line="240" w:lineRule="auto"/>
              <w:contextualSpacing/>
              <w:jc w:val="center"/>
              <w:rPr>
                <w:sz w:val="20"/>
                <w:szCs w:val="20"/>
              </w:rPr>
            </w:pPr>
            <w:r w:rsidRPr="00F6205B">
              <w:rPr>
                <w:sz w:val="20"/>
                <w:szCs w:val="20"/>
              </w:rPr>
              <w:t>32.8%</w:t>
            </w:r>
          </w:p>
        </w:tc>
        <w:tc>
          <w:tcPr>
            <w:tcW w:w="106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4192213" w14:textId="77777777" w:rsidR="00436707" w:rsidRPr="00F6205B" w:rsidRDefault="00436707" w:rsidP="0044249F">
            <w:pPr>
              <w:keepNext/>
              <w:keepLines/>
              <w:tabs>
                <w:tab w:val="decimal" w:pos="351"/>
              </w:tabs>
              <w:spacing w:after="0" w:line="240" w:lineRule="auto"/>
              <w:contextualSpacing/>
              <w:jc w:val="center"/>
              <w:rPr>
                <w:sz w:val="20"/>
                <w:szCs w:val="20"/>
              </w:rPr>
            </w:pPr>
            <w:r w:rsidRPr="00F6205B">
              <w:rPr>
                <w:sz w:val="20"/>
                <w:szCs w:val="20"/>
              </w:rPr>
              <w:t xml:space="preserve"> 310.0</w:t>
            </w:r>
          </w:p>
        </w:tc>
        <w:tc>
          <w:tcPr>
            <w:tcW w:w="106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33D0E17" w14:textId="77777777" w:rsidR="00436707" w:rsidRPr="00F6205B" w:rsidRDefault="00436707" w:rsidP="0044249F">
            <w:pPr>
              <w:keepNext/>
              <w:keepLines/>
              <w:tabs>
                <w:tab w:val="decimal" w:pos="363"/>
              </w:tabs>
              <w:spacing w:after="0" w:line="240" w:lineRule="auto"/>
              <w:contextualSpacing/>
              <w:jc w:val="center"/>
              <w:rPr>
                <w:sz w:val="20"/>
                <w:szCs w:val="20"/>
              </w:rPr>
            </w:pPr>
            <w:r w:rsidRPr="00F6205B">
              <w:rPr>
                <w:sz w:val="20"/>
                <w:szCs w:val="20"/>
              </w:rPr>
              <w:t xml:space="preserve"> 178.0</w:t>
            </w:r>
          </w:p>
        </w:tc>
        <w:tc>
          <w:tcPr>
            <w:tcW w:w="106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852645E" w14:textId="77777777" w:rsidR="00436707" w:rsidRPr="00F6205B" w:rsidRDefault="00436707" w:rsidP="0044249F">
            <w:pPr>
              <w:keepNext/>
              <w:keepLines/>
              <w:tabs>
                <w:tab w:val="decimal" w:pos="285"/>
              </w:tabs>
              <w:spacing w:after="0" w:line="240" w:lineRule="auto"/>
              <w:contextualSpacing/>
              <w:jc w:val="center"/>
              <w:rPr>
                <w:sz w:val="20"/>
                <w:szCs w:val="20"/>
              </w:rPr>
            </w:pPr>
            <w:r w:rsidRPr="00F6205B">
              <w:rPr>
                <w:sz w:val="20"/>
                <w:szCs w:val="20"/>
              </w:rPr>
              <w:t xml:space="preserve"> 14.1</w:t>
            </w:r>
          </w:p>
        </w:tc>
        <w:tc>
          <w:tcPr>
            <w:tcW w:w="106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BE14616" w14:textId="77777777" w:rsidR="00436707" w:rsidRPr="00F6205B" w:rsidRDefault="00436707" w:rsidP="0044249F">
            <w:pPr>
              <w:keepNext/>
              <w:keepLines/>
              <w:tabs>
                <w:tab w:val="decimal" w:pos="612"/>
              </w:tabs>
              <w:spacing w:after="0" w:line="240" w:lineRule="auto"/>
              <w:contextualSpacing/>
              <w:jc w:val="center"/>
              <w:rPr>
                <w:sz w:val="20"/>
                <w:szCs w:val="20"/>
              </w:rPr>
            </w:pPr>
            <w:r w:rsidRPr="00F6205B">
              <w:rPr>
                <w:sz w:val="20"/>
                <w:szCs w:val="20"/>
              </w:rPr>
              <w:t>- 4,140.0</w:t>
            </w:r>
          </w:p>
        </w:tc>
        <w:tc>
          <w:tcPr>
            <w:tcW w:w="1068" w:type="dxa"/>
            <w:tcBorders>
              <w:top w:val="single" w:sz="4" w:space="0" w:color="auto"/>
              <w:left w:val="single" w:sz="4" w:space="0" w:color="000000" w:themeColor="text1"/>
              <w:bottom w:val="single" w:sz="4" w:space="0" w:color="000000" w:themeColor="text1"/>
              <w:right w:val="single" w:sz="4" w:space="0" w:color="auto"/>
            </w:tcBorders>
            <w:vAlign w:val="center"/>
          </w:tcPr>
          <w:p w14:paraId="1C4A8EF7" w14:textId="77777777" w:rsidR="00436707" w:rsidRPr="00F6205B" w:rsidRDefault="00436707" w:rsidP="0044249F">
            <w:pPr>
              <w:keepNext/>
              <w:keepLines/>
              <w:tabs>
                <w:tab w:val="decimal" w:pos="309"/>
              </w:tabs>
              <w:spacing w:after="0" w:line="240" w:lineRule="auto"/>
              <w:contextualSpacing/>
              <w:jc w:val="center"/>
              <w:rPr>
                <w:sz w:val="20"/>
                <w:szCs w:val="20"/>
              </w:rPr>
            </w:pPr>
            <w:r w:rsidRPr="00F6205B">
              <w:rPr>
                <w:sz w:val="20"/>
                <w:szCs w:val="20"/>
              </w:rPr>
              <w:t xml:space="preserve"> 51.3</w:t>
            </w:r>
          </w:p>
        </w:tc>
      </w:tr>
      <w:tr w:rsidR="00436707" w:rsidRPr="00F6205B" w14:paraId="3F10CC13" w14:textId="77777777" w:rsidTr="00DE30C1">
        <w:trPr>
          <w:trHeight w:val="288"/>
          <w:jc w:val="center"/>
        </w:trPr>
        <w:tc>
          <w:tcPr>
            <w:tcW w:w="2448"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1090FD39" w14:textId="77777777" w:rsidR="00436707" w:rsidRPr="00F6205B" w:rsidRDefault="00436707" w:rsidP="0044249F">
            <w:pPr>
              <w:keepNext/>
              <w:keepLines/>
              <w:spacing w:after="0" w:line="240" w:lineRule="auto"/>
              <w:contextualSpacing/>
              <w:jc w:val="right"/>
              <w:rPr>
                <w:sz w:val="20"/>
                <w:szCs w:val="20"/>
              </w:rPr>
            </w:pPr>
            <w:r w:rsidRPr="00F6205B">
              <w:rPr>
                <w:sz w:val="20"/>
                <w:szCs w:val="20"/>
              </w:rPr>
              <w:t>Install air source heat pump</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254F2995" w14:textId="77777777" w:rsidR="00436707" w:rsidRPr="00F6205B" w:rsidRDefault="00436707" w:rsidP="0044249F">
            <w:pPr>
              <w:keepNext/>
              <w:keepLines/>
              <w:spacing w:after="0" w:line="240" w:lineRule="auto"/>
              <w:contextualSpacing/>
              <w:jc w:val="center"/>
              <w:rPr>
                <w:i/>
                <w:sz w:val="20"/>
                <w:szCs w:val="20"/>
              </w:rPr>
            </w:pPr>
            <w:r w:rsidRPr="00F6205B">
              <w:rPr>
                <w:i/>
                <w:sz w:val="20"/>
                <w:szCs w:val="20"/>
              </w:rPr>
              <w:t>104</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68FB039B" w14:textId="77777777" w:rsidR="00436707" w:rsidRPr="00F6205B" w:rsidRDefault="00436707" w:rsidP="0044249F">
            <w:pPr>
              <w:keepNext/>
              <w:keepLines/>
              <w:tabs>
                <w:tab w:val="decimal" w:pos="384"/>
              </w:tabs>
              <w:spacing w:after="0" w:line="240" w:lineRule="auto"/>
              <w:contextualSpacing/>
              <w:jc w:val="center"/>
              <w:rPr>
                <w:sz w:val="20"/>
                <w:szCs w:val="20"/>
              </w:rPr>
            </w:pPr>
            <w:r w:rsidRPr="00F6205B">
              <w:rPr>
                <w:sz w:val="20"/>
                <w:szCs w:val="20"/>
              </w:rPr>
              <w:t>14.7%</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00C64048" w14:textId="77777777" w:rsidR="00436707" w:rsidRPr="00F6205B" w:rsidRDefault="00436707" w:rsidP="0044249F">
            <w:pPr>
              <w:keepNext/>
              <w:keepLines/>
              <w:tabs>
                <w:tab w:val="decimal" w:pos="351"/>
              </w:tabs>
              <w:spacing w:after="0" w:line="240" w:lineRule="auto"/>
              <w:contextualSpacing/>
              <w:jc w:val="center"/>
              <w:rPr>
                <w:sz w:val="20"/>
                <w:szCs w:val="20"/>
              </w:rPr>
            </w:pPr>
            <w:r w:rsidRPr="00F6205B">
              <w:rPr>
                <w:sz w:val="20"/>
                <w:szCs w:val="20"/>
              </w:rPr>
              <w:t xml:space="preserve"> 165.0</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509CBE02" w14:textId="77777777" w:rsidR="00436707" w:rsidRPr="00F6205B" w:rsidRDefault="00436707" w:rsidP="0044249F">
            <w:pPr>
              <w:keepNext/>
              <w:keepLines/>
              <w:tabs>
                <w:tab w:val="decimal" w:pos="363"/>
              </w:tabs>
              <w:spacing w:after="0" w:line="240" w:lineRule="auto"/>
              <w:contextualSpacing/>
              <w:jc w:val="center"/>
              <w:rPr>
                <w:sz w:val="20"/>
                <w:szCs w:val="20"/>
              </w:rPr>
            </w:pPr>
            <w:r w:rsidRPr="00F6205B">
              <w:rPr>
                <w:sz w:val="20"/>
                <w:szCs w:val="20"/>
              </w:rPr>
              <w:t>107.0</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283220E1" w14:textId="77777777" w:rsidR="00436707" w:rsidRPr="00F6205B" w:rsidRDefault="00436707" w:rsidP="0044249F">
            <w:pPr>
              <w:keepNext/>
              <w:keepLines/>
              <w:tabs>
                <w:tab w:val="decimal" w:pos="285"/>
              </w:tabs>
              <w:spacing w:after="0" w:line="240" w:lineRule="auto"/>
              <w:contextualSpacing/>
              <w:jc w:val="center"/>
              <w:rPr>
                <w:sz w:val="20"/>
                <w:szCs w:val="20"/>
              </w:rPr>
            </w:pPr>
            <w:r w:rsidRPr="00F6205B">
              <w:rPr>
                <w:sz w:val="20"/>
                <w:szCs w:val="20"/>
              </w:rPr>
              <w:t xml:space="preserve"> 8.4</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262427FD" w14:textId="77777777" w:rsidR="00436707" w:rsidRPr="00F6205B" w:rsidRDefault="00436707" w:rsidP="0044249F">
            <w:pPr>
              <w:keepNext/>
              <w:keepLines/>
              <w:tabs>
                <w:tab w:val="decimal" w:pos="612"/>
              </w:tabs>
              <w:spacing w:after="0" w:line="240" w:lineRule="auto"/>
              <w:contextualSpacing/>
              <w:jc w:val="center"/>
              <w:rPr>
                <w:sz w:val="20"/>
                <w:szCs w:val="20"/>
              </w:rPr>
            </w:pPr>
            <w:r w:rsidRPr="00F6205B">
              <w:rPr>
                <w:sz w:val="20"/>
                <w:szCs w:val="20"/>
              </w:rPr>
              <w:t>- 3,660.0</w:t>
            </w:r>
          </w:p>
        </w:tc>
        <w:tc>
          <w:tcPr>
            <w:tcW w:w="106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541EDCFE" w14:textId="77777777" w:rsidR="00436707" w:rsidRPr="00F6205B" w:rsidRDefault="00436707" w:rsidP="0044249F">
            <w:pPr>
              <w:keepNext/>
              <w:keepLines/>
              <w:tabs>
                <w:tab w:val="decimal" w:pos="309"/>
              </w:tabs>
              <w:spacing w:after="0" w:line="240" w:lineRule="auto"/>
              <w:contextualSpacing/>
              <w:jc w:val="center"/>
              <w:rPr>
                <w:sz w:val="20"/>
                <w:szCs w:val="20"/>
              </w:rPr>
            </w:pPr>
            <w:r w:rsidRPr="00F6205B">
              <w:rPr>
                <w:sz w:val="20"/>
                <w:szCs w:val="20"/>
              </w:rPr>
              <w:t xml:space="preserve"> 23.1</w:t>
            </w:r>
          </w:p>
        </w:tc>
      </w:tr>
      <w:tr w:rsidR="00436707" w:rsidRPr="00F6205B" w14:paraId="47589D9C" w14:textId="77777777" w:rsidTr="00DE30C1">
        <w:trPr>
          <w:trHeight w:val="288"/>
          <w:jc w:val="center"/>
        </w:trPr>
        <w:tc>
          <w:tcPr>
            <w:tcW w:w="244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271B98A" w14:textId="77777777" w:rsidR="00436707" w:rsidRPr="00F6205B" w:rsidRDefault="00436707" w:rsidP="0044249F">
            <w:pPr>
              <w:keepNext/>
              <w:keepLines/>
              <w:spacing w:after="0" w:line="240" w:lineRule="auto"/>
              <w:contextualSpacing/>
              <w:jc w:val="right"/>
              <w:rPr>
                <w:sz w:val="20"/>
                <w:szCs w:val="20"/>
              </w:rPr>
            </w:pPr>
            <w:r w:rsidRPr="00F6205B">
              <w:rPr>
                <w:sz w:val="20"/>
                <w:szCs w:val="20"/>
              </w:rPr>
              <w:t>Add photovoltaic array</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E7A54B" w14:textId="77777777" w:rsidR="00436707" w:rsidRPr="00F6205B" w:rsidRDefault="00436707" w:rsidP="0044249F">
            <w:pPr>
              <w:keepNext/>
              <w:keepLines/>
              <w:spacing w:after="0" w:line="240" w:lineRule="auto"/>
              <w:contextualSpacing/>
              <w:jc w:val="center"/>
              <w:rPr>
                <w:i/>
                <w:sz w:val="20"/>
                <w:szCs w:val="20"/>
              </w:rPr>
            </w:pPr>
            <w:r w:rsidRPr="00F6205B">
              <w:rPr>
                <w:i/>
                <w:sz w:val="20"/>
                <w:szCs w:val="20"/>
              </w:rPr>
              <w:t>108</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BD16FF" w14:textId="77777777" w:rsidR="00436707" w:rsidRPr="00F6205B" w:rsidRDefault="00436707" w:rsidP="0044249F">
            <w:pPr>
              <w:keepNext/>
              <w:keepLines/>
              <w:tabs>
                <w:tab w:val="decimal" w:pos="384"/>
              </w:tabs>
              <w:spacing w:after="0" w:line="240" w:lineRule="auto"/>
              <w:contextualSpacing/>
              <w:jc w:val="center"/>
              <w:rPr>
                <w:sz w:val="20"/>
                <w:szCs w:val="20"/>
              </w:rPr>
            </w:pPr>
            <w:r w:rsidRPr="00F6205B">
              <w:rPr>
                <w:sz w:val="20"/>
                <w:szCs w:val="20"/>
              </w:rPr>
              <w:t>11.8%</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2822EE" w14:textId="77777777" w:rsidR="00436707" w:rsidRPr="00F6205B" w:rsidRDefault="00436707" w:rsidP="0044249F">
            <w:pPr>
              <w:keepNext/>
              <w:keepLines/>
              <w:tabs>
                <w:tab w:val="decimal" w:pos="351"/>
              </w:tabs>
              <w:spacing w:after="0" w:line="240" w:lineRule="auto"/>
              <w:contextualSpacing/>
              <w:jc w:val="center"/>
              <w:rPr>
                <w:sz w:val="20"/>
                <w:szCs w:val="20"/>
              </w:rPr>
            </w:pPr>
            <w:r w:rsidRPr="00F6205B">
              <w:rPr>
                <w:sz w:val="20"/>
                <w:szCs w:val="20"/>
              </w:rPr>
              <w:t>- 0.1</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D0ECB0" w14:textId="77777777" w:rsidR="00436707" w:rsidRPr="00F6205B" w:rsidRDefault="00436707" w:rsidP="0044249F">
            <w:pPr>
              <w:keepNext/>
              <w:keepLines/>
              <w:tabs>
                <w:tab w:val="decimal" w:pos="363"/>
              </w:tabs>
              <w:spacing w:after="0" w:line="240" w:lineRule="auto"/>
              <w:contextualSpacing/>
              <w:jc w:val="center"/>
              <w:rPr>
                <w:sz w:val="20"/>
                <w:szCs w:val="20"/>
              </w:rPr>
            </w:pPr>
            <w:r w:rsidRPr="00F6205B">
              <w:rPr>
                <w:sz w:val="20"/>
                <w:szCs w:val="20"/>
              </w:rPr>
              <w:t xml:space="preserve"> &lt;0.1</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14E8E4" w14:textId="77777777" w:rsidR="00436707" w:rsidRPr="00F6205B" w:rsidRDefault="00436707" w:rsidP="0044249F">
            <w:pPr>
              <w:keepNext/>
              <w:keepLines/>
              <w:tabs>
                <w:tab w:val="decimal" w:pos="285"/>
              </w:tabs>
              <w:spacing w:after="0" w:line="240" w:lineRule="auto"/>
              <w:contextualSpacing/>
              <w:jc w:val="center"/>
              <w:rPr>
                <w:sz w:val="20"/>
                <w:szCs w:val="20"/>
              </w:rPr>
            </w:pPr>
            <w:r w:rsidRPr="00F6205B">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373B36" w14:textId="77777777" w:rsidR="00436707" w:rsidRPr="00F6205B" w:rsidRDefault="00436707" w:rsidP="0044249F">
            <w:pPr>
              <w:keepNext/>
              <w:keepLines/>
              <w:tabs>
                <w:tab w:val="decimal" w:pos="612"/>
              </w:tabs>
              <w:spacing w:after="0" w:line="240" w:lineRule="auto"/>
              <w:contextualSpacing/>
              <w:jc w:val="center"/>
              <w:rPr>
                <w:sz w:val="20"/>
                <w:szCs w:val="20"/>
              </w:rPr>
            </w:pPr>
            <w:r w:rsidRPr="00F6205B">
              <w:rPr>
                <w:sz w:val="20"/>
                <w:szCs w:val="20"/>
              </w:rPr>
              <w:t xml:space="preserve"> 5,430.0</w:t>
            </w:r>
          </w:p>
        </w:tc>
        <w:tc>
          <w:tcPr>
            <w:tcW w:w="1068"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FE74BED" w14:textId="77777777" w:rsidR="00436707" w:rsidRPr="00F6205B" w:rsidRDefault="00436707" w:rsidP="0044249F">
            <w:pPr>
              <w:keepNext/>
              <w:keepLines/>
              <w:tabs>
                <w:tab w:val="decimal" w:pos="309"/>
              </w:tabs>
              <w:spacing w:after="0" w:line="240" w:lineRule="auto"/>
              <w:contextualSpacing/>
              <w:jc w:val="center"/>
              <w:rPr>
                <w:sz w:val="20"/>
                <w:szCs w:val="20"/>
              </w:rPr>
            </w:pPr>
            <w:r w:rsidRPr="00F6205B">
              <w:rPr>
                <w:sz w:val="20"/>
                <w:szCs w:val="20"/>
              </w:rPr>
              <w:t xml:space="preserve"> 18.5</w:t>
            </w:r>
          </w:p>
        </w:tc>
      </w:tr>
      <w:tr w:rsidR="00436707" w:rsidRPr="00F6205B" w14:paraId="0F01E90D" w14:textId="77777777" w:rsidTr="00DE30C1">
        <w:trPr>
          <w:trHeight w:val="288"/>
          <w:jc w:val="center"/>
        </w:trPr>
        <w:tc>
          <w:tcPr>
            <w:tcW w:w="2448"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2DA353B2" w14:textId="77777777" w:rsidR="00436707" w:rsidRPr="00F6205B" w:rsidRDefault="00436707" w:rsidP="0044249F">
            <w:pPr>
              <w:keepNext/>
              <w:keepLines/>
              <w:spacing w:after="0" w:line="240" w:lineRule="auto"/>
              <w:contextualSpacing/>
              <w:jc w:val="right"/>
              <w:rPr>
                <w:sz w:val="20"/>
                <w:szCs w:val="20"/>
              </w:rPr>
            </w:pPr>
            <w:r w:rsidRPr="00F6205B">
              <w:rPr>
                <w:sz w:val="20"/>
                <w:szCs w:val="20"/>
              </w:rPr>
              <w:t>Install ground source heat pump</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6DCEAE53" w14:textId="77777777" w:rsidR="00436707" w:rsidRPr="00F6205B" w:rsidRDefault="00436707" w:rsidP="0044249F">
            <w:pPr>
              <w:keepNext/>
              <w:keepLines/>
              <w:spacing w:after="0" w:line="240" w:lineRule="auto"/>
              <w:contextualSpacing/>
              <w:jc w:val="center"/>
              <w:rPr>
                <w:i/>
                <w:sz w:val="20"/>
                <w:szCs w:val="20"/>
              </w:rPr>
            </w:pPr>
            <w:r w:rsidRPr="00F6205B">
              <w:rPr>
                <w:i/>
                <w:sz w:val="20"/>
                <w:szCs w:val="20"/>
              </w:rPr>
              <w:t>103</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2D029E1D" w14:textId="77777777" w:rsidR="00436707" w:rsidRPr="00F6205B" w:rsidRDefault="00436707" w:rsidP="0044249F">
            <w:pPr>
              <w:keepNext/>
              <w:keepLines/>
              <w:tabs>
                <w:tab w:val="decimal" w:pos="384"/>
              </w:tabs>
              <w:spacing w:after="0" w:line="240" w:lineRule="auto"/>
              <w:contextualSpacing/>
              <w:jc w:val="center"/>
              <w:rPr>
                <w:sz w:val="20"/>
                <w:szCs w:val="20"/>
              </w:rPr>
            </w:pPr>
            <w:r w:rsidRPr="00F6205B">
              <w:rPr>
                <w:sz w:val="20"/>
                <w:szCs w:val="20"/>
              </w:rPr>
              <w:t>9.2%</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58789108" w14:textId="77777777" w:rsidR="00436707" w:rsidRPr="00F6205B" w:rsidRDefault="00436707" w:rsidP="0044249F">
            <w:pPr>
              <w:keepNext/>
              <w:keepLines/>
              <w:tabs>
                <w:tab w:val="decimal" w:pos="351"/>
              </w:tabs>
              <w:spacing w:after="0" w:line="240" w:lineRule="auto"/>
              <w:contextualSpacing/>
              <w:jc w:val="center"/>
              <w:rPr>
                <w:sz w:val="20"/>
                <w:szCs w:val="20"/>
              </w:rPr>
            </w:pPr>
            <w:r w:rsidRPr="00F6205B">
              <w:rPr>
                <w:sz w:val="20"/>
                <w:szCs w:val="20"/>
              </w:rPr>
              <w:t xml:space="preserve"> 111.0</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2460B939" w14:textId="77777777" w:rsidR="00436707" w:rsidRPr="00F6205B" w:rsidRDefault="00436707" w:rsidP="0044249F">
            <w:pPr>
              <w:keepNext/>
              <w:keepLines/>
              <w:tabs>
                <w:tab w:val="decimal" w:pos="363"/>
              </w:tabs>
              <w:spacing w:after="0" w:line="240" w:lineRule="auto"/>
              <w:contextualSpacing/>
              <w:jc w:val="center"/>
              <w:rPr>
                <w:sz w:val="20"/>
                <w:szCs w:val="20"/>
              </w:rPr>
            </w:pPr>
            <w:r w:rsidRPr="00F6205B">
              <w:rPr>
                <w:sz w:val="20"/>
                <w:szCs w:val="20"/>
              </w:rPr>
              <w:t xml:space="preserve"> 74.0</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2DAE86F7" w14:textId="77777777" w:rsidR="00436707" w:rsidRPr="00F6205B" w:rsidRDefault="00436707" w:rsidP="0044249F">
            <w:pPr>
              <w:keepNext/>
              <w:keepLines/>
              <w:tabs>
                <w:tab w:val="decimal" w:pos="285"/>
              </w:tabs>
              <w:spacing w:after="0" w:line="240" w:lineRule="auto"/>
              <w:contextualSpacing/>
              <w:jc w:val="center"/>
              <w:rPr>
                <w:sz w:val="20"/>
                <w:szCs w:val="20"/>
              </w:rPr>
            </w:pPr>
            <w:r w:rsidRPr="00F6205B">
              <w:rPr>
                <w:sz w:val="20"/>
                <w:szCs w:val="20"/>
              </w:rPr>
              <w:t xml:space="preserve"> 5.8</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1B7C819B" w14:textId="77777777" w:rsidR="00436707" w:rsidRPr="00F6205B" w:rsidRDefault="00436707" w:rsidP="0044249F">
            <w:pPr>
              <w:keepNext/>
              <w:keepLines/>
              <w:tabs>
                <w:tab w:val="decimal" w:pos="612"/>
              </w:tabs>
              <w:spacing w:after="0" w:line="240" w:lineRule="auto"/>
              <w:contextualSpacing/>
              <w:jc w:val="center"/>
              <w:rPr>
                <w:sz w:val="20"/>
                <w:szCs w:val="20"/>
              </w:rPr>
            </w:pPr>
            <w:r w:rsidRPr="00F6205B">
              <w:rPr>
                <w:sz w:val="20"/>
                <w:szCs w:val="20"/>
              </w:rPr>
              <w:t>- 2,750.0</w:t>
            </w:r>
          </w:p>
        </w:tc>
        <w:tc>
          <w:tcPr>
            <w:tcW w:w="106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1284E2EA" w14:textId="77777777" w:rsidR="00436707" w:rsidRPr="00F6205B" w:rsidRDefault="00436707" w:rsidP="0044249F">
            <w:pPr>
              <w:keepNext/>
              <w:keepLines/>
              <w:tabs>
                <w:tab w:val="decimal" w:pos="309"/>
              </w:tabs>
              <w:spacing w:after="0" w:line="240" w:lineRule="auto"/>
              <w:contextualSpacing/>
              <w:jc w:val="center"/>
              <w:rPr>
                <w:sz w:val="20"/>
                <w:szCs w:val="20"/>
              </w:rPr>
            </w:pPr>
            <w:r w:rsidRPr="00F6205B">
              <w:rPr>
                <w:sz w:val="20"/>
                <w:szCs w:val="20"/>
              </w:rPr>
              <w:t xml:space="preserve"> 14.5</w:t>
            </w:r>
          </w:p>
        </w:tc>
      </w:tr>
      <w:tr w:rsidR="00436707" w:rsidRPr="00F6205B" w14:paraId="69D18675" w14:textId="77777777" w:rsidTr="00DE30C1">
        <w:trPr>
          <w:trHeight w:val="288"/>
          <w:jc w:val="center"/>
        </w:trPr>
        <w:tc>
          <w:tcPr>
            <w:tcW w:w="2448" w:type="dxa"/>
            <w:tcBorders>
              <w:top w:val="single" w:sz="4" w:space="0" w:color="000000" w:themeColor="text1"/>
              <w:left w:val="single" w:sz="4" w:space="0" w:color="auto"/>
              <w:bottom w:val="single" w:sz="4" w:space="0" w:color="auto"/>
              <w:right w:val="single" w:sz="4" w:space="0" w:color="000000" w:themeColor="text1"/>
            </w:tcBorders>
            <w:vAlign w:val="center"/>
          </w:tcPr>
          <w:p w14:paraId="57565A7C" w14:textId="77777777" w:rsidR="00436707" w:rsidRPr="00F6205B" w:rsidRDefault="00436707" w:rsidP="0044249F">
            <w:pPr>
              <w:keepNext/>
              <w:keepLines/>
              <w:spacing w:after="0" w:line="240" w:lineRule="auto"/>
              <w:contextualSpacing/>
              <w:jc w:val="right"/>
              <w:rPr>
                <w:sz w:val="20"/>
                <w:szCs w:val="20"/>
              </w:rPr>
            </w:pPr>
            <w:r w:rsidRPr="00F6205B">
              <w:rPr>
                <w:sz w:val="20"/>
                <w:szCs w:val="20"/>
              </w:rPr>
              <w:t>Add solar hot water system</w:t>
            </w:r>
          </w:p>
        </w:tc>
        <w:tc>
          <w:tcPr>
            <w:tcW w:w="88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6DA1AD2" w14:textId="77777777" w:rsidR="00436707" w:rsidRPr="00F6205B" w:rsidRDefault="00436707" w:rsidP="0044249F">
            <w:pPr>
              <w:keepNext/>
              <w:keepLines/>
              <w:spacing w:after="0" w:line="240" w:lineRule="auto"/>
              <w:contextualSpacing/>
              <w:jc w:val="center"/>
              <w:rPr>
                <w:i/>
                <w:sz w:val="20"/>
                <w:szCs w:val="20"/>
              </w:rPr>
            </w:pPr>
            <w:r w:rsidRPr="00F6205B">
              <w:rPr>
                <w:i/>
                <w:sz w:val="20"/>
                <w:szCs w:val="20"/>
              </w:rPr>
              <w:t>109</w:t>
            </w:r>
          </w:p>
        </w:tc>
        <w:tc>
          <w:tcPr>
            <w:tcW w:w="106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843A09D" w14:textId="77777777" w:rsidR="00436707" w:rsidRPr="00F6205B" w:rsidRDefault="00436707" w:rsidP="0044249F">
            <w:pPr>
              <w:keepNext/>
              <w:keepLines/>
              <w:tabs>
                <w:tab w:val="decimal" w:pos="384"/>
              </w:tabs>
              <w:spacing w:after="0" w:line="240" w:lineRule="auto"/>
              <w:contextualSpacing/>
              <w:jc w:val="center"/>
              <w:rPr>
                <w:sz w:val="20"/>
                <w:szCs w:val="20"/>
              </w:rPr>
            </w:pPr>
            <w:r w:rsidRPr="00F6205B">
              <w:rPr>
                <w:sz w:val="20"/>
                <w:szCs w:val="20"/>
              </w:rPr>
              <w:t>5.7%</w:t>
            </w:r>
          </w:p>
        </w:tc>
        <w:tc>
          <w:tcPr>
            <w:tcW w:w="106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57574F5" w14:textId="77777777" w:rsidR="00436707" w:rsidRPr="00F6205B" w:rsidRDefault="00436707" w:rsidP="0044249F">
            <w:pPr>
              <w:keepNext/>
              <w:keepLines/>
              <w:tabs>
                <w:tab w:val="decimal" w:pos="351"/>
              </w:tabs>
              <w:spacing w:after="0" w:line="240" w:lineRule="auto"/>
              <w:contextualSpacing/>
              <w:jc w:val="center"/>
              <w:rPr>
                <w:sz w:val="20"/>
                <w:szCs w:val="20"/>
              </w:rPr>
            </w:pPr>
            <w:r w:rsidRPr="00F6205B">
              <w:rPr>
                <w:sz w:val="20"/>
                <w:szCs w:val="20"/>
              </w:rPr>
              <w:t xml:space="preserve"> 36.7</w:t>
            </w:r>
          </w:p>
        </w:tc>
        <w:tc>
          <w:tcPr>
            <w:tcW w:w="106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614D79C" w14:textId="77777777" w:rsidR="00436707" w:rsidRPr="00F6205B" w:rsidRDefault="00436707" w:rsidP="0044249F">
            <w:pPr>
              <w:keepNext/>
              <w:keepLines/>
              <w:tabs>
                <w:tab w:val="decimal" w:pos="363"/>
              </w:tabs>
              <w:spacing w:after="0" w:line="240" w:lineRule="auto"/>
              <w:contextualSpacing/>
              <w:jc w:val="center"/>
              <w:rPr>
                <w:sz w:val="20"/>
                <w:szCs w:val="20"/>
              </w:rPr>
            </w:pPr>
            <w:r w:rsidRPr="00F6205B">
              <w:rPr>
                <w:sz w:val="20"/>
                <w:szCs w:val="20"/>
              </w:rPr>
              <w:t xml:space="preserve"> 19.6</w:t>
            </w:r>
          </w:p>
        </w:tc>
        <w:tc>
          <w:tcPr>
            <w:tcW w:w="106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8A05835" w14:textId="77777777" w:rsidR="00436707" w:rsidRPr="00F6205B" w:rsidRDefault="00436707" w:rsidP="0044249F">
            <w:pPr>
              <w:keepNext/>
              <w:keepLines/>
              <w:tabs>
                <w:tab w:val="decimal" w:pos="285"/>
              </w:tabs>
              <w:spacing w:after="0" w:line="240" w:lineRule="auto"/>
              <w:contextualSpacing/>
              <w:jc w:val="center"/>
              <w:rPr>
                <w:sz w:val="20"/>
                <w:szCs w:val="20"/>
              </w:rPr>
            </w:pPr>
            <w:r w:rsidRPr="00F6205B">
              <w:rPr>
                <w:sz w:val="20"/>
                <w:szCs w:val="20"/>
              </w:rPr>
              <w:t xml:space="preserve"> 4.0</w:t>
            </w:r>
          </w:p>
        </w:tc>
        <w:tc>
          <w:tcPr>
            <w:tcW w:w="106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A64CF9C" w14:textId="77777777" w:rsidR="00436707" w:rsidRPr="00F6205B" w:rsidRDefault="00436707" w:rsidP="0044249F">
            <w:pPr>
              <w:keepNext/>
              <w:keepLines/>
              <w:tabs>
                <w:tab w:val="decimal" w:pos="612"/>
              </w:tabs>
              <w:spacing w:after="0" w:line="240" w:lineRule="auto"/>
              <w:contextualSpacing/>
              <w:jc w:val="center"/>
              <w:rPr>
                <w:sz w:val="20"/>
                <w:szCs w:val="20"/>
              </w:rPr>
            </w:pPr>
            <w:r w:rsidRPr="00F6205B">
              <w:rPr>
                <w:sz w:val="20"/>
                <w:szCs w:val="20"/>
              </w:rPr>
              <w:t xml:space="preserve"> 466.0</w:t>
            </w:r>
          </w:p>
        </w:tc>
        <w:tc>
          <w:tcPr>
            <w:tcW w:w="1068" w:type="dxa"/>
            <w:tcBorders>
              <w:top w:val="single" w:sz="4" w:space="0" w:color="000000" w:themeColor="text1"/>
              <w:left w:val="single" w:sz="4" w:space="0" w:color="000000" w:themeColor="text1"/>
              <w:bottom w:val="single" w:sz="4" w:space="0" w:color="auto"/>
              <w:right w:val="single" w:sz="4" w:space="0" w:color="auto"/>
            </w:tcBorders>
            <w:vAlign w:val="center"/>
          </w:tcPr>
          <w:p w14:paraId="287D4BCC" w14:textId="77777777" w:rsidR="00436707" w:rsidRPr="00F6205B" w:rsidRDefault="00436707" w:rsidP="0044249F">
            <w:pPr>
              <w:keepNext/>
              <w:keepLines/>
              <w:tabs>
                <w:tab w:val="decimal" w:pos="309"/>
              </w:tabs>
              <w:spacing w:after="0" w:line="240" w:lineRule="auto"/>
              <w:contextualSpacing/>
              <w:jc w:val="center"/>
              <w:rPr>
                <w:sz w:val="20"/>
                <w:szCs w:val="20"/>
              </w:rPr>
            </w:pPr>
            <w:r w:rsidRPr="00F6205B">
              <w:rPr>
                <w:sz w:val="20"/>
                <w:szCs w:val="20"/>
              </w:rPr>
              <w:t xml:space="preserve"> 9.0</w:t>
            </w:r>
          </w:p>
        </w:tc>
      </w:tr>
    </w:tbl>
    <w:p w14:paraId="26201CEF" w14:textId="77777777" w:rsidR="00436707" w:rsidRPr="00F6205B" w:rsidRDefault="00436707" w:rsidP="00436707">
      <w:pPr>
        <w:keepNext/>
        <w:spacing w:after="0" w:line="240" w:lineRule="auto"/>
        <w:ind w:left="-180"/>
        <w:contextualSpacing/>
        <w:rPr>
          <w:sz w:val="18"/>
          <w:szCs w:val="18"/>
        </w:rPr>
      </w:pPr>
      <w:r w:rsidRPr="00F6205B">
        <w:rPr>
          <w:sz w:val="18"/>
          <w:szCs w:val="18"/>
          <w:vertAlign w:val="superscript"/>
        </w:rPr>
        <w:t>i</w:t>
      </w:r>
      <w:r w:rsidRPr="00F6205B">
        <w:rPr>
          <w:sz w:val="18"/>
          <w:szCs w:val="18"/>
        </w:rPr>
        <w:t xml:space="preserve"> Percent savings over baseline consumption in MMBtus.</w:t>
      </w:r>
    </w:p>
    <w:p w14:paraId="3902BBEA" w14:textId="5B1345C0" w:rsidR="00436707" w:rsidRPr="00F6205B" w:rsidRDefault="00436707" w:rsidP="00436707">
      <w:pPr>
        <w:keepNext/>
        <w:spacing w:after="0" w:line="240" w:lineRule="auto"/>
        <w:ind w:left="-180"/>
        <w:contextualSpacing/>
        <w:rPr>
          <w:sz w:val="18"/>
          <w:szCs w:val="18"/>
        </w:rPr>
      </w:pPr>
      <w:r w:rsidRPr="00F6205B">
        <w:rPr>
          <w:sz w:val="18"/>
          <w:szCs w:val="18"/>
          <w:vertAlign w:val="superscript"/>
        </w:rPr>
        <w:t>ii</w:t>
      </w:r>
      <w:r w:rsidRPr="00F6205B">
        <w:rPr>
          <w:sz w:val="18"/>
          <w:szCs w:val="18"/>
        </w:rPr>
        <w:t xml:space="preserve"> In millions. Negative savings indicate a consumption increase.</w:t>
      </w:r>
      <w:r w:rsidRPr="00F6205B">
        <w:rPr>
          <w:sz w:val="18"/>
          <w:szCs w:val="18"/>
        </w:rPr>
        <w:br/>
      </w:r>
      <w:r w:rsidRPr="00F6205B">
        <w:rPr>
          <w:sz w:val="18"/>
          <w:szCs w:val="18"/>
          <w:vertAlign w:val="superscript"/>
        </w:rPr>
        <w:t xml:space="preserve">iii </w:t>
      </w:r>
      <w:r w:rsidRPr="00F6205B">
        <w:rPr>
          <w:sz w:val="18"/>
          <w:szCs w:val="18"/>
        </w:rPr>
        <w:t xml:space="preserve">See </w:t>
      </w:r>
      <w:r w:rsidR="003E662E">
        <w:rPr>
          <w:sz w:val="18"/>
          <w:szCs w:val="18"/>
        </w:rPr>
        <w:fldChar w:fldCharType="begin"/>
      </w:r>
      <w:r w:rsidR="003E662E">
        <w:rPr>
          <w:sz w:val="18"/>
          <w:szCs w:val="18"/>
        </w:rPr>
        <w:instrText xml:space="preserve"> REF _Ref439690207 \n \h </w:instrText>
      </w:r>
      <w:r w:rsidR="003E662E">
        <w:rPr>
          <w:sz w:val="18"/>
          <w:szCs w:val="18"/>
        </w:rPr>
      </w:r>
      <w:r w:rsidR="003E662E">
        <w:rPr>
          <w:sz w:val="18"/>
          <w:szCs w:val="18"/>
        </w:rPr>
        <w:fldChar w:fldCharType="separate"/>
      </w:r>
      <w:r w:rsidR="00FA26A9">
        <w:rPr>
          <w:sz w:val="18"/>
          <w:szCs w:val="18"/>
        </w:rPr>
        <w:t>Appendix C</w:t>
      </w:r>
      <w:r w:rsidR="003E662E">
        <w:rPr>
          <w:sz w:val="18"/>
          <w:szCs w:val="18"/>
        </w:rPr>
        <w:fldChar w:fldCharType="end"/>
      </w:r>
      <w:r w:rsidR="003E662E">
        <w:rPr>
          <w:sz w:val="18"/>
          <w:szCs w:val="18"/>
        </w:rPr>
        <w:t xml:space="preserve"> </w:t>
      </w:r>
      <w:r w:rsidRPr="00F6205B">
        <w:rPr>
          <w:sz w:val="18"/>
          <w:szCs w:val="18"/>
        </w:rPr>
        <w:t xml:space="preserve">for details on </w:t>
      </w:r>
      <w:r w:rsidR="003E662E">
        <w:rPr>
          <w:sz w:val="18"/>
          <w:szCs w:val="18"/>
        </w:rPr>
        <w:t>ductless mini-split modeling assumptions.</w:t>
      </w:r>
    </w:p>
    <w:p w14:paraId="38EFD79A" w14:textId="77777777" w:rsidR="00436707" w:rsidRPr="00F6205B" w:rsidRDefault="00436707" w:rsidP="00436707">
      <w:pPr>
        <w:keepNext/>
        <w:spacing w:after="0" w:line="240" w:lineRule="auto"/>
        <w:contextualSpacing/>
        <w:rPr>
          <w:sz w:val="20"/>
        </w:rPr>
      </w:pPr>
    </w:p>
    <w:p w14:paraId="642EEF62" w14:textId="77777777" w:rsidR="00436707" w:rsidRPr="00F6205B" w:rsidRDefault="00436707" w:rsidP="00436707">
      <w:pPr>
        <w:keepNext/>
      </w:pPr>
      <w:r w:rsidRPr="00F6205B">
        <w:t>Similarly, the addition of photovoltaic arrays to 108 of the 180 models (60%) leads to over five Gigawatt hours (GWh) in first-year technical potential electric savings. Adding solar hot water systems to the same number of homes results in 9 MMBtus in technical savings potential, spread relatively evenly across fuel types.</w:t>
      </w:r>
    </w:p>
    <w:p w14:paraId="77A26488" w14:textId="77777777" w:rsidR="00436707" w:rsidRPr="00F6205B" w:rsidRDefault="00436707" w:rsidP="00FA2474">
      <w:pPr>
        <w:pStyle w:val="Heading4"/>
        <w:numPr>
          <w:ilvl w:val="0"/>
          <w:numId w:val="0"/>
        </w:numPr>
        <w:jc w:val="both"/>
      </w:pPr>
      <w:bookmarkStart w:id="233" w:name="_Ref365980046"/>
      <w:r w:rsidRPr="00F6205B">
        <w:t>Measures Assessed Outside of REM/Rate</w:t>
      </w:r>
      <w:bookmarkEnd w:id="233"/>
    </w:p>
    <w:p w14:paraId="2BF79EC2" w14:textId="58EC5432" w:rsidR="00436707" w:rsidRPr="00F6205B" w:rsidRDefault="00436707" w:rsidP="00436707">
      <w:r w:rsidRPr="00F6205B">
        <w:t>Four of the upgrade measures could not be modeled using REM/Rate. Savings from low-flow showerheads, faucet aerators, and pipe insulation were calculated using equations found in the 2013 Connecticut HES Program Savings Document (PSD).</w:t>
      </w:r>
      <w:r w:rsidRPr="00F6205B">
        <w:rPr>
          <w:rStyle w:val="FootnoteReference"/>
        </w:rPr>
        <w:footnoteReference w:id="67"/>
      </w:r>
      <w:r w:rsidRPr="00F6205B">
        <w:t xml:space="preserve"> Clothes washer upgrade calculations were also performed outside of REM/Rate because the software’s model for clothes washers requires complete data on the machine from the Energy Guide label, which was not available for all models. Savings attributable to all four non-REM/Rate upgrade measures are integrated into the comprehensive model savings in </w:t>
      </w:r>
      <w:r w:rsidR="00F620C3">
        <w:fldChar w:fldCharType="begin"/>
      </w:r>
      <w:r w:rsidR="00F620C3">
        <w:instrText xml:space="preserve"> REF _Ref439697196 \h </w:instrText>
      </w:r>
      <w:r w:rsidR="00F620C3">
        <w:fldChar w:fldCharType="separate"/>
      </w:r>
      <w:r w:rsidR="00F620C3" w:rsidRPr="00F6205B">
        <w:t xml:space="preserve">Table </w:t>
      </w:r>
      <w:r w:rsidR="00F620C3">
        <w:rPr>
          <w:noProof/>
        </w:rPr>
        <w:t>12</w:t>
      </w:r>
      <w:r w:rsidR="00F620C3">
        <w:fldChar w:fldCharType="end"/>
      </w:r>
      <w:r w:rsidR="00F620C3">
        <w:t xml:space="preserve"> </w:t>
      </w:r>
      <w:r w:rsidRPr="00F6205B">
        <w:t>and</w:t>
      </w:r>
      <w:r w:rsidR="00F620C3">
        <w:t xml:space="preserve"> </w:t>
      </w:r>
      <w:r w:rsidR="00F620C3">
        <w:fldChar w:fldCharType="begin"/>
      </w:r>
      <w:r w:rsidR="00F620C3">
        <w:instrText xml:space="preserve"> REF _Ref439933974 \h </w:instrText>
      </w:r>
      <w:r w:rsidR="00F620C3">
        <w:fldChar w:fldCharType="separate"/>
      </w:r>
      <w:r w:rsidR="00F620C3" w:rsidRPr="00F6205B">
        <w:t xml:space="preserve">Table </w:t>
      </w:r>
      <w:r w:rsidR="00F620C3">
        <w:rPr>
          <w:noProof/>
        </w:rPr>
        <w:t>13</w:t>
      </w:r>
      <w:r w:rsidR="00F620C3">
        <w:fldChar w:fldCharType="end"/>
      </w:r>
      <w:r w:rsidRPr="00F6205B">
        <w:t>. The comprehensive savings values are de-rated to account for the interactive effects of water heater upgrades and water savings measures.</w:t>
      </w:r>
    </w:p>
    <w:p w14:paraId="55923AF0" w14:textId="77777777" w:rsidR="00436707" w:rsidRPr="00F6205B" w:rsidRDefault="00436707" w:rsidP="00436707">
      <w:r w:rsidRPr="00F6205B">
        <w:t>Auditors did not gather information regarding the presence or absence of low-flow showerheads and faucet aerators during the Connecticut Weatherization Baseline on-site inspections. Instead, data from a residential baseline study which NMR Group conducted in 2011 and 2012 on behalf of the Vermont Department of Public Service were used to estimate the number of low-flow showerheads and faucet aerators per home, which then provided context for calculations.</w:t>
      </w:r>
      <w:r w:rsidRPr="00F6205B">
        <w:rPr>
          <w:rStyle w:val="FootnoteReference"/>
        </w:rPr>
        <w:footnoteReference w:id="68"/>
      </w:r>
      <w:r w:rsidRPr="00F6205B">
        <w:t xml:space="preserve"> For example, the Vermont data revealed that the mean number of low-flow showerheads in homes with one bathroom is 0.45. Similar “opportunity </w:t>
      </w:r>
      <w:r w:rsidRPr="00F6205B">
        <w:lastRenderedPageBreak/>
        <w:t>levels” were calculated for low-flow showerheads and faucet aerators based on number of bathrooms and subsequently used to calculate savings.</w:t>
      </w:r>
    </w:p>
    <w:p w14:paraId="65EBE772" w14:textId="74AD53F9" w:rsidR="00436707" w:rsidRPr="00F6205B" w:rsidRDefault="00436707" w:rsidP="00436707">
      <w:r w:rsidRPr="00F6205B">
        <w:t>Potential savings attributable to the installation of low-flow showerheads and faucet aerators are substantial in both fossil fuels and kWh, according to equations provided in the PSD (</w:t>
      </w:r>
      <w:r w:rsidR="00982395" w:rsidRPr="00F6205B">
        <w:fldChar w:fldCharType="begin"/>
      </w:r>
      <w:r w:rsidR="00982395" w:rsidRPr="00F6205B">
        <w:instrText xml:space="preserve"> REF _Ref439320453 \h </w:instrText>
      </w:r>
      <w:r w:rsidR="00F6205B">
        <w:instrText xml:space="preserve"> \* MERGEFORMAT </w:instrText>
      </w:r>
      <w:r w:rsidR="00982395" w:rsidRPr="00F6205B">
        <w:fldChar w:fldCharType="separate"/>
      </w:r>
      <w:r w:rsidR="00FA26A9" w:rsidRPr="00F6205B">
        <w:t xml:space="preserve">Table </w:t>
      </w:r>
      <w:r w:rsidR="00FA26A9">
        <w:rPr>
          <w:noProof/>
        </w:rPr>
        <w:t>22</w:t>
      </w:r>
      <w:r w:rsidR="00982395" w:rsidRPr="00F6205B">
        <w:fldChar w:fldCharType="end"/>
      </w:r>
      <w:r w:rsidRPr="00F6205B">
        <w:t>).</w:t>
      </w:r>
    </w:p>
    <w:p w14:paraId="261AED96" w14:textId="00C91D15" w:rsidR="00436707" w:rsidRPr="00F6205B" w:rsidRDefault="00436707" w:rsidP="004F23CF">
      <w:pPr>
        <w:pStyle w:val="Caption"/>
      </w:pPr>
      <w:bookmarkStart w:id="234" w:name="_Ref366834029"/>
      <w:bookmarkStart w:id="235" w:name="_Ref439320453"/>
      <w:bookmarkStart w:id="236" w:name="_Toc373324130"/>
      <w:bookmarkStart w:id="237" w:name="_Toc391887358"/>
      <w:bookmarkStart w:id="238" w:name="_Toc439931853"/>
      <w:r w:rsidRPr="00F6205B">
        <w:t>Table</w:t>
      </w:r>
      <w:bookmarkEnd w:id="234"/>
      <w:r w:rsidR="004F23CF" w:rsidRPr="00F6205B">
        <w:t xml:space="preserve"> </w:t>
      </w:r>
      <w:fldSimple w:instr=" SEQ Table \* ARABIC ">
        <w:r w:rsidR="00FA26A9">
          <w:rPr>
            <w:noProof/>
          </w:rPr>
          <w:t>22</w:t>
        </w:r>
      </w:fldSimple>
      <w:bookmarkEnd w:id="235"/>
      <w:r w:rsidRPr="00F6205B">
        <w:t>: Savings from Non-REM Measures—First-Year</w:t>
      </w:r>
      <w:bookmarkEnd w:id="236"/>
      <w:bookmarkEnd w:id="237"/>
      <w:bookmarkEnd w:id="238"/>
    </w:p>
    <w:p w14:paraId="12CF155F" w14:textId="77777777" w:rsidR="00346A82" w:rsidRPr="00F6205B" w:rsidRDefault="00346A82" w:rsidP="00346A82">
      <w:pPr>
        <w:pStyle w:val="Caption"/>
        <w:spacing w:before="0" w:after="120"/>
        <w:rPr>
          <w:b w:val="0"/>
          <w:bCs w:val="0"/>
          <w:sz w:val="18"/>
        </w:rPr>
      </w:pPr>
      <w:r w:rsidRPr="00F6205B">
        <w:rPr>
          <w:b w:val="0"/>
          <w:bCs w:val="0"/>
          <w:sz w:val="18"/>
        </w:rPr>
        <w:t>Base: all single-family homes (population-weighted)</w:t>
      </w:r>
    </w:p>
    <w:tbl>
      <w:tblPr>
        <w:tblW w:w="9789"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157"/>
        <w:gridCol w:w="888"/>
        <w:gridCol w:w="1145"/>
        <w:gridCol w:w="1145"/>
        <w:gridCol w:w="1145"/>
        <w:gridCol w:w="1145"/>
        <w:gridCol w:w="1084"/>
        <w:gridCol w:w="1080"/>
      </w:tblGrid>
      <w:tr w:rsidR="00436707" w:rsidRPr="00F6205B" w14:paraId="43832CC4" w14:textId="77777777" w:rsidTr="00A33B8E">
        <w:trPr>
          <w:trHeight w:val="288"/>
          <w:jc w:val="center"/>
        </w:trPr>
        <w:tc>
          <w:tcPr>
            <w:tcW w:w="2157" w:type="dxa"/>
            <w:tcBorders>
              <w:top w:val="single" w:sz="4" w:space="0" w:color="auto"/>
              <w:left w:val="single" w:sz="4" w:space="0" w:color="auto"/>
              <w:bottom w:val="single" w:sz="4" w:space="0" w:color="auto"/>
              <w:right w:val="single" w:sz="4" w:space="0" w:color="000000" w:themeColor="text1"/>
            </w:tcBorders>
            <w:shd w:val="clear" w:color="auto" w:fill="0B4D2C" w:themeFill="background2" w:themeFillShade="BF"/>
            <w:vAlign w:val="center"/>
          </w:tcPr>
          <w:p w14:paraId="52819EB3" w14:textId="77777777" w:rsidR="00436707" w:rsidRPr="00F6205B" w:rsidRDefault="00436707" w:rsidP="0044249F">
            <w:pPr>
              <w:keepNext/>
              <w:keepLines/>
              <w:spacing w:after="0" w:line="240" w:lineRule="auto"/>
              <w:contextualSpacing/>
              <w:rPr>
                <w:b/>
                <w:sz w:val="20"/>
                <w:szCs w:val="20"/>
              </w:rPr>
            </w:pPr>
          </w:p>
        </w:tc>
        <w:tc>
          <w:tcPr>
            <w:tcW w:w="888" w:type="dxa"/>
            <w:tcBorders>
              <w:top w:val="single" w:sz="4" w:space="0" w:color="auto"/>
              <w:left w:val="single" w:sz="4" w:space="0" w:color="000000" w:themeColor="text1"/>
              <w:bottom w:val="single" w:sz="4" w:space="0" w:color="auto"/>
              <w:right w:val="single" w:sz="4" w:space="0" w:color="000000" w:themeColor="text1"/>
            </w:tcBorders>
            <w:shd w:val="clear" w:color="auto" w:fill="0B4D2C" w:themeFill="background2" w:themeFillShade="BF"/>
            <w:vAlign w:val="center"/>
          </w:tcPr>
          <w:p w14:paraId="51B21B42" w14:textId="27CED2E4" w:rsidR="00436707" w:rsidRPr="00F6205B" w:rsidRDefault="00DC292C" w:rsidP="0044249F">
            <w:pPr>
              <w:keepNext/>
              <w:keepLines/>
              <w:spacing w:after="0" w:line="240" w:lineRule="auto"/>
              <w:contextualSpacing/>
              <w:jc w:val="center"/>
              <w:rPr>
                <w:b/>
                <w:i/>
                <w:sz w:val="20"/>
                <w:szCs w:val="20"/>
              </w:rPr>
            </w:pPr>
            <w:r w:rsidRPr="00F6205B">
              <w:rPr>
                <w:b/>
                <w:i/>
                <w:sz w:val="20"/>
                <w:szCs w:val="20"/>
              </w:rPr>
              <w:t>N</w:t>
            </w:r>
          </w:p>
        </w:tc>
        <w:tc>
          <w:tcPr>
            <w:tcW w:w="1145" w:type="dxa"/>
            <w:tcBorders>
              <w:top w:val="single" w:sz="4" w:space="0" w:color="auto"/>
              <w:left w:val="single" w:sz="4" w:space="0" w:color="000000" w:themeColor="text1"/>
              <w:bottom w:val="single" w:sz="4" w:space="0" w:color="auto"/>
              <w:right w:val="single" w:sz="4" w:space="0" w:color="000000" w:themeColor="text1"/>
            </w:tcBorders>
            <w:shd w:val="clear" w:color="auto" w:fill="0B4D2C" w:themeFill="background2" w:themeFillShade="BF"/>
            <w:vAlign w:val="center"/>
          </w:tcPr>
          <w:p w14:paraId="38CC91D6" w14:textId="77777777" w:rsidR="00436707" w:rsidRPr="00F6205B" w:rsidRDefault="00436707" w:rsidP="0044249F">
            <w:pPr>
              <w:keepNext/>
              <w:keepLines/>
              <w:spacing w:after="0" w:line="240" w:lineRule="auto"/>
              <w:contextualSpacing/>
              <w:jc w:val="center"/>
              <w:rPr>
                <w:b/>
                <w:sz w:val="20"/>
                <w:szCs w:val="20"/>
              </w:rPr>
            </w:pPr>
            <w:r w:rsidRPr="00F6205B">
              <w:rPr>
                <w:b/>
                <w:sz w:val="20"/>
                <w:szCs w:val="20"/>
              </w:rPr>
              <w:t>Percent Savings</w:t>
            </w:r>
          </w:p>
        </w:tc>
        <w:tc>
          <w:tcPr>
            <w:tcW w:w="1145" w:type="dxa"/>
            <w:tcBorders>
              <w:top w:val="single" w:sz="4" w:space="0" w:color="auto"/>
              <w:left w:val="single" w:sz="4" w:space="0" w:color="000000" w:themeColor="text1"/>
              <w:bottom w:val="single" w:sz="4" w:space="0" w:color="auto"/>
              <w:right w:val="single" w:sz="4" w:space="0" w:color="000000" w:themeColor="text1"/>
            </w:tcBorders>
            <w:shd w:val="clear" w:color="auto" w:fill="0B4D2C" w:themeFill="background2" w:themeFillShade="BF"/>
            <w:vAlign w:val="center"/>
          </w:tcPr>
          <w:p w14:paraId="1B0396EF" w14:textId="370AF9DA" w:rsidR="00436707" w:rsidRPr="00F6205B" w:rsidRDefault="00DC292C" w:rsidP="0044249F">
            <w:pPr>
              <w:keepNext/>
              <w:keepLines/>
              <w:spacing w:after="0" w:line="240" w:lineRule="auto"/>
              <w:contextualSpacing/>
              <w:jc w:val="center"/>
              <w:rPr>
                <w:b/>
                <w:sz w:val="20"/>
                <w:szCs w:val="20"/>
              </w:rPr>
            </w:pPr>
            <w:r w:rsidRPr="00F6205B">
              <w:rPr>
                <w:b/>
                <w:sz w:val="20"/>
                <w:szCs w:val="20"/>
              </w:rPr>
              <w:t>Fuel Oil (gal</w:t>
            </w:r>
            <w:r w:rsidR="00436707" w:rsidRPr="00F6205B">
              <w:rPr>
                <w:b/>
                <w:sz w:val="20"/>
                <w:szCs w:val="20"/>
              </w:rPr>
              <w:t>)</w:t>
            </w:r>
            <w:r w:rsidR="00436707" w:rsidRPr="00F6205B">
              <w:rPr>
                <w:b/>
                <w:sz w:val="20"/>
                <w:vertAlign w:val="superscript"/>
              </w:rPr>
              <w:t>ii</w:t>
            </w:r>
          </w:p>
        </w:tc>
        <w:tc>
          <w:tcPr>
            <w:tcW w:w="1145" w:type="dxa"/>
            <w:tcBorders>
              <w:top w:val="single" w:sz="4" w:space="0" w:color="auto"/>
              <w:left w:val="single" w:sz="4" w:space="0" w:color="000000" w:themeColor="text1"/>
              <w:bottom w:val="single" w:sz="4" w:space="0" w:color="auto"/>
              <w:right w:val="single" w:sz="4" w:space="0" w:color="000000" w:themeColor="text1"/>
            </w:tcBorders>
            <w:shd w:val="clear" w:color="auto" w:fill="0B4D2C" w:themeFill="background2" w:themeFillShade="BF"/>
            <w:vAlign w:val="center"/>
          </w:tcPr>
          <w:p w14:paraId="73C220A5" w14:textId="77777777" w:rsidR="00436707" w:rsidRPr="00F6205B" w:rsidRDefault="00436707" w:rsidP="0044249F">
            <w:pPr>
              <w:keepNext/>
              <w:keepLines/>
              <w:spacing w:after="0" w:line="240" w:lineRule="auto"/>
              <w:contextualSpacing/>
              <w:jc w:val="center"/>
              <w:rPr>
                <w:b/>
                <w:sz w:val="20"/>
                <w:szCs w:val="20"/>
              </w:rPr>
            </w:pPr>
            <w:r w:rsidRPr="00F6205B">
              <w:rPr>
                <w:b/>
                <w:sz w:val="20"/>
                <w:szCs w:val="20"/>
              </w:rPr>
              <w:t>Nat. Gas (ccf)</w:t>
            </w:r>
            <w:r w:rsidRPr="00F6205B">
              <w:rPr>
                <w:b/>
                <w:sz w:val="20"/>
                <w:vertAlign w:val="superscript"/>
              </w:rPr>
              <w:t>ii</w:t>
            </w:r>
          </w:p>
        </w:tc>
        <w:tc>
          <w:tcPr>
            <w:tcW w:w="1145" w:type="dxa"/>
            <w:tcBorders>
              <w:top w:val="single" w:sz="4" w:space="0" w:color="auto"/>
              <w:left w:val="single" w:sz="4" w:space="0" w:color="000000" w:themeColor="text1"/>
              <w:bottom w:val="single" w:sz="4" w:space="0" w:color="auto"/>
              <w:right w:val="single" w:sz="4" w:space="0" w:color="000000" w:themeColor="text1"/>
            </w:tcBorders>
            <w:shd w:val="clear" w:color="auto" w:fill="0B4D2C" w:themeFill="background2" w:themeFillShade="BF"/>
            <w:vAlign w:val="center"/>
          </w:tcPr>
          <w:p w14:paraId="796B4144" w14:textId="69D49590" w:rsidR="00436707" w:rsidRPr="00F6205B" w:rsidRDefault="00DC292C" w:rsidP="0044249F">
            <w:pPr>
              <w:keepNext/>
              <w:keepLines/>
              <w:spacing w:after="0" w:line="240" w:lineRule="auto"/>
              <w:contextualSpacing/>
              <w:jc w:val="center"/>
              <w:rPr>
                <w:b/>
                <w:sz w:val="20"/>
                <w:szCs w:val="20"/>
              </w:rPr>
            </w:pPr>
            <w:r w:rsidRPr="00F6205B">
              <w:rPr>
                <w:b/>
                <w:sz w:val="20"/>
                <w:szCs w:val="20"/>
              </w:rPr>
              <w:t>Propane (gal</w:t>
            </w:r>
            <w:r w:rsidR="00436707" w:rsidRPr="00F6205B">
              <w:rPr>
                <w:b/>
                <w:sz w:val="20"/>
                <w:szCs w:val="20"/>
              </w:rPr>
              <w:t>)</w:t>
            </w:r>
            <w:r w:rsidR="00436707" w:rsidRPr="00F6205B">
              <w:rPr>
                <w:b/>
                <w:sz w:val="20"/>
                <w:vertAlign w:val="superscript"/>
              </w:rPr>
              <w:t>ii</w:t>
            </w:r>
          </w:p>
        </w:tc>
        <w:tc>
          <w:tcPr>
            <w:tcW w:w="1084" w:type="dxa"/>
            <w:tcBorders>
              <w:top w:val="single" w:sz="4" w:space="0" w:color="auto"/>
              <w:left w:val="single" w:sz="4" w:space="0" w:color="000000" w:themeColor="text1"/>
              <w:bottom w:val="single" w:sz="4" w:space="0" w:color="auto"/>
              <w:right w:val="single" w:sz="4" w:space="0" w:color="000000" w:themeColor="text1"/>
            </w:tcBorders>
            <w:shd w:val="clear" w:color="auto" w:fill="0B4D2C" w:themeFill="background2" w:themeFillShade="BF"/>
            <w:vAlign w:val="center"/>
          </w:tcPr>
          <w:p w14:paraId="22B3BA20" w14:textId="77777777" w:rsidR="00436707" w:rsidRPr="00F6205B" w:rsidRDefault="00436707" w:rsidP="0044249F">
            <w:pPr>
              <w:keepNext/>
              <w:keepLines/>
              <w:spacing w:after="0" w:line="240" w:lineRule="auto"/>
              <w:contextualSpacing/>
              <w:jc w:val="center"/>
              <w:rPr>
                <w:b/>
                <w:sz w:val="20"/>
                <w:szCs w:val="20"/>
              </w:rPr>
            </w:pPr>
            <w:r w:rsidRPr="00F6205B">
              <w:rPr>
                <w:b/>
                <w:sz w:val="20"/>
                <w:szCs w:val="20"/>
              </w:rPr>
              <w:t>Electric (kWh)</w:t>
            </w:r>
            <w:r w:rsidRPr="00F6205B">
              <w:rPr>
                <w:b/>
                <w:sz w:val="20"/>
                <w:vertAlign w:val="superscript"/>
              </w:rPr>
              <w:t>ii</w:t>
            </w:r>
          </w:p>
        </w:tc>
        <w:tc>
          <w:tcPr>
            <w:tcW w:w="1080" w:type="dxa"/>
            <w:tcBorders>
              <w:top w:val="single" w:sz="4" w:space="0" w:color="auto"/>
              <w:left w:val="single" w:sz="4" w:space="0" w:color="000000" w:themeColor="text1"/>
              <w:bottom w:val="single" w:sz="4" w:space="0" w:color="auto"/>
              <w:right w:val="single" w:sz="4" w:space="0" w:color="auto"/>
            </w:tcBorders>
            <w:shd w:val="clear" w:color="auto" w:fill="0B4D2C" w:themeFill="background2" w:themeFillShade="BF"/>
            <w:vAlign w:val="center"/>
          </w:tcPr>
          <w:p w14:paraId="63F8312B" w14:textId="77777777" w:rsidR="00436707" w:rsidRPr="00F6205B" w:rsidRDefault="00436707" w:rsidP="0044249F">
            <w:pPr>
              <w:keepNext/>
              <w:keepLines/>
              <w:spacing w:after="0" w:line="240" w:lineRule="auto"/>
              <w:contextualSpacing/>
              <w:jc w:val="center"/>
              <w:rPr>
                <w:b/>
                <w:sz w:val="20"/>
                <w:szCs w:val="20"/>
              </w:rPr>
            </w:pPr>
            <w:r w:rsidRPr="00F6205B">
              <w:rPr>
                <w:b/>
                <w:sz w:val="20"/>
                <w:szCs w:val="20"/>
              </w:rPr>
              <w:t>Total MMBtu</w:t>
            </w:r>
            <w:r w:rsidRPr="00F6205B">
              <w:rPr>
                <w:b/>
                <w:sz w:val="20"/>
                <w:vertAlign w:val="superscript"/>
              </w:rPr>
              <w:t>ii</w:t>
            </w:r>
          </w:p>
        </w:tc>
      </w:tr>
      <w:tr w:rsidR="00DC292C" w:rsidRPr="00F6205B" w14:paraId="6B65F7E4" w14:textId="77777777" w:rsidTr="00A33B8E">
        <w:trPr>
          <w:trHeight w:val="288"/>
          <w:jc w:val="center"/>
        </w:trPr>
        <w:tc>
          <w:tcPr>
            <w:tcW w:w="9789" w:type="dxa"/>
            <w:gridSpan w:val="8"/>
            <w:tcBorders>
              <w:top w:val="single" w:sz="4" w:space="0" w:color="auto"/>
              <w:left w:val="single" w:sz="4" w:space="0" w:color="auto"/>
              <w:bottom w:val="single" w:sz="4" w:space="0" w:color="000000" w:themeColor="text1"/>
              <w:right w:val="single" w:sz="4" w:space="0" w:color="auto"/>
            </w:tcBorders>
            <w:shd w:val="clear" w:color="auto" w:fill="404040" w:themeFill="text1" w:themeFillTint="BF"/>
          </w:tcPr>
          <w:p w14:paraId="1A59357F" w14:textId="77777777" w:rsidR="00436707" w:rsidRPr="00F6205B" w:rsidRDefault="00436707" w:rsidP="0044249F">
            <w:pPr>
              <w:keepNext/>
              <w:keepLines/>
              <w:spacing w:after="0" w:line="240" w:lineRule="auto"/>
              <w:contextualSpacing/>
              <w:jc w:val="center"/>
              <w:rPr>
                <w:b/>
                <w:color w:val="FFFFFF" w:themeColor="background1"/>
                <w:sz w:val="20"/>
                <w:szCs w:val="20"/>
              </w:rPr>
            </w:pPr>
            <w:r w:rsidRPr="00F6205B">
              <w:rPr>
                <w:b/>
                <w:color w:val="FFFFFF" w:themeColor="background1"/>
                <w:sz w:val="20"/>
                <w:szCs w:val="20"/>
              </w:rPr>
              <w:t>Baseline DHW Energy Factors</w:t>
            </w:r>
          </w:p>
        </w:tc>
      </w:tr>
      <w:tr w:rsidR="00436707" w:rsidRPr="00F6205B" w14:paraId="58A5AA33" w14:textId="77777777" w:rsidTr="00A33B8E">
        <w:trPr>
          <w:trHeight w:val="288"/>
          <w:jc w:val="center"/>
        </w:trPr>
        <w:tc>
          <w:tcPr>
            <w:tcW w:w="215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1E3CCDB" w14:textId="77777777" w:rsidR="00436707" w:rsidRPr="00F6205B" w:rsidRDefault="00436707" w:rsidP="0044249F">
            <w:pPr>
              <w:keepNext/>
              <w:keepLines/>
              <w:spacing w:after="0" w:line="240" w:lineRule="auto"/>
              <w:contextualSpacing/>
              <w:jc w:val="right"/>
              <w:rPr>
                <w:sz w:val="20"/>
                <w:szCs w:val="20"/>
              </w:rPr>
            </w:pPr>
            <w:r w:rsidRPr="00F6205B">
              <w:rPr>
                <w:sz w:val="20"/>
                <w:szCs w:val="20"/>
              </w:rPr>
              <w:t xml:space="preserve">DHW Pipe insulation </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36BE1B" w14:textId="77777777" w:rsidR="00436707" w:rsidRPr="00F6205B" w:rsidRDefault="00436707" w:rsidP="0044249F">
            <w:pPr>
              <w:keepNext/>
              <w:keepLines/>
              <w:spacing w:after="0" w:line="240" w:lineRule="auto"/>
              <w:contextualSpacing/>
              <w:jc w:val="center"/>
              <w:rPr>
                <w:i/>
                <w:sz w:val="20"/>
                <w:szCs w:val="20"/>
              </w:rPr>
            </w:pPr>
            <w:r w:rsidRPr="00F6205B">
              <w:rPr>
                <w:i/>
                <w:sz w:val="20"/>
                <w:szCs w:val="20"/>
              </w:rPr>
              <w:t>138</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27F5C3" w14:textId="77777777" w:rsidR="00436707" w:rsidRPr="00F6205B" w:rsidRDefault="00436707" w:rsidP="0044249F">
            <w:pPr>
              <w:keepNext/>
              <w:keepLines/>
              <w:tabs>
                <w:tab w:val="decimal" w:pos="302"/>
              </w:tabs>
              <w:spacing w:after="0" w:line="240" w:lineRule="auto"/>
              <w:contextualSpacing/>
              <w:jc w:val="center"/>
              <w:rPr>
                <w:sz w:val="20"/>
                <w:szCs w:val="20"/>
              </w:rPr>
            </w:pPr>
            <w:r w:rsidRPr="00F6205B">
              <w:rPr>
                <w:sz w:val="20"/>
                <w:szCs w:val="20"/>
              </w:rPr>
              <w:t>0.3%</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0C1F85" w14:textId="77777777" w:rsidR="00436707" w:rsidRPr="00F6205B" w:rsidRDefault="00436707" w:rsidP="0044249F">
            <w:pPr>
              <w:keepNext/>
              <w:keepLines/>
              <w:tabs>
                <w:tab w:val="decimal" w:pos="237"/>
              </w:tabs>
              <w:spacing w:after="0" w:line="240" w:lineRule="auto"/>
              <w:contextualSpacing/>
              <w:jc w:val="center"/>
              <w:rPr>
                <w:sz w:val="20"/>
                <w:szCs w:val="20"/>
              </w:rPr>
            </w:pPr>
            <w:r w:rsidRPr="00F6205B">
              <w:rPr>
                <w:sz w:val="20"/>
                <w:szCs w:val="20"/>
              </w:rPr>
              <w:t>1.4</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21F772" w14:textId="77777777" w:rsidR="00436707" w:rsidRPr="00F6205B" w:rsidRDefault="00436707" w:rsidP="0044249F">
            <w:pPr>
              <w:keepNext/>
              <w:keepLines/>
              <w:tabs>
                <w:tab w:val="decimal" w:pos="232"/>
              </w:tabs>
              <w:spacing w:after="0" w:line="240" w:lineRule="auto"/>
              <w:contextualSpacing/>
              <w:jc w:val="center"/>
              <w:rPr>
                <w:sz w:val="20"/>
                <w:szCs w:val="20"/>
              </w:rPr>
            </w:pPr>
            <w:r w:rsidRPr="00F6205B">
              <w:rPr>
                <w:sz w:val="20"/>
                <w:szCs w:val="20"/>
              </w:rPr>
              <w:t>1.4</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1ED138" w14:textId="77777777" w:rsidR="00436707" w:rsidRPr="00F6205B" w:rsidRDefault="00436707" w:rsidP="0044249F">
            <w:pPr>
              <w:keepNext/>
              <w:keepLines/>
              <w:tabs>
                <w:tab w:val="decimal" w:pos="197"/>
              </w:tabs>
              <w:spacing w:after="0" w:line="240" w:lineRule="auto"/>
              <w:contextualSpacing/>
              <w:jc w:val="center"/>
              <w:rPr>
                <w:sz w:val="20"/>
                <w:szCs w:val="20"/>
              </w:rPr>
            </w:pPr>
            <w:r w:rsidRPr="00F6205B">
              <w:rPr>
                <w:sz w:val="20"/>
                <w:szCs w:val="20"/>
              </w:rPr>
              <w:t xml:space="preserve"> 0.3</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4D0E1C" w14:textId="77777777" w:rsidR="00436707" w:rsidRPr="00F6205B" w:rsidRDefault="00436707" w:rsidP="0044249F">
            <w:pPr>
              <w:keepNext/>
              <w:keepLines/>
              <w:tabs>
                <w:tab w:val="decimal" w:pos="312"/>
              </w:tabs>
              <w:spacing w:after="0" w:line="240" w:lineRule="auto"/>
              <w:contextualSpacing/>
              <w:jc w:val="center"/>
              <w:rPr>
                <w:sz w:val="20"/>
                <w:szCs w:val="20"/>
              </w:rPr>
            </w:pPr>
            <w:r w:rsidRPr="00F6205B">
              <w:rPr>
                <w:sz w:val="20"/>
                <w:szCs w:val="20"/>
              </w:rPr>
              <w:t>24.2</w:t>
            </w:r>
          </w:p>
        </w:tc>
        <w:tc>
          <w:tcPr>
            <w:tcW w:w="1080"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8232DEC" w14:textId="77777777" w:rsidR="00436707" w:rsidRPr="00F6205B" w:rsidRDefault="00436707" w:rsidP="0044249F">
            <w:pPr>
              <w:keepNext/>
              <w:keepLines/>
              <w:tabs>
                <w:tab w:val="decimal" w:pos="128"/>
              </w:tabs>
              <w:spacing w:after="0" w:line="240" w:lineRule="auto"/>
              <w:contextualSpacing/>
              <w:jc w:val="center"/>
              <w:rPr>
                <w:sz w:val="20"/>
                <w:szCs w:val="20"/>
              </w:rPr>
            </w:pPr>
            <w:r w:rsidRPr="00F6205B">
              <w:rPr>
                <w:sz w:val="20"/>
                <w:szCs w:val="20"/>
              </w:rPr>
              <w:t>0.5</w:t>
            </w:r>
          </w:p>
        </w:tc>
      </w:tr>
      <w:tr w:rsidR="00436707" w:rsidRPr="00F6205B" w14:paraId="0C015F0C" w14:textId="77777777" w:rsidTr="00A33B8E">
        <w:trPr>
          <w:trHeight w:val="288"/>
          <w:jc w:val="center"/>
        </w:trPr>
        <w:tc>
          <w:tcPr>
            <w:tcW w:w="215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67F3CD8" w14:textId="77777777" w:rsidR="00436707" w:rsidRPr="00F6205B" w:rsidRDefault="00436707" w:rsidP="0044249F">
            <w:pPr>
              <w:keepNext/>
              <w:keepLines/>
              <w:spacing w:after="0" w:line="240" w:lineRule="auto"/>
              <w:contextualSpacing/>
              <w:jc w:val="right"/>
              <w:rPr>
                <w:sz w:val="20"/>
                <w:szCs w:val="20"/>
              </w:rPr>
            </w:pPr>
            <w:r w:rsidRPr="00F6205B">
              <w:rPr>
                <w:sz w:val="20"/>
                <w:szCs w:val="20"/>
              </w:rPr>
              <w:t>Low-flow showerheads</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4E0DE6" w14:textId="77777777" w:rsidR="00436707" w:rsidRPr="00F6205B" w:rsidRDefault="00436707" w:rsidP="0044249F">
            <w:pPr>
              <w:keepNext/>
              <w:keepLines/>
              <w:spacing w:after="0" w:line="240" w:lineRule="auto"/>
              <w:contextualSpacing/>
              <w:jc w:val="center"/>
              <w:rPr>
                <w:i/>
                <w:sz w:val="20"/>
                <w:szCs w:val="20"/>
              </w:rPr>
            </w:pPr>
            <w:r w:rsidRPr="00F6205B">
              <w:rPr>
                <w:i/>
                <w:sz w:val="20"/>
                <w:szCs w:val="20"/>
              </w:rPr>
              <w:t>180</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780BD1" w14:textId="77777777" w:rsidR="00436707" w:rsidRPr="00F6205B" w:rsidRDefault="00436707" w:rsidP="0044249F">
            <w:pPr>
              <w:keepNext/>
              <w:keepLines/>
              <w:tabs>
                <w:tab w:val="decimal" w:pos="302"/>
              </w:tabs>
              <w:spacing w:after="0" w:line="240" w:lineRule="auto"/>
              <w:contextualSpacing/>
              <w:jc w:val="center"/>
              <w:rPr>
                <w:sz w:val="20"/>
                <w:szCs w:val="20"/>
              </w:rPr>
            </w:pPr>
            <w:r w:rsidRPr="00F6205B">
              <w:rPr>
                <w:sz w:val="20"/>
                <w:szCs w:val="20"/>
              </w:rPr>
              <w:t>0.4%</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6A33E9" w14:textId="77777777" w:rsidR="00436707" w:rsidRPr="00F6205B" w:rsidRDefault="00436707" w:rsidP="0044249F">
            <w:pPr>
              <w:keepNext/>
              <w:keepLines/>
              <w:tabs>
                <w:tab w:val="decimal" w:pos="237"/>
              </w:tabs>
              <w:spacing w:after="0" w:line="240" w:lineRule="auto"/>
              <w:contextualSpacing/>
              <w:jc w:val="center"/>
              <w:rPr>
                <w:sz w:val="20"/>
                <w:szCs w:val="20"/>
              </w:rPr>
            </w:pPr>
            <w:r w:rsidRPr="00F6205B">
              <w:rPr>
                <w:sz w:val="20"/>
                <w:szCs w:val="20"/>
              </w:rPr>
              <w:t xml:space="preserve"> 2.6</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562319" w14:textId="77777777" w:rsidR="00436707" w:rsidRPr="00F6205B" w:rsidRDefault="00436707" w:rsidP="0044249F">
            <w:pPr>
              <w:keepNext/>
              <w:keepLines/>
              <w:tabs>
                <w:tab w:val="decimal" w:pos="232"/>
              </w:tabs>
              <w:spacing w:after="0" w:line="240" w:lineRule="auto"/>
              <w:contextualSpacing/>
              <w:jc w:val="center"/>
              <w:rPr>
                <w:sz w:val="20"/>
                <w:szCs w:val="20"/>
              </w:rPr>
            </w:pPr>
            <w:r w:rsidRPr="00F6205B">
              <w:rPr>
                <w:sz w:val="20"/>
                <w:szCs w:val="20"/>
              </w:rPr>
              <w:t xml:space="preserve"> 1.5</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8D4B6E" w14:textId="77777777" w:rsidR="00436707" w:rsidRPr="00F6205B" w:rsidRDefault="00436707" w:rsidP="0044249F">
            <w:pPr>
              <w:keepNext/>
              <w:keepLines/>
              <w:tabs>
                <w:tab w:val="decimal" w:pos="197"/>
              </w:tabs>
              <w:spacing w:after="0" w:line="240" w:lineRule="auto"/>
              <w:contextualSpacing/>
              <w:jc w:val="center"/>
              <w:rPr>
                <w:sz w:val="20"/>
                <w:szCs w:val="20"/>
              </w:rPr>
            </w:pPr>
            <w:r w:rsidRPr="00F6205B">
              <w:rPr>
                <w:sz w:val="20"/>
                <w:szCs w:val="20"/>
              </w:rPr>
              <w:t xml:space="preserve"> 0.3</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936A2A" w14:textId="77777777" w:rsidR="00436707" w:rsidRPr="00F6205B" w:rsidRDefault="00436707" w:rsidP="0044249F">
            <w:pPr>
              <w:keepNext/>
              <w:keepLines/>
              <w:tabs>
                <w:tab w:val="decimal" w:pos="312"/>
              </w:tabs>
              <w:spacing w:after="0" w:line="240" w:lineRule="auto"/>
              <w:contextualSpacing/>
              <w:jc w:val="center"/>
              <w:rPr>
                <w:sz w:val="20"/>
                <w:szCs w:val="20"/>
              </w:rPr>
            </w:pPr>
            <w:r w:rsidRPr="00F6205B">
              <w:rPr>
                <w:sz w:val="20"/>
                <w:szCs w:val="20"/>
              </w:rPr>
              <w:t xml:space="preserve"> 24.7</w:t>
            </w:r>
          </w:p>
        </w:tc>
        <w:tc>
          <w:tcPr>
            <w:tcW w:w="1080"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C5CB7BA" w14:textId="77777777" w:rsidR="00436707" w:rsidRPr="00F6205B" w:rsidRDefault="00436707" w:rsidP="0044249F">
            <w:pPr>
              <w:keepNext/>
              <w:keepLines/>
              <w:tabs>
                <w:tab w:val="decimal" w:pos="128"/>
              </w:tabs>
              <w:spacing w:after="0" w:line="240" w:lineRule="auto"/>
              <w:contextualSpacing/>
              <w:jc w:val="center"/>
              <w:rPr>
                <w:sz w:val="20"/>
                <w:szCs w:val="20"/>
              </w:rPr>
            </w:pPr>
            <w:r w:rsidRPr="00F6205B">
              <w:rPr>
                <w:sz w:val="20"/>
                <w:szCs w:val="20"/>
              </w:rPr>
              <w:t xml:space="preserve"> 0.6</w:t>
            </w:r>
          </w:p>
        </w:tc>
      </w:tr>
      <w:tr w:rsidR="00436707" w:rsidRPr="00F6205B" w14:paraId="659FBE74" w14:textId="77777777" w:rsidTr="00A33B8E">
        <w:trPr>
          <w:trHeight w:val="288"/>
          <w:jc w:val="center"/>
        </w:trPr>
        <w:tc>
          <w:tcPr>
            <w:tcW w:w="2157" w:type="dxa"/>
            <w:tcBorders>
              <w:top w:val="single" w:sz="4" w:space="0" w:color="000000" w:themeColor="text1"/>
              <w:left w:val="single" w:sz="4" w:space="0" w:color="auto"/>
              <w:bottom w:val="single" w:sz="4" w:space="0" w:color="auto"/>
              <w:right w:val="single" w:sz="4" w:space="0" w:color="000000" w:themeColor="text1"/>
            </w:tcBorders>
            <w:vAlign w:val="center"/>
          </w:tcPr>
          <w:p w14:paraId="2BA8083B" w14:textId="77777777" w:rsidR="00436707" w:rsidRPr="00F6205B" w:rsidRDefault="00436707" w:rsidP="0044249F">
            <w:pPr>
              <w:keepNext/>
              <w:keepLines/>
              <w:spacing w:after="0" w:line="240" w:lineRule="auto"/>
              <w:contextualSpacing/>
              <w:jc w:val="right"/>
              <w:rPr>
                <w:sz w:val="20"/>
                <w:szCs w:val="20"/>
              </w:rPr>
            </w:pPr>
            <w:r w:rsidRPr="00F6205B">
              <w:rPr>
                <w:sz w:val="20"/>
                <w:szCs w:val="20"/>
              </w:rPr>
              <w:t>Faucet aerators</w:t>
            </w:r>
          </w:p>
        </w:tc>
        <w:tc>
          <w:tcPr>
            <w:tcW w:w="88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850941A" w14:textId="77777777" w:rsidR="00436707" w:rsidRPr="00F6205B" w:rsidRDefault="00436707" w:rsidP="0044249F">
            <w:pPr>
              <w:keepNext/>
              <w:keepLines/>
              <w:spacing w:after="0" w:line="240" w:lineRule="auto"/>
              <w:contextualSpacing/>
              <w:jc w:val="center"/>
              <w:rPr>
                <w:i/>
                <w:sz w:val="20"/>
                <w:szCs w:val="20"/>
              </w:rPr>
            </w:pPr>
            <w:r w:rsidRPr="00F6205B">
              <w:rPr>
                <w:i/>
                <w:sz w:val="20"/>
                <w:szCs w:val="20"/>
              </w:rPr>
              <w:t>180</w:t>
            </w:r>
          </w:p>
        </w:tc>
        <w:tc>
          <w:tcPr>
            <w:tcW w:w="114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64E8D06" w14:textId="77777777" w:rsidR="00436707" w:rsidRPr="00F6205B" w:rsidRDefault="00436707" w:rsidP="0044249F">
            <w:pPr>
              <w:keepNext/>
              <w:keepLines/>
              <w:tabs>
                <w:tab w:val="decimal" w:pos="302"/>
              </w:tabs>
              <w:spacing w:after="0" w:line="240" w:lineRule="auto"/>
              <w:contextualSpacing/>
              <w:jc w:val="center"/>
              <w:rPr>
                <w:sz w:val="20"/>
                <w:szCs w:val="20"/>
              </w:rPr>
            </w:pPr>
            <w:r w:rsidRPr="00F6205B">
              <w:rPr>
                <w:sz w:val="20"/>
                <w:szCs w:val="20"/>
              </w:rPr>
              <w:t>0.3%</w:t>
            </w:r>
          </w:p>
        </w:tc>
        <w:tc>
          <w:tcPr>
            <w:tcW w:w="114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E850861" w14:textId="77777777" w:rsidR="00436707" w:rsidRPr="00F6205B" w:rsidRDefault="00436707" w:rsidP="0044249F">
            <w:pPr>
              <w:keepNext/>
              <w:keepLines/>
              <w:tabs>
                <w:tab w:val="decimal" w:pos="237"/>
              </w:tabs>
              <w:spacing w:after="0" w:line="240" w:lineRule="auto"/>
              <w:contextualSpacing/>
              <w:jc w:val="center"/>
              <w:rPr>
                <w:sz w:val="20"/>
                <w:szCs w:val="20"/>
              </w:rPr>
            </w:pPr>
            <w:r w:rsidRPr="00F6205B">
              <w:rPr>
                <w:sz w:val="20"/>
                <w:szCs w:val="20"/>
              </w:rPr>
              <w:t xml:space="preserve"> 2.0</w:t>
            </w:r>
          </w:p>
        </w:tc>
        <w:tc>
          <w:tcPr>
            <w:tcW w:w="114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09F4BFB" w14:textId="77777777" w:rsidR="00436707" w:rsidRPr="00F6205B" w:rsidRDefault="00436707" w:rsidP="0044249F">
            <w:pPr>
              <w:keepNext/>
              <w:keepLines/>
              <w:tabs>
                <w:tab w:val="decimal" w:pos="232"/>
              </w:tabs>
              <w:spacing w:after="0" w:line="240" w:lineRule="auto"/>
              <w:contextualSpacing/>
              <w:jc w:val="center"/>
              <w:rPr>
                <w:sz w:val="20"/>
                <w:szCs w:val="20"/>
              </w:rPr>
            </w:pPr>
            <w:r w:rsidRPr="00F6205B">
              <w:rPr>
                <w:sz w:val="20"/>
                <w:szCs w:val="20"/>
              </w:rPr>
              <w:t xml:space="preserve"> 1.2</w:t>
            </w:r>
          </w:p>
        </w:tc>
        <w:tc>
          <w:tcPr>
            <w:tcW w:w="114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A328E63" w14:textId="77777777" w:rsidR="00436707" w:rsidRPr="00F6205B" w:rsidRDefault="00436707" w:rsidP="0044249F">
            <w:pPr>
              <w:keepNext/>
              <w:keepLines/>
              <w:tabs>
                <w:tab w:val="decimal" w:pos="197"/>
              </w:tabs>
              <w:spacing w:after="0" w:line="240" w:lineRule="auto"/>
              <w:contextualSpacing/>
              <w:jc w:val="center"/>
              <w:rPr>
                <w:sz w:val="20"/>
                <w:szCs w:val="20"/>
              </w:rPr>
            </w:pPr>
            <w:r w:rsidRPr="00F6205B">
              <w:rPr>
                <w:sz w:val="20"/>
                <w:szCs w:val="20"/>
              </w:rPr>
              <w:t xml:space="preserve"> 0.2</w:t>
            </w:r>
          </w:p>
        </w:tc>
        <w:tc>
          <w:tcPr>
            <w:tcW w:w="1084"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08D3A45" w14:textId="77777777" w:rsidR="00436707" w:rsidRPr="00F6205B" w:rsidRDefault="00436707" w:rsidP="0044249F">
            <w:pPr>
              <w:keepNext/>
              <w:keepLines/>
              <w:tabs>
                <w:tab w:val="decimal" w:pos="312"/>
              </w:tabs>
              <w:spacing w:after="0" w:line="240" w:lineRule="auto"/>
              <w:contextualSpacing/>
              <w:jc w:val="center"/>
              <w:rPr>
                <w:sz w:val="20"/>
                <w:szCs w:val="20"/>
              </w:rPr>
            </w:pPr>
            <w:r w:rsidRPr="00F6205B">
              <w:rPr>
                <w:sz w:val="20"/>
                <w:szCs w:val="20"/>
              </w:rPr>
              <w:t xml:space="preserve"> 20.0</w:t>
            </w:r>
          </w:p>
        </w:tc>
        <w:tc>
          <w:tcPr>
            <w:tcW w:w="1080" w:type="dxa"/>
            <w:tcBorders>
              <w:top w:val="single" w:sz="4" w:space="0" w:color="000000" w:themeColor="text1"/>
              <w:left w:val="single" w:sz="4" w:space="0" w:color="000000" w:themeColor="text1"/>
              <w:bottom w:val="single" w:sz="4" w:space="0" w:color="auto"/>
              <w:right w:val="single" w:sz="4" w:space="0" w:color="auto"/>
            </w:tcBorders>
            <w:vAlign w:val="center"/>
          </w:tcPr>
          <w:p w14:paraId="1501156D" w14:textId="77777777" w:rsidR="00436707" w:rsidRPr="00F6205B" w:rsidRDefault="00436707" w:rsidP="0044249F">
            <w:pPr>
              <w:keepNext/>
              <w:keepLines/>
              <w:tabs>
                <w:tab w:val="decimal" w:pos="128"/>
              </w:tabs>
              <w:spacing w:after="0" w:line="240" w:lineRule="auto"/>
              <w:contextualSpacing/>
              <w:jc w:val="center"/>
              <w:rPr>
                <w:sz w:val="20"/>
                <w:szCs w:val="20"/>
              </w:rPr>
            </w:pPr>
            <w:r w:rsidRPr="00F6205B">
              <w:rPr>
                <w:sz w:val="20"/>
                <w:szCs w:val="20"/>
              </w:rPr>
              <w:t xml:space="preserve"> 0.5</w:t>
            </w:r>
          </w:p>
        </w:tc>
      </w:tr>
      <w:tr w:rsidR="00DC292C" w:rsidRPr="00F6205B" w14:paraId="6EBE9F0D" w14:textId="77777777" w:rsidTr="00A33B8E">
        <w:trPr>
          <w:trHeight w:val="288"/>
          <w:jc w:val="center"/>
        </w:trPr>
        <w:tc>
          <w:tcPr>
            <w:tcW w:w="9789" w:type="dxa"/>
            <w:gridSpan w:val="8"/>
            <w:tcBorders>
              <w:top w:val="single" w:sz="4" w:space="0" w:color="auto"/>
              <w:left w:val="single" w:sz="4" w:space="0" w:color="auto"/>
              <w:bottom w:val="single" w:sz="4" w:space="0" w:color="000000" w:themeColor="text1"/>
              <w:right w:val="single" w:sz="4" w:space="0" w:color="auto"/>
            </w:tcBorders>
            <w:shd w:val="clear" w:color="auto" w:fill="404040" w:themeFill="text1" w:themeFillTint="BF"/>
          </w:tcPr>
          <w:p w14:paraId="3C5A4966" w14:textId="77777777" w:rsidR="00436707" w:rsidRPr="00F6205B" w:rsidRDefault="00436707" w:rsidP="0044249F">
            <w:pPr>
              <w:keepNext/>
              <w:keepLines/>
              <w:spacing w:after="0" w:line="240" w:lineRule="auto"/>
              <w:contextualSpacing/>
              <w:jc w:val="center"/>
              <w:rPr>
                <w:b/>
                <w:color w:val="FFFFFF" w:themeColor="background1"/>
                <w:sz w:val="20"/>
                <w:szCs w:val="20"/>
              </w:rPr>
            </w:pPr>
            <w:r w:rsidRPr="00F6205B">
              <w:rPr>
                <w:b/>
                <w:color w:val="FFFFFF" w:themeColor="background1"/>
                <w:sz w:val="20"/>
                <w:szCs w:val="20"/>
              </w:rPr>
              <w:t>Upgrade DHW Energy Factors</w:t>
            </w:r>
          </w:p>
        </w:tc>
      </w:tr>
      <w:tr w:rsidR="00436707" w:rsidRPr="00F6205B" w14:paraId="1DF98D36" w14:textId="77777777" w:rsidTr="00A33B8E">
        <w:trPr>
          <w:trHeight w:val="288"/>
          <w:jc w:val="center"/>
        </w:trPr>
        <w:tc>
          <w:tcPr>
            <w:tcW w:w="215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1E89D20" w14:textId="77777777" w:rsidR="00436707" w:rsidRPr="00F6205B" w:rsidRDefault="00436707" w:rsidP="0044249F">
            <w:pPr>
              <w:keepNext/>
              <w:keepLines/>
              <w:spacing w:after="0" w:line="240" w:lineRule="auto"/>
              <w:contextualSpacing/>
              <w:jc w:val="right"/>
              <w:rPr>
                <w:sz w:val="20"/>
                <w:szCs w:val="20"/>
              </w:rPr>
            </w:pPr>
            <w:r w:rsidRPr="00F6205B">
              <w:rPr>
                <w:sz w:val="20"/>
                <w:szCs w:val="20"/>
              </w:rPr>
              <w:t>DHW Pipe insulation</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E0A193" w14:textId="77777777" w:rsidR="00436707" w:rsidRPr="00F6205B" w:rsidRDefault="00436707" w:rsidP="0044249F">
            <w:pPr>
              <w:keepNext/>
              <w:keepLines/>
              <w:spacing w:after="0" w:line="240" w:lineRule="auto"/>
              <w:contextualSpacing/>
              <w:jc w:val="center"/>
              <w:rPr>
                <w:i/>
                <w:sz w:val="20"/>
                <w:szCs w:val="20"/>
              </w:rPr>
            </w:pPr>
            <w:r w:rsidRPr="00F6205B">
              <w:rPr>
                <w:i/>
                <w:sz w:val="20"/>
                <w:szCs w:val="20"/>
              </w:rPr>
              <w:t>138</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A37326" w14:textId="77777777" w:rsidR="00436707" w:rsidRPr="00F6205B" w:rsidRDefault="00436707" w:rsidP="0044249F">
            <w:pPr>
              <w:keepNext/>
              <w:keepLines/>
              <w:tabs>
                <w:tab w:val="decimal" w:pos="257"/>
              </w:tabs>
              <w:spacing w:after="0" w:line="240" w:lineRule="auto"/>
              <w:contextualSpacing/>
              <w:jc w:val="center"/>
              <w:rPr>
                <w:sz w:val="20"/>
                <w:szCs w:val="20"/>
              </w:rPr>
            </w:pPr>
            <w:r w:rsidRPr="00F6205B">
              <w:rPr>
                <w:sz w:val="20"/>
                <w:szCs w:val="20"/>
              </w:rPr>
              <w:t>0.2%</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853E44" w14:textId="77777777" w:rsidR="00436707" w:rsidRPr="00F6205B" w:rsidRDefault="00436707" w:rsidP="0044249F">
            <w:pPr>
              <w:keepNext/>
              <w:keepLines/>
              <w:tabs>
                <w:tab w:val="decimal" w:pos="327"/>
              </w:tabs>
              <w:spacing w:after="0" w:line="240" w:lineRule="auto"/>
              <w:contextualSpacing/>
              <w:jc w:val="center"/>
              <w:rPr>
                <w:sz w:val="20"/>
                <w:szCs w:val="20"/>
              </w:rPr>
            </w:pPr>
            <w:r w:rsidRPr="00F6205B">
              <w:rPr>
                <w:sz w:val="20"/>
                <w:szCs w:val="20"/>
              </w:rPr>
              <w:t>1.1</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B278CA" w14:textId="77777777" w:rsidR="00436707" w:rsidRPr="00F6205B" w:rsidRDefault="00436707" w:rsidP="0044249F">
            <w:pPr>
              <w:keepNext/>
              <w:keepLines/>
              <w:tabs>
                <w:tab w:val="decimal" w:pos="262"/>
              </w:tabs>
              <w:spacing w:after="0" w:line="240" w:lineRule="auto"/>
              <w:contextualSpacing/>
              <w:jc w:val="center"/>
              <w:rPr>
                <w:sz w:val="20"/>
                <w:szCs w:val="20"/>
              </w:rPr>
            </w:pPr>
            <w:r w:rsidRPr="00F6205B">
              <w:rPr>
                <w:sz w:val="20"/>
                <w:szCs w:val="20"/>
              </w:rPr>
              <w:t>0.8</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D0BF2A" w14:textId="77777777" w:rsidR="00436707" w:rsidRPr="00F6205B" w:rsidRDefault="00436707" w:rsidP="0044249F">
            <w:pPr>
              <w:keepNext/>
              <w:keepLines/>
              <w:tabs>
                <w:tab w:val="decimal" w:pos="197"/>
              </w:tabs>
              <w:spacing w:after="0" w:line="240" w:lineRule="auto"/>
              <w:contextualSpacing/>
              <w:jc w:val="center"/>
              <w:rPr>
                <w:sz w:val="20"/>
                <w:szCs w:val="20"/>
              </w:rPr>
            </w:pPr>
            <w:r w:rsidRPr="00F6205B">
              <w:rPr>
                <w:sz w:val="20"/>
                <w:szCs w:val="20"/>
              </w:rPr>
              <w:t>0.3</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4289AB" w14:textId="77777777" w:rsidR="00436707" w:rsidRPr="00F6205B" w:rsidRDefault="00436707" w:rsidP="0044249F">
            <w:pPr>
              <w:keepNext/>
              <w:keepLines/>
              <w:tabs>
                <w:tab w:val="decimal" w:pos="342"/>
              </w:tabs>
              <w:spacing w:after="0" w:line="240" w:lineRule="auto"/>
              <w:contextualSpacing/>
              <w:jc w:val="center"/>
              <w:rPr>
                <w:sz w:val="20"/>
                <w:szCs w:val="20"/>
              </w:rPr>
            </w:pPr>
            <w:r w:rsidRPr="00F6205B">
              <w:rPr>
                <w:sz w:val="20"/>
                <w:szCs w:val="20"/>
              </w:rPr>
              <w:t>10.0</w:t>
            </w:r>
          </w:p>
        </w:tc>
        <w:tc>
          <w:tcPr>
            <w:tcW w:w="1080"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DA85609" w14:textId="77777777" w:rsidR="00436707" w:rsidRPr="00F6205B" w:rsidRDefault="00436707" w:rsidP="0044249F">
            <w:pPr>
              <w:keepNext/>
              <w:keepLines/>
              <w:tabs>
                <w:tab w:val="decimal" w:pos="188"/>
              </w:tabs>
              <w:spacing w:after="0" w:line="240" w:lineRule="auto"/>
              <w:contextualSpacing/>
              <w:jc w:val="center"/>
              <w:rPr>
                <w:sz w:val="20"/>
                <w:szCs w:val="20"/>
              </w:rPr>
            </w:pPr>
            <w:r w:rsidRPr="00F6205B">
              <w:rPr>
                <w:sz w:val="20"/>
                <w:szCs w:val="20"/>
              </w:rPr>
              <w:t>0.3</w:t>
            </w:r>
          </w:p>
        </w:tc>
      </w:tr>
      <w:tr w:rsidR="00436707" w:rsidRPr="00F6205B" w14:paraId="5C2D8CC0" w14:textId="77777777" w:rsidTr="00A33B8E">
        <w:trPr>
          <w:trHeight w:val="288"/>
          <w:jc w:val="center"/>
        </w:trPr>
        <w:tc>
          <w:tcPr>
            <w:tcW w:w="215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9AB005A" w14:textId="77777777" w:rsidR="00436707" w:rsidRPr="00F6205B" w:rsidRDefault="00436707" w:rsidP="0044249F">
            <w:pPr>
              <w:keepNext/>
              <w:keepLines/>
              <w:spacing w:after="0" w:line="240" w:lineRule="auto"/>
              <w:contextualSpacing/>
              <w:jc w:val="right"/>
              <w:rPr>
                <w:sz w:val="20"/>
                <w:szCs w:val="20"/>
              </w:rPr>
            </w:pPr>
            <w:r w:rsidRPr="00F6205B">
              <w:rPr>
                <w:sz w:val="20"/>
                <w:szCs w:val="20"/>
              </w:rPr>
              <w:t>Low-flow showerheads</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3924DC" w14:textId="77777777" w:rsidR="00436707" w:rsidRPr="00F6205B" w:rsidRDefault="00436707" w:rsidP="0044249F">
            <w:pPr>
              <w:keepNext/>
              <w:keepLines/>
              <w:spacing w:after="0" w:line="240" w:lineRule="auto"/>
              <w:contextualSpacing/>
              <w:jc w:val="center"/>
              <w:rPr>
                <w:i/>
                <w:sz w:val="20"/>
                <w:szCs w:val="20"/>
              </w:rPr>
            </w:pPr>
            <w:r w:rsidRPr="00F6205B">
              <w:rPr>
                <w:i/>
                <w:sz w:val="20"/>
                <w:szCs w:val="20"/>
              </w:rPr>
              <w:t>180</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47CD30" w14:textId="77777777" w:rsidR="00436707" w:rsidRPr="00F6205B" w:rsidRDefault="00436707" w:rsidP="0044249F">
            <w:pPr>
              <w:keepNext/>
              <w:keepLines/>
              <w:tabs>
                <w:tab w:val="decimal" w:pos="257"/>
              </w:tabs>
              <w:spacing w:after="0" w:line="240" w:lineRule="auto"/>
              <w:contextualSpacing/>
              <w:jc w:val="center"/>
              <w:rPr>
                <w:sz w:val="20"/>
                <w:szCs w:val="20"/>
              </w:rPr>
            </w:pPr>
            <w:r w:rsidRPr="00F6205B">
              <w:rPr>
                <w:sz w:val="20"/>
                <w:szCs w:val="20"/>
              </w:rPr>
              <w:t>0.3%</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9765EE" w14:textId="77777777" w:rsidR="00436707" w:rsidRPr="00F6205B" w:rsidRDefault="00436707" w:rsidP="0044249F">
            <w:pPr>
              <w:keepNext/>
              <w:keepLines/>
              <w:tabs>
                <w:tab w:val="decimal" w:pos="327"/>
              </w:tabs>
              <w:spacing w:after="0" w:line="240" w:lineRule="auto"/>
              <w:contextualSpacing/>
              <w:jc w:val="center"/>
              <w:rPr>
                <w:sz w:val="20"/>
                <w:szCs w:val="20"/>
              </w:rPr>
            </w:pPr>
            <w:r w:rsidRPr="00F6205B">
              <w:rPr>
                <w:sz w:val="20"/>
                <w:szCs w:val="20"/>
              </w:rPr>
              <w:t xml:space="preserve"> 2.0</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2E4C3A" w14:textId="77777777" w:rsidR="00436707" w:rsidRPr="00F6205B" w:rsidRDefault="00436707" w:rsidP="0044249F">
            <w:pPr>
              <w:keepNext/>
              <w:keepLines/>
              <w:tabs>
                <w:tab w:val="decimal" w:pos="262"/>
              </w:tabs>
              <w:spacing w:after="0" w:line="240" w:lineRule="auto"/>
              <w:contextualSpacing/>
              <w:jc w:val="center"/>
              <w:rPr>
                <w:sz w:val="20"/>
                <w:szCs w:val="20"/>
              </w:rPr>
            </w:pPr>
            <w:r w:rsidRPr="00F6205B">
              <w:rPr>
                <w:sz w:val="20"/>
                <w:szCs w:val="20"/>
              </w:rPr>
              <w:t xml:space="preserve"> 0.9</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2F3526" w14:textId="77777777" w:rsidR="00436707" w:rsidRPr="00F6205B" w:rsidRDefault="00436707" w:rsidP="0044249F">
            <w:pPr>
              <w:keepNext/>
              <w:keepLines/>
              <w:tabs>
                <w:tab w:val="decimal" w:pos="197"/>
              </w:tabs>
              <w:spacing w:after="0" w:line="240" w:lineRule="auto"/>
              <w:contextualSpacing/>
              <w:jc w:val="center"/>
              <w:rPr>
                <w:sz w:val="20"/>
                <w:szCs w:val="20"/>
              </w:rPr>
            </w:pPr>
            <w:r w:rsidRPr="00F6205B">
              <w:rPr>
                <w:sz w:val="20"/>
                <w:szCs w:val="20"/>
              </w:rPr>
              <w:t xml:space="preserve"> 0.2</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16B1BE" w14:textId="77777777" w:rsidR="00436707" w:rsidRPr="00F6205B" w:rsidRDefault="00436707" w:rsidP="0044249F">
            <w:pPr>
              <w:keepNext/>
              <w:keepLines/>
              <w:tabs>
                <w:tab w:val="decimal" w:pos="342"/>
              </w:tabs>
              <w:spacing w:after="0" w:line="240" w:lineRule="auto"/>
              <w:contextualSpacing/>
              <w:jc w:val="center"/>
              <w:rPr>
                <w:sz w:val="20"/>
                <w:szCs w:val="20"/>
              </w:rPr>
            </w:pPr>
            <w:r w:rsidRPr="00F6205B">
              <w:rPr>
                <w:sz w:val="20"/>
                <w:szCs w:val="20"/>
              </w:rPr>
              <w:t xml:space="preserve"> 10.2</w:t>
            </w:r>
          </w:p>
        </w:tc>
        <w:tc>
          <w:tcPr>
            <w:tcW w:w="1080"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DADB60B" w14:textId="77777777" w:rsidR="00436707" w:rsidRPr="00F6205B" w:rsidRDefault="00436707" w:rsidP="0044249F">
            <w:pPr>
              <w:keepNext/>
              <w:keepLines/>
              <w:tabs>
                <w:tab w:val="decimal" w:pos="188"/>
              </w:tabs>
              <w:spacing w:after="0" w:line="240" w:lineRule="auto"/>
              <w:contextualSpacing/>
              <w:jc w:val="center"/>
              <w:rPr>
                <w:sz w:val="20"/>
                <w:szCs w:val="20"/>
              </w:rPr>
            </w:pPr>
            <w:r w:rsidRPr="00F6205B">
              <w:rPr>
                <w:sz w:val="20"/>
                <w:szCs w:val="20"/>
              </w:rPr>
              <w:t xml:space="preserve"> 0.4</w:t>
            </w:r>
          </w:p>
        </w:tc>
      </w:tr>
      <w:tr w:rsidR="00436707" w:rsidRPr="00F6205B" w14:paraId="2BAC3125" w14:textId="77777777" w:rsidTr="00A33B8E">
        <w:trPr>
          <w:trHeight w:val="288"/>
          <w:jc w:val="center"/>
        </w:trPr>
        <w:tc>
          <w:tcPr>
            <w:tcW w:w="2157" w:type="dxa"/>
            <w:tcBorders>
              <w:top w:val="single" w:sz="4" w:space="0" w:color="000000" w:themeColor="text1"/>
              <w:left w:val="single" w:sz="4" w:space="0" w:color="auto"/>
              <w:bottom w:val="single" w:sz="4" w:space="0" w:color="auto"/>
              <w:right w:val="single" w:sz="4" w:space="0" w:color="000000" w:themeColor="text1"/>
            </w:tcBorders>
            <w:vAlign w:val="center"/>
          </w:tcPr>
          <w:p w14:paraId="5A7D89E6" w14:textId="77777777" w:rsidR="00436707" w:rsidRPr="00F6205B" w:rsidRDefault="00436707" w:rsidP="0044249F">
            <w:pPr>
              <w:keepNext/>
              <w:keepLines/>
              <w:spacing w:after="0" w:line="240" w:lineRule="auto"/>
              <w:contextualSpacing/>
              <w:jc w:val="right"/>
              <w:rPr>
                <w:sz w:val="20"/>
                <w:szCs w:val="20"/>
              </w:rPr>
            </w:pPr>
            <w:r w:rsidRPr="00F6205B">
              <w:rPr>
                <w:sz w:val="20"/>
                <w:szCs w:val="20"/>
              </w:rPr>
              <w:t>Faucet aerators</w:t>
            </w:r>
          </w:p>
        </w:tc>
        <w:tc>
          <w:tcPr>
            <w:tcW w:w="88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D2028D4" w14:textId="77777777" w:rsidR="00436707" w:rsidRPr="00F6205B" w:rsidRDefault="00436707" w:rsidP="0044249F">
            <w:pPr>
              <w:keepNext/>
              <w:keepLines/>
              <w:spacing w:after="0" w:line="240" w:lineRule="auto"/>
              <w:contextualSpacing/>
              <w:jc w:val="center"/>
              <w:rPr>
                <w:i/>
                <w:sz w:val="20"/>
                <w:szCs w:val="20"/>
              </w:rPr>
            </w:pPr>
            <w:r w:rsidRPr="00F6205B">
              <w:rPr>
                <w:i/>
                <w:sz w:val="20"/>
                <w:szCs w:val="20"/>
              </w:rPr>
              <w:t>180</w:t>
            </w:r>
          </w:p>
        </w:tc>
        <w:tc>
          <w:tcPr>
            <w:tcW w:w="114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5CB128C" w14:textId="77777777" w:rsidR="00436707" w:rsidRPr="00F6205B" w:rsidRDefault="00436707" w:rsidP="0044249F">
            <w:pPr>
              <w:keepNext/>
              <w:keepLines/>
              <w:tabs>
                <w:tab w:val="decimal" w:pos="257"/>
              </w:tabs>
              <w:spacing w:after="0" w:line="240" w:lineRule="auto"/>
              <w:contextualSpacing/>
              <w:jc w:val="center"/>
              <w:rPr>
                <w:sz w:val="20"/>
                <w:szCs w:val="20"/>
              </w:rPr>
            </w:pPr>
            <w:r w:rsidRPr="00F6205B">
              <w:rPr>
                <w:sz w:val="20"/>
                <w:szCs w:val="20"/>
              </w:rPr>
              <w:t>0.2%</w:t>
            </w:r>
          </w:p>
        </w:tc>
        <w:tc>
          <w:tcPr>
            <w:tcW w:w="114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A937448" w14:textId="77777777" w:rsidR="00436707" w:rsidRPr="00F6205B" w:rsidRDefault="00436707" w:rsidP="0044249F">
            <w:pPr>
              <w:keepNext/>
              <w:keepLines/>
              <w:tabs>
                <w:tab w:val="decimal" w:pos="327"/>
              </w:tabs>
              <w:spacing w:after="0" w:line="240" w:lineRule="auto"/>
              <w:contextualSpacing/>
              <w:jc w:val="center"/>
              <w:rPr>
                <w:sz w:val="20"/>
                <w:szCs w:val="20"/>
              </w:rPr>
            </w:pPr>
            <w:r w:rsidRPr="00F6205B">
              <w:rPr>
                <w:sz w:val="20"/>
                <w:szCs w:val="20"/>
              </w:rPr>
              <w:t xml:space="preserve"> 1.6</w:t>
            </w:r>
          </w:p>
        </w:tc>
        <w:tc>
          <w:tcPr>
            <w:tcW w:w="114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5E0A587" w14:textId="77777777" w:rsidR="00436707" w:rsidRPr="00F6205B" w:rsidRDefault="00436707" w:rsidP="0044249F">
            <w:pPr>
              <w:keepNext/>
              <w:keepLines/>
              <w:tabs>
                <w:tab w:val="decimal" w:pos="262"/>
              </w:tabs>
              <w:spacing w:after="0" w:line="240" w:lineRule="auto"/>
              <w:contextualSpacing/>
              <w:jc w:val="center"/>
              <w:rPr>
                <w:sz w:val="20"/>
                <w:szCs w:val="20"/>
              </w:rPr>
            </w:pPr>
            <w:r w:rsidRPr="00F6205B">
              <w:rPr>
                <w:sz w:val="20"/>
                <w:szCs w:val="20"/>
              </w:rPr>
              <w:t xml:space="preserve"> 0.7</w:t>
            </w:r>
          </w:p>
        </w:tc>
        <w:tc>
          <w:tcPr>
            <w:tcW w:w="114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63B0ECD" w14:textId="77777777" w:rsidR="00436707" w:rsidRPr="00F6205B" w:rsidRDefault="00436707" w:rsidP="0044249F">
            <w:pPr>
              <w:keepNext/>
              <w:keepLines/>
              <w:tabs>
                <w:tab w:val="decimal" w:pos="197"/>
              </w:tabs>
              <w:spacing w:after="0" w:line="240" w:lineRule="auto"/>
              <w:contextualSpacing/>
              <w:jc w:val="center"/>
              <w:rPr>
                <w:sz w:val="20"/>
                <w:szCs w:val="20"/>
              </w:rPr>
            </w:pPr>
            <w:r w:rsidRPr="00F6205B">
              <w:rPr>
                <w:sz w:val="20"/>
                <w:szCs w:val="20"/>
              </w:rPr>
              <w:t xml:space="preserve"> 0.2</w:t>
            </w:r>
          </w:p>
        </w:tc>
        <w:tc>
          <w:tcPr>
            <w:tcW w:w="1084"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2B39162" w14:textId="77777777" w:rsidR="00436707" w:rsidRPr="00F6205B" w:rsidRDefault="00436707" w:rsidP="0044249F">
            <w:pPr>
              <w:keepNext/>
              <w:keepLines/>
              <w:tabs>
                <w:tab w:val="decimal" w:pos="342"/>
              </w:tabs>
              <w:spacing w:after="0" w:line="240" w:lineRule="auto"/>
              <w:contextualSpacing/>
              <w:jc w:val="center"/>
              <w:rPr>
                <w:sz w:val="20"/>
                <w:szCs w:val="20"/>
              </w:rPr>
            </w:pPr>
            <w:r w:rsidRPr="00F6205B">
              <w:rPr>
                <w:sz w:val="20"/>
                <w:szCs w:val="20"/>
              </w:rPr>
              <w:t xml:space="preserve"> 8.3</w:t>
            </w:r>
          </w:p>
        </w:tc>
        <w:tc>
          <w:tcPr>
            <w:tcW w:w="1080" w:type="dxa"/>
            <w:tcBorders>
              <w:top w:val="single" w:sz="4" w:space="0" w:color="000000" w:themeColor="text1"/>
              <w:left w:val="single" w:sz="4" w:space="0" w:color="000000" w:themeColor="text1"/>
              <w:bottom w:val="single" w:sz="4" w:space="0" w:color="auto"/>
              <w:right w:val="single" w:sz="4" w:space="0" w:color="auto"/>
            </w:tcBorders>
            <w:vAlign w:val="center"/>
          </w:tcPr>
          <w:p w14:paraId="7DDD3E4E" w14:textId="77777777" w:rsidR="00436707" w:rsidRPr="00F6205B" w:rsidRDefault="00436707" w:rsidP="0044249F">
            <w:pPr>
              <w:keepNext/>
              <w:keepLines/>
              <w:tabs>
                <w:tab w:val="decimal" w:pos="188"/>
              </w:tabs>
              <w:spacing w:after="0" w:line="240" w:lineRule="auto"/>
              <w:contextualSpacing/>
              <w:jc w:val="center"/>
              <w:rPr>
                <w:sz w:val="20"/>
                <w:szCs w:val="20"/>
              </w:rPr>
            </w:pPr>
            <w:r w:rsidRPr="00F6205B">
              <w:rPr>
                <w:sz w:val="20"/>
                <w:szCs w:val="20"/>
              </w:rPr>
              <w:t xml:space="preserve"> 0.3</w:t>
            </w:r>
          </w:p>
        </w:tc>
      </w:tr>
    </w:tbl>
    <w:p w14:paraId="27B3F797" w14:textId="5A59465C" w:rsidR="00436707" w:rsidRPr="00F6205B" w:rsidRDefault="00436707" w:rsidP="007E4AC1">
      <w:pPr>
        <w:keepNext/>
        <w:spacing w:after="0" w:line="240" w:lineRule="auto"/>
        <w:ind w:left="-450"/>
        <w:contextualSpacing/>
        <w:rPr>
          <w:sz w:val="18"/>
          <w:szCs w:val="18"/>
        </w:rPr>
      </w:pPr>
      <w:r w:rsidRPr="00F6205B">
        <w:rPr>
          <w:sz w:val="18"/>
          <w:szCs w:val="18"/>
          <w:vertAlign w:val="superscript"/>
        </w:rPr>
        <w:t>i</w:t>
      </w:r>
      <w:r w:rsidRPr="00F6205B">
        <w:rPr>
          <w:sz w:val="18"/>
          <w:szCs w:val="18"/>
        </w:rPr>
        <w:t xml:space="preserve"> The 2013 Program Savings Document provides no equations which could be</w:t>
      </w:r>
      <w:r w:rsidR="007E4AC1" w:rsidRPr="00F6205B">
        <w:rPr>
          <w:sz w:val="18"/>
          <w:szCs w:val="18"/>
        </w:rPr>
        <w:t xml:space="preserve"> </w:t>
      </w:r>
      <w:r w:rsidRPr="00F6205B">
        <w:rPr>
          <w:sz w:val="18"/>
          <w:szCs w:val="18"/>
        </w:rPr>
        <w:t>used to de-rate pipe insulation savings consistent with the increased mechanical</w:t>
      </w:r>
      <w:r w:rsidR="007E4AC1" w:rsidRPr="00F6205B">
        <w:rPr>
          <w:sz w:val="18"/>
          <w:szCs w:val="18"/>
        </w:rPr>
        <w:t xml:space="preserve"> </w:t>
      </w:r>
      <w:r w:rsidRPr="00F6205B">
        <w:rPr>
          <w:sz w:val="18"/>
          <w:szCs w:val="18"/>
        </w:rPr>
        <w:t>efficiencies in the comprehensive model runs.</w:t>
      </w:r>
    </w:p>
    <w:p w14:paraId="3E2E18FF" w14:textId="77777777" w:rsidR="00436707" w:rsidRPr="00F6205B" w:rsidRDefault="00436707" w:rsidP="007E4AC1">
      <w:pPr>
        <w:keepNext/>
        <w:spacing w:after="0" w:line="240" w:lineRule="auto"/>
        <w:ind w:left="-450"/>
        <w:contextualSpacing/>
        <w:rPr>
          <w:sz w:val="20"/>
        </w:rPr>
      </w:pPr>
      <w:r w:rsidRPr="00F6205B">
        <w:rPr>
          <w:sz w:val="18"/>
          <w:szCs w:val="18"/>
          <w:vertAlign w:val="superscript"/>
        </w:rPr>
        <w:t>ii</w:t>
      </w:r>
      <w:r w:rsidRPr="00F6205B">
        <w:rPr>
          <w:sz w:val="18"/>
          <w:szCs w:val="18"/>
        </w:rPr>
        <w:t xml:space="preserve"> In millions.</w:t>
      </w:r>
      <w:r w:rsidRPr="00F6205B">
        <w:rPr>
          <w:sz w:val="18"/>
          <w:szCs w:val="18"/>
        </w:rPr>
        <w:tab/>
      </w:r>
      <w:r w:rsidRPr="00F6205B">
        <w:rPr>
          <w:sz w:val="18"/>
          <w:szCs w:val="18"/>
        </w:rPr>
        <w:br/>
      </w:r>
    </w:p>
    <w:p w14:paraId="363790B1" w14:textId="43740A7D" w:rsidR="00494699" w:rsidRPr="00F6205B" w:rsidRDefault="00494699" w:rsidP="005A095F">
      <w:pPr>
        <w:spacing w:line="280" w:lineRule="exact"/>
        <w:ind w:right="540"/>
        <w:rPr>
          <w:szCs w:val="20"/>
        </w:rPr>
      </w:pPr>
    </w:p>
    <w:p w14:paraId="0FB2D940" w14:textId="77777777" w:rsidR="003A6CD9" w:rsidRDefault="003A6CD9" w:rsidP="005A095F">
      <w:pPr>
        <w:spacing w:line="280" w:lineRule="exact"/>
        <w:ind w:right="540"/>
        <w:rPr>
          <w:szCs w:val="20"/>
        </w:rPr>
        <w:sectPr w:rsidR="003A6CD9" w:rsidSect="009B5AD3">
          <w:pgSz w:w="12240" w:h="15840"/>
          <w:pgMar w:top="1440" w:right="1872" w:bottom="1440" w:left="1440" w:header="0" w:footer="0" w:gutter="0"/>
          <w:cols w:space="720"/>
          <w:docGrid w:linePitch="272"/>
        </w:sectPr>
      </w:pPr>
    </w:p>
    <w:p w14:paraId="1A327B2B" w14:textId="2B4DD80A" w:rsidR="0044249F" w:rsidRPr="00F6205B" w:rsidRDefault="0044249F" w:rsidP="0044249F">
      <w:pPr>
        <w:pStyle w:val="Heading1"/>
        <w:rPr>
          <w:szCs w:val="20"/>
        </w:rPr>
      </w:pPr>
      <w:bookmarkStart w:id="239" w:name="_Toc439939405"/>
      <w:r w:rsidRPr="00F6205B">
        <w:rPr>
          <w:szCs w:val="20"/>
        </w:rPr>
        <w:lastRenderedPageBreak/>
        <w:t>Cost-Effective</w:t>
      </w:r>
      <w:r w:rsidRPr="00F6205B">
        <mc:AlternateContent>
          <mc:Choice Requires="wps">
            <w:drawing>
              <wp:anchor distT="0" distB="0" distL="114300" distR="114300" simplePos="0" relativeHeight="251704320" behindDoc="0" locked="0" layoutInCell="1" allowOverlap="1" wp14:anchorId="1DABF1C5" wp14:editId="196266F8">
                <wp:simplePos x="0" y="0"/>
                <wp:positionH relativeFrom="column">
                  <wp:posOffset>12700</wp:posOffset>
                </wp:positionH>
                <wp:positionV relativeFrom="paragraph">
                  <wp:posOffset>53340</wp:posOffset>
                </wp:positionV>
                <wp:extent cx="1143000" cy="1143000"/>
                <wp:effectExtent l="0" t="0" r="0" b="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BF752DB" w14:textId="77777777" w:rsidR="009027EC" w:rsidRPr="00691F20" w:rsidRDefault="009027EC" w:rsidP="0044249F">
                            <w:pPr>
                              <w:spacing w:after="0"/>
                              <w:jc w:val="center"/>
                              <w:rPr>
                                <w:b/>
                                <w:color w:val="FFFFFF" w:themeColor="background1"/>
                                <w:sz w:val="134"/>
                                <w:szCs w:val="134"/>
                              </w:rPr>
                            </w:pPr>
                            <w:r>
                              <w:rPr>
                                <w:b/>
                                <w:color w:val="FFFFFF" w:themeColor="background1"/>
                                <w:sz w:val="134"/>
                                <w:szCs w:val="13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1DABF1C5" id="Text Box 47" o:spid="_x0000_s1032" type="#_x0000_t202" style="position:absolute;margin-left:1pt;margin-top:4.2pt;width:90pt;height:9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Ez0yQIAAPEFAAAOAAAAZHJzL2Uyb0RvYy54bWysVFtP2zAUfp+0/2D5vSQpoYWKFIWiTpMq&#10;QIOJZ9dx2gjHx7PdNh3af9+xk5TC9sK0l8T2+c7tO5fLq6aWZCuMrUBlNDmJKRGKQ1GpVUa/P84H&#10;55RYx1TBJCiR0b2w9Gr6+dPlTk/EENYgC2EIGlF2stMZXTunJ1Fk+VrUzJ6AFgqFJZiaObyaVVQY&#10;tkPrtYyGcTyKdmAKbYALa/H1phXSabBfloK7u7K0whGZUYzNha8J36X/RtNLNlkZptcV78Jg/xBF&#10;zSqFTg+mbphjZGOqP0zVFTdgoXQnHOoIyrLiIuSA2STxu2we1kyLkAuSY/WBJvv/zPLb7b0hVZHR&#10;dEyJYjXW6FE0jlxDQ/AJ+dlpO0HYg0aga/Ad6xxytXoB/NkiJDrCtAoW0Z6PpjS1/2OmBBWxBPsD&#10;7d4N99aS9DSOUcRR1l+81Vd1baz7IqAm/pBRg3UNIbDtwroW2kO8NwuyKuaVlOFiVsuZNGTLfA/M&#10;R+PTa58WWn8Dk8qDFXi1Vty+iNBFrRs2wZjx6JE++lDhl9nZeJiPzy4Go/wsGaRJfD7I83g4uJnn&#10;cR6n89lFev2rc9nrB8Zakjx31u2l8Fal+iZKrEfgKkTvJ0Ec4mecC+WSzlpAe1SJQX9EscOHPEJ+&#10;H1FuGUGN4BmUOyjXlQLT9sbbsIvnPuSyxXc90+XtKXDNsgmNOOqbbgnFHnvOQDu1VvN5heVfMOvu&#10;mcExxZbB1ePu8FNK2GUUuhMlazA///bu8Tg9KKVkh2OfUftjw4ygRH5VOFcXSZr6PREuKRYWL+ZY&#10;sjyWqE09A+yqBJec5uHo8U72x9JA/YQbKvdeUcQUR98Z5c70l5lr1xHuOC7yPMBwN2jmFupB837Y&#10;fHs/Nk/M6G4GHLbSLfQrgk3ejUKL9RVSkG8clFWYE890y2tXAdwrYRa6HegX1/E9oF439fQ3AAAA&#10;//8DAFBLAwQUAAYACAAAACEAdAokaNkAAAAHAQAADwAAAGRycy9kb3ducmV2LnhtbEyPMU/DMBCF&#10;dyT+g3VI3ajTqkJRiFMhWsTARMvAeImvSYR9Tm23Sf89zgTbvXund98rt5M14ko+9I4VrJYZCOLG&#10;6Z5bBV/Ht8ccRIjIGo1jUnCjANvq/q7EQruRP+l6iK1IIRwKVNDFOBRShqYji2HpBuLknZy3GJP0&#10;rdQexxRujVxn2ZO02HP60OFArx01P4eLVYBZvQvMe/1uTh/Nbjx/H/1qo9TiYXp5BhFpin/HMOMn&#10;dKgSU+0urIMwCtapSVSQb0DMbj7reh7SRlal/M9f/QIAAP//AwBQSwECLQAUAAYACAAAACEAtoM4&#10;kv4AAADhAQAAEwAAAAAAAAAAAAAAAAAAAAAAW0NvbnRlbnRfVHlwZXNdLnhtbFBLAQItABQABgAI&#10;AAAAIQA4/SH/1gAAAJQBAAALAAAAAAAAAAAAAAAAAC8BAABfcmVscy8ucmVsc1BLAQItABQABgAI&#10;AAAAIQCP4Ez0yQIAAPEFAAAOAAAAAAAAAAAAAAAAAC4CAABkcnMvZTJvRG9jLnhtbFBLAQItABQA&#10;BgAIAAAAIQB0CiRo2QAAAAcBAAAPAAAAAAAAAAAAAAAAACMFAABkcnMvZG93bnJldi54bWxQSwUG&#10;AAAAAAQABADzAAAAKQYAAAAA&#10;" fillcolor="#0f673b" stroked="f">
                <v:path arrowok="t"/>
                <v:textbox>
                  <w:txbxContent>
                    <w:p w14:paraId="3BF752DB" w14:textId="77777777" w:rsidR="009027EC" w:rsidRPr="00691F20" w:rsidRDefault="009027EC" w:rsidP="0044249F">
                      <w:pPr>
                        <w:spacing w:after="0"/>
                        <w:jc w:val="center"/>
                        <w:rPr>
                          <w:b/>
                          <w:color w:val="FFFFFF" w:themeColor="background1"/>
                          <w:sz w:val="134"/>
                          <w:szCs w:val="134"/>
                        </w:rPr>
                      </w:pPr>
                      <w:r>
                        <w:rPr>
                          <w:b/>
                          <w:color w:val="FFFFFF" w:themeColor="background1"/>
                          <w:sz w:val="134"/>
                          <w:szCs w:val="134"/>
                        </w:rPr>
                        <w:t>4</w:t>
                      </w:r>
                    </w:p>
                  </w:txbxContent>
                </v:textbox>
                <w10:wrap type="square"/>
              </v:shape>
            </w:pict>
          </mc:Fallback>
        </mc:AlternateContent>
      </w:r>
      <w:r w:rsidRPr="00F6205B">
        <w:rPr>
          <w:szCs w:val="20"/>
        </w:rPr>
        <w:t xml:space="preserve"> Potential</w:t>
      </w:r>
      <w:bookmarkEnd w:id="239"/>
    </w:p>
    <w:p w14:paraId="34A85A0B" w14:textId="77777777" w:rsidR="0044249F" w:rsidRPr="00F6205B" w:rsidRDefault="0044249F" w:rsidP="0044249F">
      <w:pPr>
        <w:rPr>
          <w:lang w:bidi="ar-SA"/>
        </w:rPr>
      </w:pPr>
      <w:r w:rsidRPr="00F6205B">
        <w:rPr>
          <w:lang w:bidi="ar-SA"/>
        </w:rPr>
        <w:t>This section details potential savings due to cost-effective efficiency measures. Savings used in cost-effectiveness screening were derived from the individual models developed in the technical potential stage of the study, then adjusted to reflect the evolution of codes and standards.</w:t>
      </w:r>
    </w:p>
    <w:p w14:paraId="40A99CE5" w14:textId="77777777" w:rsidR="00E06A9D" w:rsidRPr="00F6205B" w:rsidRDefault="0044249F" w:rsidP="0044249F">
      <w:pPr>
        <w:rPr>
          <w:lang w:bidi="ar-SA"/>
        </w:rPr>
      </w:pPr>
      <w:r w:rsidRPr="00F6205B">
        <w:rPr>
          <w:lang w:bidi="ar-SA"/>
        </w:rPr>
        <w:t xml:space="preserve">The varied characteristics of each of the 180 homes in the sample—for instance, building shell configurations and the capacity of existing HVAC equipment—resulted in varied savings and costs for any one measure between sites. Measures were screened at the site level, and all measures that screened as cost-effective were modeled simultaneously for each site. Savings were assessed </w:t>
      </w:r>
      <w:r w:rsidR="00E06A9D" w:rsidRPr="00F6205B">
        <w:rPr>
          <w:lang w:bidi="ar-SA"/>
        </w:rPr>
        <w:t>by subtracting the consumption of the cost-effective site model from the consumption of the baseline (as-built) model.</w:t>
      </w:r>
    </w:p>
    <w:p w14:paraId="7571C488" w14:textId="77777777" w:rsidR="00A83E9C" w:rsidRPr="00F6205B" w:rsidRDefault="00A83E9C" w:rsidP="007C4D27">
      <w:pPr>
        <w:pStyle w:val="Heading2"/>
        <w:numPr>
          <w:ilvl w:val="0"/>
          <w:numId w:val="0"/>
        </w:numPr>
        <w:jc w:val="both"/>
      </w:pPr>
      <w:bookmarkStart w:id="240" w:name="_Ref390760434"/>
      <w:bookmarkStart w:id="241" w:name="_Toc391887318"/>
      <w:bookmarkStart w:id="242" w:name="_Toc439939406"/>
      <w:r w:rsidRPr="00F6205B">
        <w:t>Results of Cost-Effectiveness Screening</w:t>
      </w:r>
      <w:bookmarkEnd w:id="240"/>
      <w:bookmarkEnd w:id="241"/>
      <w:bookmarkEnd w:id="242"/>
    </w:p>
    <w:p w14:paraId="288D9336" w14:textId="64A3B560" w:rsidR="00A83E9C" w:rsidRPr="00F6205B" w:rsidRDefault="00E26E98" w:rsidP="00A83E9C">
      <w:pPr>
        <w:keepNext/>
      </w:pPr>
      <w:r w:rsidRPr="00F6205B">
        <w:fldChar w:fldCharType="begin"/>
      </w:r>
      <w:r w:rsidRPr="00F6205B">
        <w:instrText xml:space="preserve"> REF _Ref439321264 \h </w:instrText>
      </w:r>
      <w:r w:rsidR="00F6205B">
        <w:instrText xml:space="preserve"> \* MERGEFORMAT </w:instrText>
      </w:r>
      <w:r w:rsidRPr="00F6205B">
        <w:fldChar w:fldCharType="separate"/>
      </w:r>
      <w:r w:rsidR="00FA26A9" w:rsidRPr="00F6205B">
        <w:t xml:space="preserve">Table </w:t>
      </w:r>
      <w:r w:rsidR="00FA26A9">
        <w:rPr>
          <w:noProof/>
        </w:rPr>
        <w:t>23</w:t>
      </w:r>
      <w:r w:rsidRPr="00F6205B">
        <w:fldChar w:fldCharType="end"/>
      </w:r>
      <w:r w:rsidRPr="00F6205B">
        <w:t xml:space="preserve"> and </w:t>
      </w:r>
      <w:r w:rsidRPr="00F6205B">
        <w:fldChar w:fldCharType="begin"/>
      </w:r>
      <w:r w:rsidRPr="00F6205B">
        <w:instrText xml:space="preserve"> REF _Ref439321265 \h </w:instrText>
      </w:r>
      <w:r w:rsidR="00F6205B">
        <w:instrText xml:space="preserve"> \* MERGEFORMAT </w:instrText>
      </w:r>
      <w:r w:rsidRPr="00F6205B">
        <w:fldChar w:fldCharType="separate"/>
      </w:r>
      <w:r w:rsidR="00FA26A9" w:rsidRPr="00F6205B">
        <w:t xml:space="preserve">Table </w:t>
      </w:r>
      <w:r w:rsidR="00FA26A9">
        <w:rPr>
          <w:noProof/>
        </w:rPr>
        <w:t>24</w:t>
      </w:r>
      <w:r w:rsidRPr="00F6205B">
        <w:fldChar w:fldCharType="end"/>
      </w:r>
      <w:r w:rsidRPr="00F6205B">
        <w:t xml:space="preserve"> </w:t>
      </w:r>
      <w:r w:rsidR="000B1450" w:rsidRPr="00F6205B">
        <w:t>present</w:t>
      </w:r>
      <w:r w:rsidR="00A83E9C" w:rsidRPr="00F6205B">
        <w:t xml:space="preserve"> the results of the cost-effectiveness screening. The efficiency levels associated with each of these measures can be found in</w:t>
      </w:r>
      <w:r w:rsidR="0087066E">
        <w:t xml:space="preserve"> </w:t>
      </w:r>
      <w:r w:rsidR="0087066E">
        <w:fldChar w:fldCharType="begin"/>
      </w:r>
      <w:r w:rsidR="0087066E">
        <w:instrText xml:space="preserve"> REF _Ref439690252 \n \h </w:instrText>
      </w:r>
      <w:r w:rsidR="0087066E">
        <w:fldChar w:fldCharType="separate"/>
      </w:r>
      <w:r w:rsidR="00FA26A9">
        <w:t>Appendix B</w:t>
      </w:r>
      <w:r w:rsidR="0087066E">
        <w:fldChar w:fldCharType="end"/>
      </w:r>
      <w:r w:rsidR="00A83E9C" w:rsidRPr="00F6205B">
        <w:t>. As shown,</w:t>
      </w:r>
      <w:r w:rsidR="000B1450" w:rsidRPr="00F6205B">
        <w:t xml:space="preserve"> 20</w:t>
      </w:r>
      <w:r w:rsidR="00A83E9C" w:rsidRPr="00F6205B">
        <w:t xml:space="preserve"> out of the 43 measures have a</w:t>
      </w:r>
      <w:r w:rsidR="00572BA6">
        <w:t>n</w:t>
      </w:r>
      <w:r w:rsidR="00A83E9C" w:rsidRPr="00F6205B">
        <w:t xml:space="preserve"> </w:t>
      </w:r>
      <w:r w:rsidR="00572BA6">
        <w:t xml:space="preserve">average </w:t>
      </w:r>
      <w:r w:rsidR="00A83E9C" w:rsidRPr="00F6205B">
        <w:t xml:space="preserve">TRC benefit/cost ratio greater than one. </w:t>
      </w:r>
    </w:p>
    <w:p w14:paraId="5A55578E" w14:textId="4BE63B1C" w:rsidR="00A83E9C" w:rsidRPr="00F6205B" w:rsidRDefault="00066160" w:rsidP="00F52E2F">
      <w:r>
        <w:t>Some</w:t>
      </w:r>
      <w:r w:rsidR="0035209C">
        <w:t xml:space="preserve"> measures—especially windows—</w:t>
      </w:r>
      <w:r w:rsidR="00A83E9C" w:rsidRPr="00F6205B">
        <w:t xml:space="preserve">show high benefit/cost ratios using the UCT screening results, while the same measures show benefit/cost ratios of less than one when using the TRC screening results. This is </w:t>
      </w:r>
      <w:r w:rsidR="005F1BE1">
        <w:t>because</w:t>
      </w:r>
      <w:r w:rsidR="00A83E9C" w:rsidRPr="00F6205B">
        <w:t xml:space="preserve"> the program incentives for these measures </w:t>
      </w:r>
      <w:r>
        <w:t>cover just</w:t>
      </w:r>
      <w:r w:rsidR="00A83E9C" w:rsidRPr="00F6205B">
        <w:t xml:space="preserve"> a small portion of the</w:t>
      </w:r>
      <w:r>
        <w:t>ir</w:t>
      </w:r>
      <w:r w:rsidR="00A83E9C" w:rsidRPr="00F6205B">
        <w:t xml:space="preserve"> overall cost, leading to high participant costs. </w:t>
      </w:r>
      <w:r>
        <w:t>Because t</w:t>
      </w:r>
      <w:r w:rsidR="00A83E9C" w:rsidRPr="00F6205B">
        <w:t>hese measur</w:t>
      </w:r>
      <w:r>
        <w:t xml:space="preserve">es offer substantial savings, </w:t>
      </w:r>
      <w:r w:rsidR="00A83E9C" w:rsidRPr="00F6205B">
        <w:t xml:space="preserve">benefits </w:t>
      </w:r>
      <w:r>
        <w:t xml:space="preserve">are significant </w:t>
      </w:r>
      <w:r w:rsidR="00A83E9C" w:rsidRPr="00F6205B">
        <w:t>when compared to prog</w:t>
      </w:r>
      <w:r>
        <w:t>ram costs alone; however, high participant costs cancel out those benefits in the TRC test</w:t>
      </w:r>
      <w:r w:rsidR="005F1BE1">
        <w:t>.</w:t>
      </w:r>
    </w:p>
    <w:p w14:paraId="170CD3BB" w14:textId="55D942FF" w:rsidR="00A83E9C" w:rsidRPr="00F6205B" w:rsidRDefault="00A83E9C" w:rsidP="004F23CF">
      <w:pPr>
        <w:pStyle w:val="Caption"/>
      </w:pPr>
      <w:bookmarkStart w:id="243" w:name="_Ref390238621"/>
      <w:bookmarkStart w:id="244" w:name="_Ref439321264"/>
      <w:bookmarkStart w:id="245" w:name="_Toc391887359"/>
      <w:bookmarkStart w:id="246" w:name="_Toc439931854"/>
      <w:r w:rsidRPr="00F6205B">
        <w:lastRenderedPageBreak/>
        <w:t>Table</w:t>
      </w:r>
      <w:bookmarkEnd w:id="243"/>
      <w:r w:rsidR="004F23CF" w:rsidRPr="00F6205B">
        <w:t xml:space="preserve"> </w:t>
      </w:r>
      <w:fldSimple w:instr=" SEQ Table \* ARABIC ">
        <w:r w:rsidR="00FA26A9">
          <w:rPr>
            <w:noProof/>
          </w:rPr>
          <w:t>23</w:t>
        </w:r>
      </w:fldSimple>
      <w:bookmarkEnd w:id="244"/>
      <w:r w:rsidRPr="00F6205B">
        <w:t xml:space="preserve">: </w:t>
      </w:r>
      <w:r w:rsidR="00C00ABF" w:rsidRPr="00F6205B">
        <w:t xml:space="preserve">Screening Results—Measures with </w:t>
      </w:r>
      <w:r w:rsidRPr="00F6205B">
        <w:t xml:space="preserve">Mean TRC Ratio </w:t>
      </w:r>
      <w:r w:rsidR="00C00ABF" w:rsidRPr="00F6205B">
        <w:t>≥</w:t>
      </w:r>
      <w:r w:rsidRPr="00F6205B">
        <w:t xml:space="preserve"> 1.0</w:t>
      </w:r>
      <w:bookmarkEnd w:id="245"/>
      <w:bookmarkEnd w:id="246"/>
    </w:p>
    <w:p w14:paraId="493FE853" w14:textId="51C25038" w:rsidR="006D2026" w:rsidRPr="00F6205B" w:rsidRDefault="006D2026" w:rsidP="006D2026">
      <w:pPr>
        <w:pStyle w:val="Caption"/>
        <w:spacing w:before="0" w:after="120"/>
        <w:rPr>
          <w:b w:val="0"/>
          <w:bCs w:val="0"/>
          <w:sz w:val="18"/>
        </w:rPr>
      </w:pPr>
      <w:r w:rsidRPr="00F6205B">
        <w:rPr>
          <w:b w:val="0"/>
          <w:bCs w:val="0"/>
          <w:sz w:val="18"/>
        </w:rPr>
        <w:t>Base: all single-family homes (population-weighted)</w:t>
      </w:r>
    </w:p>
    <w:tbl>
      <w:tblPr>
        <w:tblW w:w="9441"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456"/>
        <w:gridCol w:w="1197"/>
        <w:gridCol w:w="1197"/>
        <w:gridCol w:w="1197"/>
        <w:gridCol w:w="1197"/>
        <w:gridCol w:w="1197"/>
      </w:tblGrid>
      <w:tr w:rsidR="002B0C53" w:rsidRPr="00F6205B" w14:paraId="07AC5870" w14:textId="77777777" w:rsidTr="00AD4AA9">
        <w:trPr>
          <w:trHeight w:val="288"/>
          <w:jc w:val="center"/>
        </w:trPr>
        <w:tc>
          <w:tcPr>
            <w:tcW w:w="3456" w:type="dxa"/>
            <w:vMerge w:val="restart"/>
            <w:tcBorders>
              <w:top w:val="single" w:sz="4" w:space="0" w:color="auto"/>
              <w:left w:val="single" w:sz="4" w:space="0" w:color="auto"/>
              <w:right w:val="single" w:sz="4" w:space="0" w:color="000000" w:themeColor="text1"/>
            </w:tcBorders>
            <w:shd w:val="clear" w:color="auto" w:fill="0B4D2C" w:themeFill="background2" w:themeFillShade="BF"/>
            <w:vAlign w:val="center"/>
          </w:tcPr>
          <w:p w14:paraId="62236B0C" w14:textId="77777777" w:rsidR="002B0C53" w:rsidRPr="00F6205B" w:rsidRDefault="002B0C53" w:rsidP="00216515">
            <w:pPr>
              <w:keepNext/>
              <w:keepLines/>
              <w:spacing w:after="0"/>
              <w:contextualSpacing/>
              <w:rPr>
                <w:b/>
                <w:sz w:val="20"/>
                <w:szCs w:val="20"/>
              </w:rPr>
            </w:pPr>
            <w:r w:rsidRPr="00F6205B">
              <w:rPr>
                <w:b/>
                <w:sz w:val="20"/>
                <w:szCs w:val="20"/>
              </w:rPr>
              <w:t>Measure</w:t>
            </w:r>
          </w:p>
        </w:tc>
        <w:tc>
          <w:tcPr>
            <w:tcW w:w="1197" w:type="dxa"/>
            <w:vMerge w:val="restart"/>
            <w:tcBorders>
              <w:top w:val="single" w:sz="4" w:space="0" w:color="auto"/>
              <w:left w:val="single" w:sz="4" w:space="0" w:color="000000" w:themeColor="text1"/>
              <w:right w:val="single" w:sz="4" w:space="0" w:color="auto"/>
            </w:tcBorders>
            <w:shd w:val="clear" w:color="auto" w:fill="0B4D2C" w:themeFill="background2" w:themeFillShade="BF"/>
            <w:vAlign w:val="center"/>
          </w:tcPr>
          <w:p w14:paraId="03CE9B75" w14:textId="77777777" w:rsidR="002B0C53" w:rsidRPr="00F6205B" w:rsidRDefault="002B0C53" w:rsidP="001500F0">
            <w:pPr>
              <w:keepNext/>
              <w:keepLines/>
              <w:spacing w:after="0"/>
              <w:contextualSpacing/>
              <w:jc w:val="center"/>
              <w:rPr>
                <w:b/>
                <w:sz w:val="20"/>
                <w:szCs w:val="20"/>
              </w:rPr>
            </w:pPr>
            <w:r w:rsidRPr="00F6205B">
              <w:rPr>
                <w:b/>
                <w:sz w:val="20"/>
                <w:szCs w:val="20"/>
              </w:rPr>
              <w:t># of Sites Measure Applied</w:t>
            </w:r>
          </w:p>
        </w:tc>
        <w:tc>
          <w:tcPr>
            <w:tcW w:w="2394" w:type="dxa"/>
            <w:gridSpan w:val="2"/>
            <w:tcBorders>
              <w:top w:val="single" w:sz="4" w:space="0" w:color="auto"/>
              <w:left w:val="single" w:sz="4" w:space="0" w:color="auto"/>
              <w:bottom w:val="single" w:sz="4" w:space="0" w:color="auto"/>
              <w:right w:val="single" w:sz="4" w:space="0" w:color="auto"/>
            </w:tcBorders>
            <w:shd w:val="clear" w:color="auto" w:fill="0B4D2C" w:themeFill="background2" w:themeFillShade="BF"/>
            <w:vAlign w:val="center"/>
          </w:tcPr>
          <w:p w14:paraId="1B0FA272" w14:textId="2CE0EB35" w:rsidR="002B0C53" w:rsidRPr="00F6205B" w:rsidRDefault="002B0C53" w:rsidP="001500F0">
            <w:pPr>
              <w:keepNext/>
              <w:keepLines/>
              <w:spacing w:after="0"/>
              <w:contextualSpacing/>
              <w:jc w:val="center"/>
              <w:rPr>
                <w:b/>
                <w:sz w:val="20"/>
                <w:szCs w:val="20"/>
              </w:rPr>
            </w:pPr>
            <w:r>
              <w:rPr>
                <w:b/>
                <w:sz w:val="20"/>
                <w:szCs w:val="20"/>
              </w:rPr>
              <w:t>UCT</w:t>
            </w:r>
          </w:p>
        </w:tc>
        <w:tc>
          <w:tcPr>
            <w:tcW w:w="2394" w:type="dxa"/>
            <w:gridSpan w:val="2"/>
            <w:tcBorders>
              <w:top w:val="single" w:sz="4" w:space="0" w:color="auto"/>
              <w:left w:val="single" w:sz="4" w:space="0" w:color="auto"/>
              <w:bottom w:val="single" w:sz="4" w:space="0" w:color="auto"/>
              <w:right w:val="single" w:sz="4" w:space="0" w:color="auto"/>
            </w:tcBorders>
            <w:shd w:val="clear" w:color="auto" w:fill="0B4D2C" w:themeFill="background2" w:themeFillShade="BF"/>
            <w:vAlign w:val="center"/>
          </w:tcPr>
          <w:p w14:paraId="0C006EEE" w14:textId="599C7F62" w:rsidR="002B0C53" w:rsidRPr="00F6205B" w:rsidRDefault="002B0C53" w:rsidP="001500F0">
            <w:pPr>
              <w:keepNext/>
              <w:keepLines/>
              <w:spacing w:after="0"/>
              <w:contextualSpacing/>
              <w:jc w:val="center"/>
              <w:rPr>
                <w:b/>
                <w:sz w:val="20"/>
                <w:szCs w:val="20"/>
              </w:rPr>
            </w:pPr>
            <w:r>
              <w:rPr>
                <w:b/>
                <w:sz w:val="20"/>
                <w:szCs w:val="20"/>
              </w:rPr>
              <w:t>TRC</w:t>
            </w:r>
          </w:p>
        </w:tc>
      </w:tr>
      <w:tr w:rsidR="002B0C53" w:rsidRPr="00F6205B" w14:paraId="2D2927A5" w14:textId="77777777" w:rsidTr="00AD4AA9">
        <w:trPr>
          <w:trHeight w:val="288"/>
          <w:jc w:val="center"/>
        </w:trPr>
        <w:tc>
          <w:tcPr>
            <w:tcW w:w="3456" w:type="dxa"/>
            <w:vMerge/>
            <w:tcBorders>
              <w:left w:val="single" w:sz="4" w:space="0" w:color="auto"/>
              <w:bottom w:val="single" w:sz="4" w:space="0" w:color="auto"/>
              <w:right w:val="single" w:sz="4" w:space="0" w:color="000000" w:themeColor="text1"/>
            </w:tcBorders>
            <w:shd w:val="clear" w:color="auto" w:fill="0B4D2C" w:themeFill="background2" w:themeFillShade="BF"/>
            <w:vAlign w:val="center"/>
          </w:tcPr>
          <w:p w14:paraId="78316535" w14:textId="77777777" w:rsidR="002B0C53" w:rsidRPr="00F6205B" w:rsidRDefault="002B0C53" w:rsidP="002B0C53">
            <w:pPr>
              <w:keepNext/>
              <w:keepLines/>
              <w:spacing w:after="0"/>
              <w:contextualSpacing/>
              <w:rPr>
                <w:b/>
                <w:sz w:val="20"/>
                <w:szCs w:val="20"/>
              </w:rPr>
            </w:pPr>
          </w:p>
        </w:tc>
        <w:tc>
          <w:tcPr>
            <w:tcW w:w="1197" w:type="dxa"/>
            <w:vMerge/>
            <w:tcBorders>
              <w:left w:val="single" w:sz="4" w:space="0" w:color="000000" w:themeColor="text1"/>
              <w:bottom w:val="single" w:sz="4" w:space="0" w:color="auto"/>
              <w:right w:val="single" w:sz="4" w:space="0" w:color="auto"/>
            </w:tcBorders>
            <w:shd w:val="clear" w:color="auto" w:fill="0B4D2C" w:themeFill="background2" w:themeFillShade="BF"/>
            <w:vAlign w:val="center"/>
          </w:tcPr>
          <w:p w14:paraId="1A049ECA" w14:textId="77777777" w:rsidR="002B0C53" w:rsidRPr="00F6205B" w:rsidRDefault="002B0C53" w:rsidP="002B0C53">
            <w:pPr>
              <w:keepNext/>
              <w:keepLines/>
              <w:spacing w:after="0"/>
              <w:contextualSpacing/>
              <w:jc w:val="center"/>
              <w:rPr>
                <w:b/>
                <w:sz w:val="20"/>
                <w:szCs w:val="20"/>
              </w:rPr>
            </w:pPr>
          </w:p>
        </w:tc>
        <w:tc>
          <w:tcPr>
            <w:tcW w:w="1197" w:type="dxa"/>
            <w:tcBorders>
              <w:top w:val="single" w:sz="4" w:space="0" w:color="auto"/>
              <w:left w:val="single" w:sz="4" w:space="0" w:color="auto"/>
              <w:bottom w:val="single" w:sz="4" w:space="0" w:color="auto"/>
              <w:right w:val="single" w:sz="4" w:space="0" w:color="000000" w:themeColor="text1"/>
            </w:tcBorders>
            <w:shd w:val="clear" w:color="auto" w:fill="0B4D2C" w:themeFill="background2" w:themeFillShade="BF"/>
            <w:vAlign w:val="center"/>
          </w:tcPr>
          <w:p w14:paraId="3E4C5AAA" w14:textId="317886B3" w:rsidR="002B0C53" w:rsidRPr="00F6205B" w:rsidRDefault="002B0C53" w:rsidP="002B0C53">
            <w:pPr>
              <w:keepNext/>
              <w:keepLines/>
              <w:spacing w:after="0"/>
              <w:contextualSpacing/>
              <w:jc w:val="center"/>
              <w:rPr>
                <w:b/>
                <w:sz w:val="20"/>
                <w:szCs w:val="20"/>
              </w:rPr>
            </w:pPr>
            <w:r>
              <w:rPr>
                <w:b/>
                <w:sz w:val="20"/>
                <w:szCs w:val="20"/>
              </w:rPr>
              <w:t>Pass %</w:t>
            </w:r>
          </w:p>
        </w:tc>
        <w:tc>
          <w:tcPr>
            <w:tcW w:w="1197" w:type="dxa"/>
            <w:tcBorders>
              <w:top w:val="single" w:sz="4" w:space="0" w:color="auto"/>
              <w:left w:val="single" w:sz="4" w:space="0" w:color="000000" w:themeColor="text1"/>
              <w:bottom w:val="single" w:sz="4" w:space="0" w:color="auto"/>
              <w:right w:val="single" w:sz="4" w:space="0" w:color="auto"/>
            </w:tcBorders>
            <w:shd w:val="clear" w:color="auto" w:fill="0B4D2C" w:themeFill="background2" w:themeFillShade="BF"/>
            <w:vAlign w:val="center"/>
          </w:tcPr>
          <w:p w14:paraId="123EF6D7" w14:textId="77D44E93" w:rsidR="002B0C53" w:rsidRPr="00F6205B" w:rsidRDefault="002B0C53" w:rsidP="002B0C53">
            <w:pPr>
              <w:keepNext/>
              <w:keepLines/>
              <w:spacing w:after="0"/>
              <w:contextualSpacing/>
              <w:jc w:val="center"/>
              <w:rPr>
                <w:b/>
                <w:sz w:val="20"/>
                <w:szCs w:val="20"/>
              </w:rPr>
            </w:pPr>
            <w:r>
              <w:rPr>
                <w:b/>
                <w:sz w:val="20"/>
                <w:szCs w:val="20"/>
              </w:rPr>
              <w:t>Mean Ratio</w:t>
            </w:r>
          </w:p>
        </w:tc>
        <w:tc>
          <w:tcPr>
            <w:tcW w:w="1197" w:type="dxa"/>
            <w:tcBorders>
              <w:top w:val="single" w:sz="4" w:space="0" w:color="auto"/>
              <w:left w:val="single" w:sz="4" w:space="0" w:color="auto"/>
              <w:bottom w:val="single" w:sz="4" w:space="0" w:color="auto"/>
              <w:right w:val="single" w:sz="4" w:space="0" w:color="000000" w:themeColor="text1"/>
            </w:tcBorders>
            <w:shd w:val="clear" w:color="auto" w:fill="0B4D2C" w:themeFill="background2" w:themeFillShade="BF"/>
            <w:vAlign w:val="center"/>
          </w:tcPr>
          <w:p w14:paraId="149049BC" w14:textId="26D75D88" w:rsidR="002B0C53" w:rsidRPr="00F6205B" w:rsidRDefault="002B0C53" w:rsidP="002B0C53">
            <w:pPr>
              <w:keepNext/>
              <w:keepLines/>
              <w:spacing w:after="0"/>
              <w:contextualSpacing/>
              <w:jc w:val="center"/>
              <w:rPr>
                <w:b/>
                <w:sz w:val="20"/>
                <w:szCs w:val="20"/>
              </w:rPr>
            </w:pPr>
            <w:r>
              <w:rPr>
                <w:b/>
                <w:sz w:val="20"/>
                <w:szCs w:val="20"/>
              </w:rPr>
              <w:t>Pass %</w:t>
            </w:r>
          </w:p>
        </w:tc>
        <w:tc>
          <w:tcPr>
            <w:tcW w:w="1197" w:type="dxa"/>
            <w:tcBorders>
              <w:top w:val="single" w:sz="4" w:space="0" w:color="auto"/>
              <w:left w:val="single" w:sz="4" w:space="0" w:color="000000" w:themeColor="text1"/>
              <w:bottom w:val="single" w:sz="4" w:space="0" w:color="auto"/>
              <w:right w:val="single" w:sz="4" w:space="0" w:color="auto"/>
            </w:tcBorders>
            <w:shd w:val="clear" w:color="auto" w:fill="0B4D2C" w:themeFill="background2" w:themeFillShade="BF"/>
            <w:vAlign w:val="center"/>
          </w:tcPr>
          <w:p w14:paraId="7E696A8A" w14:textId="2F2BF543" w:rsidR="002B0C53" w:rsidRPr="00F6205B" w:rsidRDefault="002B0C53" w:rsidP="002B0C53">
            <w:pPr>
              <w:keepNext/>
              <w:keepLines/>
              <w:spacing w:after="0"/>
              <w:contextualSpacing/>
              <w:jc w:val="center"/>
              <w:rPr>
                <w:b/>
                <w:sz w:val="20"/>
                <w:szCs w:val="20"/>
              </w:rPr>
            </w:pPr>
            <w:r>
              <w:rPr>
                <w:b/>
                <w:sz w:val="20"/>
                <w:szCs w:val="20"/>
              </w:rPr>
              <w:t>Mean Ratio</w:t>
            </w:r>
          </w:p>
        </w:tc>
      </w:tr>
      <w:tr w:rsidR="002B0C53" w:rsidRPr="00F6205B" w14:paraId="2F477EDA" w14:textId="77777777" w:rsidTr="007344D5">
        <w:trPr>
          <w:trHeight w:val="288"/>
          <w:jc w:val="center"/>
        </w:trPr>
        <w:tc>
          <w:tcPr>
            <w:tcW w:w="3456" w:type="dxa"/>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tcPr>
          <w:p w14:paraId="79C96819" w14:textId="52EA8472" w:rsidR="002B0C53" w:rsidRPr="00F6205B" w:rsidRDefault="002B0C53" w:rsidP="002B0C53">
            <w:pPr>
              <w:keepNext/>
              <w:keepLines/>
              <w:contextualSpacing/>
              <w:rPr>
                <w:color w:val="000000"/>
                <w:sz w:val="20"/>
                <w:szCs w:val="20"/>
              </w:rPr>
            </w:pPr>
            <w:r w:rsidRPr="00F6205B">
              <w:rPr>
                <w:color w:val="000000"/>
                <w:sz w:val="20"/>
                <w:szCs w:val="20"/>
              </w:rPr>
              <w:t>Dishwasher</w:t>
            </w:r>
          </w:p>
        </w:tc>
        <w:tc>
          <w:tcPr>
            <w:tcW w:w="1197" w:type="dxa"/>
            <w:tcBorders>
              <w:top w:val="single" w:sz="4" w:space="0" w:color="auto"/>
              <w:left w:val="single" w:sz="4" w:space="0" w:color="000000" w:themeColor="text1"/>
              <w:bottom w:val="single" w:sz="4" w:space="0" w:color="000000" w:themeColor="text1"/>
              <w:right w:val="single" w:sz="4" w:space="0" w:color="auto"/>
            </w:tcBorders>
            <w:shd w:val="clear" w:color="auto" w:fill="auto"/>
            <w:vAlign w:val="center"/>
          </w:tcPr>
          <w:p w14:paraId="3EAB75C0" w14:textId="037AB58B" w:rsidR="002B0C53" w:rsidRPr="00F6205B" w:rsidRDefault="002B0C53" w:rsidP="002B0C53">
            <w:pPr>
              <w:keepNext/>
              <w:keepLines/>
              <w:contextualSpacing/>
              <w:jc w:val="center"/>
              <w:rPr>
                <w:color w:val="000000"/>
                <w:sz w:val="20"/>
                <w:szCs w:val="20"/>
              </w:rPr>
            </w:pPr>
            <w:r w:rsidRPr="00F6205B">
              <w:rPr>
                <w:color w:val="000000"/>
                <w:sz w:val="20"/>
                <w:szCs w:val="20"/>
              </w:rPr>
              <w:t>153</w:t>
            </w:r>
          </w:p>
        </w:tc>
        <w:tc>
          <w:tcPr>
            <w:tcW w:w="1197" w:type="dxa"/>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tcPr>
          <w:p w14:paraId="52D12B87" w14:textId="280206A2" w:rsidR="002B0C53" w:rsidRPr="00F6205B" w:rsidRDefault="002B0C53" w:rsidP="002B0C53">
            <w:pPr>
              <w:keepNext/>
              <w:keepLines/>
              <w:contextualSpacing/>
              <w:jc w:val="center"/>
              <w:rPr>
                <w:color w:val="000000"/>
                <w:sz w:val="20"/>
                <w:szCs w:val="20"/>
              </w:rPr>
            </w:pPr>
            <w:r>
              <w:rPr>
                <w:color w:val="000000"/>
                <w:sz w:val="20"/>
                <w:szCs w:val="20"/>
              </w:rPr>
              <w:t>--</w:t>
            </w:r>
          </w:p>
        </w:tc>
        <w:tc>
          <w:tcPr>
            <w:tcW w:w="1197" w:type="dxa"/>
            <w:tcBorders>
              <w:top w:val="single" w:sz="4" w:space="0" w:color="auto"/>
              <w:left w:val="single" w:sz="4" w:space="0" w:color="000000" w:themeColor="text1"/>
              <w:bottom w:val="single" w:sz="4" w:space="0" w:color="000000" w:themeColor="text1"/>
              <w:right w:val="single" w:sz="4" w:space="0" w:color="auto"/>
            </w:tcBorders>
            <w:shd w:val="clear" w:color="auto" w:fill="auto"/>
            <w:vAlign w:val="center"/>
          </w:tcPr>
          <w:p w14:paraId="3D7FBFA5" w14:textId="70C53E0E" w:rsidR="002B0C53" w:rsidRPr="00F6205B" w:rsidRDefault="002B0C53" w:rsidP="002B0C53">
            <w:pPr>
              <w:keepNext/>
              <w:keepLines/>
              <w:contextualSpacing/>
              <w:jc w:val="center"/>
              <w:rPr>
                <w:color w:val="000000"/>
                <w:sz w:val="20"/>
                <w:szCs w:val="20"/>
              </w:rPr>
            </w:pPr>
            <w:r>
              <w:rPr>
                <w:color w:val="000000"/>
                <w:sz w:val="20"/>
                <w:szCs w:val="20"/>
              </w:rPr>
              <w:t>--</w:t>
            </w:r>
          </w:p>
        </w:tc>
        <w:tc>
          <w:tcPr>
            <w:tcW w:w="1197" w:type="dxa"/>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tcPr>
          <w:p w14:paraId="68E80278" w14:textId="1E04CA23" w:rsidR="002B0C53" w:rsidRPr="00F6205B" w:rsidRDefault="002B0C53" w:rsidP="002B0C53">
            <w:pPr>
              <w:keepNext/>
              <w:keepLines/>
              <w:contextualSpacing/>
              <w:jc w:val="center"/>
              <w:rPr>
                <w:color w:val="000000"/>
                <w:sz w:val="20"/>
                <w:szCs w:val="20"/>
              </w:rPr>
            </w:pPr>
            <w:r w:rsidRPr="00F6205B">
              <w:rPr>
                <w:color w:val="000000"/>
                <w:sz w:val="20"/>
                <w:szCs w:val="20"/>
              </w:rPr>
              <w:t>55%</w:t>
            </w:r>
          </w:p>
        </w:tc>
        <w:tc>
          <w:tcPr>
            <w:tcW w:w="1197" w:type="dxa"/>
            <w:tcBorders>
              <w:top w:val="single" w:sz="4" w:space="0" w:color="auto"/>
              <w:left w:val="single" w:sz="4" w:space="0" w:color="000000" w:themeColor="text1"/>
              <w:bottom w:val="single" w:sz="4" w:space="0" w:color="000000" w:themeColor="text1"/>
              <w:right w:val="single" w:sz="4" w:space="0" w:color="auto"/>
            </w:tcBorders>
            <w:shd w:val="clear" w:color="auto" w:fill="auto"/>
            <w:vAlign w:val="center"/>
          </w:tcPr>
          <w:p w14:paraId="27B39428" w14:textId="024DF84E" w:rsidR="002B0C53" w:rsidRPr="00F6205B" w:rsidRDefault="002B0C53" w:rsidP="002B0C53">
            <w:pPr>
              <w:keepNext/>
              <w:keepLines/>
              <w:contextualSpacing/>
              <w:jc w:val="center"/>
              <w:rPr>
                <w:color w:val="000000"/>
                <w:sz w:val="20"/>
                <w:szCs w:val="20"/>
              </w:rPr>
            </w:pPr>
            <w:r w:rsidRPr="00F6205B">
              <w:rPr>
                <w:color w:val="000000"/>
                <w:sz w:val="20"/>
                <w:szCs w:val="20"/>
              </w:rPr>
              <w:t>8.5</w:t>
            </w:r>
          </w:p>
        </w:tc>
      </w:tr>
      <w:tr w:rsidR="002B0C53" w:rsidRPr="00F6205B" w14:paraId="22BA7842" w14:textId="77777777" w:rsidTr="007344D5">
        <w:trPr>
          <w:trHeight w:val="288"/>
          <w:jc w:val="center"/>
        </w:trPr>
        <w:tc>
          <w:tcPr>
            <w:tcW w:w="345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64DA2D23" w14:textId="2280F97E" w:rsidR="002B0C53" w:rsidRPr="00F6205B" w:rsidRDefault="002B0C53" w:rsidP="002B0C53">
            <w:pPr>
              <w:keepNext/>
              <w:keepLines/>
              <w:contextualSpacing/>
              <w:rPr>
                <w:color w:val="000000"/>
                <w:sz w:val="20"/>
                <w:szCs w:val="20"/>
              </w:rPr>
            </w:pPr>
            <w:r w:rsidRPr="00F6205B">
              <w:rPr>
                <w:color w:val="000000"/>
                <w:sz w:val="20"/>
                <w:szCs w:val="20"/>
              </w:rPr>
              <w:t>Faucet aerators</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21027D8B" w14:textId="71C71590" w:rsidR="002B0C53" w:rsidRPr="00F6205B" w:rsidRDefault="002B0C53" w:rsidP="002B0C53">
            <w:pPr>
              <w:keepNext/>
              <w:keepLines/>
              <w:contextualSpacing/>
              <w:jc w:val="center"/>
              <w:rPr>
                <w:color w:val="000000"/>
                <w:sz w:val="20"/>
                <w:szCs w:val="20"/>
              </w:rPr>
            </w:pPr>
            <w:r w:rsidRPr="00F6205B">
              <w:rPr>
                <w:color w:val="000000"/>
                <w:sz w:val="20"/>
                <w:szCs w:val="20"/>
              </w:rPr>
              <w:t>180</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77971190" w14:textId="4EAC093D" w:rsidR="002B0C53" w:rsidRPr="00F6205B" w:rsidRDefault="002B0C53" w:rsidP="002B0C53">
            <w:pPr>
              <w:keepNext/>
              <w:keepLines/>
              <w:contextualSpacing/>
              <w:jc w:val="center"/>
              <w:rPr>
                <w:color w:val="000000"/>
                <w:sz w:val="20"/>
                <w:szCs w:val="20"/>
              </w:rPr>
            </w:pPr>
            <w:r>
              <w:rPr>
                <w:color w:val="000000"/>
                <w:sz w:val="20"/>
                <w:szCs w:val="20"/>
              </w:rPr>
              <w:t>98%</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7989B9DE" w14:textId="351341D8" w:rsidR="002B0C53" w:rsidRPr="00F6205B" w:rsidRDefault="002B0C53" w:rsidP="002B0C53">
            <w:pPr>
              <w:keepNext/>
              <w:keepLines/>
              <w:contextualSpacing/>
              <w:jc w:val="center"/>
              <w:rPr>
                <w:color w:val="000000"/>
                <w:sz w:val="20"/>
                <w:szCs w:val="20"/>
              </w:rPr>
            </w:pPr>
            <w:r>
              <w:rPr>
                <w:color w:val="000000"/>
                <w:sz w:val="20"/>
                <w:szCs w:val="20"/>
              </w:rPr>
              <w:t>4.4</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33AC83E4" w14:textId="381E904C" w:rsidR="002B0C53" w:rsidRPr="00F6205B" w:rsidRDefault="002B0C53" w:rsidP="002B0C53">
            <w:pPr>
              <w:keepNext/>
              <w:keepLines/>
              <w:contextualSpacing/>
              <w:jc w:val="center"/>
              <w:rPr>
                <w:color w:val="000000"/>
                <w:sz w:val="20"/>
                <w:szCs w:val="20"/>
              </w:rPr>
            </w:pPr>
            <w:r w:rsidRPr="00F6205B">
              <w:rPr>
                <w:color w:val="000000"/>
                <w:sz w:val="20"/>
                <w:szCs w:val="20"/>
              </w:rPr>
              <w:t>100%</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7C4CA09C" w14:textId="6E792182" w:rsidR="002B0C53" w:rsidRPr="00F6205B" w:rsidRDefault="002B0C53" w:rsidP="002B0C53">
            <w:pPr>
              <w:keepNext/>
              <w:keepLines/>
              <w:contextualSpacing/>
              <w:jc w:val="center"/>
              <w:rPr>
                <w:color w:val="000000"/>
                <w:sz w:val="20"/>
                <w:szCs w:val="20"/>
              </w:rPr>
            </w:pPr>
            <w:r w:rsidRPr="00F6205B">
              <w:rPr>
                <w:color w:val="000000"/>
                <w:sz w:val="20"/>
                <w:szCs w:val="20"/>
              </w:rPr>
              <w:t>6.3</w:t>
            </w:r>
          </w:p>
        </w:tc>
      </w:tr>
      <w:tr w:rsidR="002B0C53" w:rsidRPr="00F6205B" w14:paraId="58F731C6" w14:textId="77777777" w:rsidTr="007344D5">
        <w:trPr>
          <w:trHeight w:val="288"/>
          <w:jc w:val="center"/>
        </w:trPr>
        <w:tc>
          <w:tcPr>
            <w:tcW w:w="345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66A451EB" w14:textId="1BDCF6BC" w:rsidR="002B0C53" w:rsidRPr="00F6205B" w:rsidRDefault="002B0C53" w:rsidP="002B0C53">
            <w:pPr>
              <w:keepNext/>
              <w:keepLines/>
              <w:contextualSpacing/>
              <w:rPr>
                <w:color w:val="000000"/>
                <w:sz w:val="20"/>
                <w:szCs w:val="20"/>
              </w:rPr>
            </w:pPr>
            <w:r w:rsidRPr="00F6205B">
              <w:rPr>
                <w:color w:val="000000"/>
                <w:sz w:val="20"/>
                <w:szCs w:val="20"/>
              </w:rPr>
              <w:t>Water heater tank wrap</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48E78B53" w14:textId="49F1D319" w:rsidR="002B0C53" w:rsidRPr="00F6205B" w:rsidRDefault="002B0C53" w:rsidP="002B0C53">
            <w:pPr>
              <w:keepNext/>
              <w:keepLines/>
              <w:contextualSpacing/>
              <w:jc w:val="center"/>
              <w:rPr>
                <w:color w:val="000000"/>
                <w:sz w:val="20"/>
                <w:szCs w:val="20"/>
              </w:rPr>
            </w:pPr>
            <w:r w:rsidRPr="00F6205B">
              <w:rPr>
                <w:color w:val="000000"/>
                <w:sz w:val="20"/>
                <w:szCs w:val="20"/>
              </w:rPr>
              <w:t>102</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75D8B8A7" w14:textId="031D4382" w:rsidR="002B0C53" w:rsidRPr="00F6205B" w:rsidRDefault="002B0C53" w:rsidP="002B0C53">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1630E624" w14:textId="7959BD8F" w:rsidR="002B0C53" w:rsidRPr="00F6205B" w:rsidRDefault="002B0C53" w:rsidP="002B0C53">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6CF9B623" w14:textId="6BE8D401" w:rsidR="002B0C53" w:rsidRPr="00F6205B" w:rsidRDefault="002B0C53" w:rsidP="002B0C53">
            <w:pPr>
              <w:keepNext/>
              <w:keepLines/>
              <w:contextualSpacing/>
              <w:jc w:val="center"/>
              <w:rPr>
                <w:color w:val="000000"/>
                <w:sz w:val="20"/>
                <w:szCs w:val="20"/>
              </w:rPr>
            </w:pPr>
            <w:r w:rsidRPr="00F6205B">
              <w:rPr>
                <w:color w:val="000000"/>
                <w:sz w:val="20"/>
                <w:szCs w:val="20"/>
              </w:rPr>
              <w:t>90%</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42CD4C5C" w14:textId="283937D1" w:rsidR="002B0C53" w:rsidRPr="00F6205B" w:rsidRDefault="002B0C53" w:rsidP="002B0C53">
            <w:pPr>
              <w:keepNext/>
              <w:keepLines/>
              <w:contextualSpacing/>
              <w:jc w:val="center"/>
              <w:rPr>
                <w:color w:val="000000"/>
                <w:sz w:val="20"/>
                <w:szCs w:val="20"/>
              </w:rPr>
            </w:pPr>
            <w:r w:rsidRPr="00F6205B">
              <w:rPr>
                <w:color w:val="000000"/>
                <w:sz w:val="20"/>
                <w:szCs w:val="20"/>
              </w:rPr>
              <w:t>6.2</w:t>
            </w:r>
          </w:p>
        </w:tc>
      </w:tr>
      <w:tr w:rsidR="002B0C53" w:rsidRPr="00F6205B" w14:paraId="083874BF" w14:textId="77777777" w:rsidTr="007344D5">
        <w:trPr>
          <w:trHeight w:val="288"/>
          <w:jc w:val="center"/>
        </w:trPr>
        <w:tc>
          <w:tcPr>
            <w:tcW w:w="345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1E3D564B" w14:textId="6AF3F850" w:rsidR="002B0C53" w:rsidRPr="00F6205B" w:rsidRDefault="002B0C53" w:rsidP="002B0C53">
            <w:pPr>
              <w:keepNext/>
              <w:keepLines/>
              <w:contextualSpacing/>
              <w:rPr>
                <w:color w:val="000000"/>
                <w:sz w:val="20"/>
                <w:szCs w:val="20"/>
              </w:rPr>
            </w:pPr>
            <w:r w:rsidRPr="00F6205B">
              <w:rPr>
                <w:color w:val="000000"/>
                <w:sz w:val="20"/>
                <w:szCs w:val="20"/>
              </w:rPr>
              <w:t>Heat pump water heater</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32243B29" w14:textId="2070D6D7" w:rsidR="002B0C53" w:rsidRPr="00F6205B" w:rsidRDefault="002B0C53" w:rsidP="002B0C53">
            <w:pPr>
              <w:keepNext/>
              <w:keepLines/>
              <w:contextualSpacing/>
              <w:jc w:val="center"/>
              <w:rPr>
                <w:color w:val="000000"/>
                <w:sz w:val="20"/>
                <w:szCs w:val="20"/>
              </w:rPr>
            </w:pPr>
            <w:r w:rsidRPr="00F6205B">
              <w:rPr>
                <w:color w:val="000000"/>
                <w:sz w:val="20"/>
                <w:szCs w:val="20"/>
              </w:rPr>
              <w:t>42</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32FE6B69" w14:textId="0183AF56" w:rsidR="002B0C53" w:rsidRPr="00F6205B" w:rsidRDefault="002B0C53" w:rsidP="002B0C53">
            <w:pPr>
              <w:keepNext/>
              <w:keepLines/>
              <w:contextualSpacing/>
              <w:jc w:val="center"/>
              <w:rPr>
                <w:color w:val="000000"/>
                <w:sz w:val="20"/>
                <w:szCs w:val="20"/>
              </w:rPr>
            </w:pPr>
            <w:r>
              <w:rPr>
                <w:color w:val="000000"/>
                <w:sz w:val="20"/>
                <w:szCs w:val="20"/>
              </w:rPr>
              <w:t>100%</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656B7AFA" w14:textId="51A1E3B7" w:rsidR="002B0C53" w:rsidRPr="00F6205B" w:rsidRDefault="002B0C53" w:rsidP="002B0C53">
            <w:pPr>
              <w:keepNext/>
              <w:keepLines/>
              <w:contextualSpacing/>
              <w:jc w:val="center"/>
              <w:rPr>
                <w:color w:val="000000"/>
                <w:sz w:val="20"/>
                <w:szCs w:val="20"/>
              </w:rPr>
            </w:pPr>
            <w:r>
              <w:rPr>
                <w:color w:val="000000"/>
                <w:sz w:val="20"/>
                <w:szCs w:val="20"/>
              </w:rPr>
              <w:t>9.6</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6759AEDF" w14:textId="6025A564" w:rsidR="002B0C53" w:rsidRPr="00F6205B" w:rsidRDefault="002B0C53" w:rsidP="002B0C53">
            <w:pPr>
              <w:keepNext/>
              <w:keepLines/>
              <w:contextualSpacing/>
              <w:jc w:val="center"/>
              <w:rPr>
                <w:color w:val="000000"/>
                <w:sz w:val="20"/>
                <w:szCs w:val="20"/>
              </w:rPr>
            </w:pPr>
            <w:r w:rsidRPr="00F6205B">
              <w:rPr>
                <w:color w:val="000000"/>
                <w:sz w:val="20"/>
                <w:szCs w:val="20"/>
              </w:rPr>
              <w:t>98%</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769689FC" w14:textId="1DA892D2" w:rsidR="002B0C53" w:rsidRPr="00F6205B" w:rsidRDefault="002B0C53" w:rsidP="002B0C53">
            <w:pPr>
              <w:keepNext/>
              <w:keepLines/>
              <w:contextualSpacing/>
              <w:jc w:val="center"/>
              <w:rPr>
                <w:color w:val="000000"/>
                <w:sz w:val="20"/>
                <w:szCs w:val="20"/>
              </w:rPr>
            </w:pPr>
            <w:r w:rsidRPr="00F6205B">
              <w:rPr>
                <w:color w:val="000000"/>
                <w:sz w:val="20"/>
                <w:szCs w:val="20"/>
              </w:rPr>
              <w:t>4.7</w:t>
            </w:r>
          </w:p>
        </w:tc>
      </w:tr>
      <w:tr w:rsidR="002B0C53" w:rsidRPr="00F6205B" w14:paraId="393BCD35" w14:textId="77777777" w:rsidTr="007344D5">
        <w:trPr>
          <w:trHeight w:val="288"/>
          <w:jc w:val="center"/>
        </w:trPr>
        <w:tc>
          <w:tcPr>
            <w:tcW w:w="345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78E381F3" w14:textId="3963234A" w:rsidR="002B0C53" w:rsidRPr="00F6205B" w:rsidRDefault="002B0C53" w:rsidP="002B0C53">
            <w:pPr>
              <w:keepNext/>
              <w:keepLines/>
              <w:contextualSpacing/>
              <w:rPr>
                <w:color w:val="000000"/>
                <w:sz w:val="20"/>
                <w:szCs w:val="20"/>
              </w:rPr>
            </w:pPr>
            <w:r w:rsidRPr="00F6205B">
              <w:rPr>
                <w:color w:val="000000"/>
                <w:sz w:val="20"/>
                <w:szCs w:val="20"/>
              </w:rPr>
              <w:t>Freezer</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4AFD3AD1" w14:textId="5DBCEAE5" w:rsidR="002B0C53" w:rsidRPr="00F6205B" w:rsidRDefault="002B0C53" w:rsidP="002B0C53">
            <w:pPr>
              <w:keepNext/>
              <w:keepLines/>
              <w:contextualSpacing/>
              <w:jc w:val="center"/>
              <w:rPr>
                <w:color w:val="000000"/>
                <w:sz w:val="20"/>
                <w:szCs w:val="20"/>
              </w:rPr>
            </w:pPr>
            <w:r w:rsidRPr="00F6205B">
              <w:rPr>
                <w:color w:val="000000"/>
                <w:sz w:val="20"/>
                <w:szCs w:val="20"/>
              </w:rPr>
              <w:t>60</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6FC6415C" w14:textId="4148AC1A" w:rsidR="002B0C53" w:rsidRPr="00F6205B" w:rsidRDefault="002B0C53" w:rsidP="002B0C53">
            <w:pPr>
              <w:keepNext/>
              <w:keepLines/>
              <w:contextualSpacing/>
              <w:jc w:val="center"/>
              <w:rPr>
                <w:color w:val="000000"/>
                <w:sz w:val="20"/>
                <w:szCs w:val="20"/>
              </w:rPr>
            </w:pPr>
            <w:r>
              <w:rPr>
                <w:color w:val="000000"/>
                <w:sz w:val="20"/>
                <w:szCs w:val="20"/>
              </w:rPr>
              <w:t>72%</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23C653AB" w14:textId="44A9AE0C" w:rsidR="002B0C53" w:rsidRPr="00F6205B" w:rsidRDefault="002B0C53" w:rsidP="002B0C53">
            <w:pPr>
              <w:keepNext/>
              <w:keepLines/>
              <w:contextualSpacing/>
              <w:jc w:val="center"/>
              <w:rPr>
                <w:color w:val="000000"/>
                <w:sz w:val="20"/>
                <w:szCs w:val="20"/>
              </w:rPr>
            </w:pPr>
            <w:r>
              <w:rPr>
                <w:color w:val="000000"/>
                <w:sz w:val="20"/>
                <w:szCs w:val="20"/>
              </w:rPr>
              <w:t>7.8</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0A849AAB" w14:textId="3C998565" w:rsidR="002B0C53" w:rsidRPr="00F6205B" w:rsidRDefault="002B0C53" w:rsidP="002B0C53">
            <w:pPr>
              <w:keepNext/>
              <w:keepLines/>
              <w:contextualSpacing/>
              <w:jc w:val="center"/>
              <w:rPr>
                <w:color w:val="000000"/>
                <w:sz w:val="20"/>
                <w:szCs w:val="20"/>
              </w:rPr>
            </w:pPr>
            <w:r w:rsidRPr="00F6205B">
              <w:rPr>
                <w:color w:val="000000"/>
                <w:sz w:val="20"/>
                <w:szCs w:val="20"/>
              </w:rPr>
              <w:t>82%</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1C2E59E8" w14:textId="14A253EB" w:rsidR="002B0C53" w:rsidRPr="00F6205B" w:rsidRDefault="002B0C53" w:rsidP="002B0C53">
            <w:pPr>
              <w:keepNext/>
              <w:keepLines/>
              <w:contextualSpacing/>
              <w:jc w:val="center"/>
              <w:rPr>
                <w:color w:val="000000"/>
                <w:sz w:val="20"/>
                <w:szCs w:val="20"/>
              </w:rPr>
            </w:pPr>
            <w:r w:rsidRPr="00F6205B">
              <w:rPr>
                <w:color w:val="000000"/>
                <w:sz w:val="20"/>
                <w:szCs w:val="20"/>
              </w:rPr>
              <w:t>3.9</w:t>
            </w:r>
          </w:p>
        </w:tc>
      </w:tr>
      <w:tr w:rsidR="002B0C53" w:rsidRPr="00F6205B" w14:paraId="3565E4DC" w14:textId="77777777" w:rsidTr="007344D5">
        <w:trPr>
          <w:trHeight w:val="288"/>
          <w:jc w:val="center"/>
        </w:trPr>
        <w:tc>
          <w:tcPr>
            <w:tcW w:w="345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463C3F5F" w14:textId="1137DA60" w:rsidR="002B0C53" w:rsidRPr="00F6205B" w:rsidRDefault="002B0C53" w:rsidP="002B0C53">
            <w:pPr>
              <w:keepNext/>
              <w:keepLines/>
              <w:contextualSpacing/>
              <w:rPr>
                <w:color w:val="000000"/>
                <w:sz w:val="20"/>
                <w:szCs w:val="20"/>
              </w:rPr>
            </w:pPr>
            <w:r w:rsidRPr="00F6205B">
              <w:rPr>
                <w:color w:val="000000"/>
                <w:sz w:val="20"/>
                <w:szCs w:val="20"/>
              </w:rPr>
              <w:t>Duct sealing</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1058068B" w14:textId="58EA4697" w:rsidR="002B0C53" w:rsidRPr="00F6205B" w:rsidRDefault="002B0C53" w:rsidP="002B0C53">
            <w:pPr>
              <w:keepNext/>
              <w:keepLines/>
              <w:contextualSpacing/>
              <w:jc w:val="center"/>
              <w:rPr>
                <w:color w:val="000000"/>
                <w:sz w:val="20"/>
                <w:szCs w:val="20"/>
              </w:rPr>
            </w:pPr>
            <w:r w:rsidRPr="00F6205B">
              <w:rPr>
                <w:color w:val="000000"/>
                <w:sz w:val="20"/>
                <w:szCs w:val="20"/>
              </w:rPr>
              <w:t>50</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1BFFAC9C" w14:textId="1ABC459E" w:rsidR="002B0C53" w:rsidRPr="00F6205B" w:rsidRDefault="002B0C53" w:rsidP="002B0C53">
            <w:pPr>
              <w:keepNext/>
              <w:keepLines/>
              <w:contextualSpacing/>
              <w:jc w:val="center"/>
              <w:rPr>
                <w:color w:val="000000"/>
                <w:sz w:val="20"/>
                <w:szCs w:val="20"/>
              </w:rPr>
            </w:pPr>
            <w:r>
              <w:rPr>
                <w:color w:val="000000"/>
                <w:sz w:val="20"/>
                <w:szCs w:val="20"/>
              </w:rPr>
              <w:t>92%</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3A8D934C" w14:textId="31D624B9" w:rsidR="002B0C53" w:rsidRPr="00F6205B" w:rsidRDefault="002B0C53" w:rsidP="002B0C53">
            <w:pPr>
              <w:keepNext/>
              <w:keepLines/>
              <w:contextualSpacing/>
              <w:jc w:val="center"/>
              <w:rPr>
                <w:color w:val="000000"/>
                <w:sz w:val="20"/>
                <w:szCs w:val="20"/>
              </w:rPr>
            </w:pPr>
            <w:r>
              <w:rPr>
                <w:color w:val="000000"/>
                <w:sz w:val="20"/>
                <w:szCs w:val="20"/>
              </w:rPr>
              <w:t>3.1</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64588E0B" w14:textId="15E171FF" w:rsidR="002B0C53" w:rsidRPr="00F6205B" w:rsidRDefault="002B0C53" w:rsidP="002B0C53">
            <w:pPr>
              <w:keepNext/>
              <w:keepLines/>
              <w:contextualSpacing/>
              <w:jc w:val="center"/>
              <w:rPr>
                <w:color w:val="000000"/>
                <w:sz w:val="20"/>
                <w:szCs w:val="20"/>
              </w:rPr>
            </w:pPr>
            <w:r w:rsidRPr="00F6205B">
              <w:rPr>
                <w:color w:val="000000"/>
                <w:sz w:val="20"/>
                <w:szCs w:val="20"/>
              </w:rPr>
              <w:t>84%</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344E281E" w14:textId="79143424" w:rsidR="002B0C53" w:rsidRPr="00F6205B" w:rsidRDefault="002B0C53" w:rsidP="002B0C53">
            <w:pPr>
              <w:keepNext/>
              <w:keepLines/>
              <w:contextualSpacing/>
              <w:jc w:val="center"/>
              <w:rPr>
                <w:color w:val="000000"/>
                <w:sz w:val="20"/>
                <w:szCs w:val="20"/>
              </w:rPr>
            </w:pPr>
            <w:r w:rsidRPr="00F6205B">
              <w:rPr>
                <w:color w:val="000000"/>
                <w:sz w:val="20"/>
                <w:szCs w:val="20"/>
              </w:rPr>
              <w:t>2.7</w:t>
            </w:r>
          </w:p>
        </w:tc>
      </w:tr>
      <w:tr w:rsidR="002B0C53" w:rsidRPr="00F6205B" w14:paraId="6F8416AE" w14:textId="77777777" w:rsidTr="007344D5">
        <w:trPr>
          <w:trHeight w:val="288"/>
          <w:jc w:val="center"/>
        </w:trPr>
        <w:tc>
          <w:tcPr>
            <w:tcW w:w="345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21099D39" w14:textId="0B246258" w:rsidR="002B0C53" w:rsidRPr="00F6205B" w:rsidRDefault="002B0C53" w:rsidP="002B0C53">
            <w:pPr>
              <w:keepNext/>
              <w:keepLines/>
              <w:contextualSpacing/>
              <w:rPr>
                <w:color w:val="000000"/>
                <w:sz w:val="20"/>
                <w:szCs w:val="20"/>
              </w:rPr>
            </w:pPr>
            <w:r w:rsidRPr="00F6205B">
              <w:rPr>
                <w:color w:val="000000"/>
                <w:sz w:val="20"/>
                <w:szCs w:val="20"/>
              </w:rPr>
              <w:t>Oil furnace</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08E14A42" w14:textId="1578F7BD" w:rsidR="002B0C53" w:rsidRPr="00F6205B" w:rsidRDefault="002B0C53" w:rsidP="002B0C53">
            <w:pPr>
              <w:keepNext/>
              <w:keepLines/>
              <w:contextualSpacing/>
              <w:jc w:val="center"/>
              <w:rPr>
                <w:color w:val="000000"/>
                <w:sz w:val="20"/>
                <w:szCs w:val="20"/>
              </w:rPr>
            </w:pPr>
            <w:r w:rsidRPr="00F6205B">
              <w:rPr>
                <w:color w:val="000000"/>
                <w:sz w:val="20"/>
                <w:szCs w:val="20"/>
              </w:rPr>
              <w:t>28</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45EA8272" w14:textId="69A6C4B7" w:rsidR="002B0C53" w:rsidRPr="00F6205B" w:rsidRDefault="002B0C53" w:rsidP="002B0C53">
            <w:pPr>
              <w:keepNext/>
              <w:keepLines/>
              <w:contextualSpacing/>
              <w:jc w:val="center"/>
              <w:rPr>
                <w:color w:val="000000"/>
                <w:sz w:val="20"/>
                <w:szCs w:val="20"/>
              </w:rPr>
            </w:pPr>
            <w:r>
              <w:rPr>
                <w:color w:val="000000"/>
                <w:sz w:val="20"/>
                <w:szCs w:val="20"/>
              </w:rPr>
              <w:t>94%</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509B194B" w14:textId="10B9EFCE" w:rsidR="002B0C53" w:rsidRPr="00F6205B" w:rsidRDefault="002B0C53" w:rsidP="002B0C53">
            <w:pPr>
              <w:keepNext/>
              <w:keepLines/>
              <w:contextualSpacing/>
              <w:jc w:val="center"/>
              <w:rPr>
                <w:color w:val="000000"/>
                <w:sz w:val="20"/>
                <w:szCs w:val="20"/>
              </w:rPr>
            </w:pPr>
            <w:r>
              <w:rPr>
                <w:color w:val="000000"/>
                <w:sz w:val="20"/>
                <w:szCs w:val="20"/>
              </w:rPr>
              <w:t>12.3</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69262FD4" w14:textId="52374FD4" w:rsidR="002B0C53" w:rsidRPr="00F6205B" w:rsidRDefault="002B0C53" w:rsidP="002B0C53">
            <w:pPr>
              <w:keepNext/>
              <w:keepLines/>
              <w:contextualSpacing/>
              <w:jc w:val="center"/>
              <w:rPr>
                <w:color w:val="000000"/>
                <w:sz w:val="20"/>
                <w:szCs w:val="20"/>
              </w:rPr>
            </w:pPr>
            <w:r w:rsidRPr="00F6205B">
              <w:rPr>
                <w:color w:val="000000"/>
                <w:sz w:val="20"/>
                <w:szCs w:val="20"/>
              </w:rPr>
              <w:t>89%</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7905D332" w14:textId="7919DB86" w:rsidR="002B0C53" w:rsidRPr="00F6205B" w:rsidRDefault="002B0C53" w:rsidP="002B0C53">
            <w:pPr>
              <w:keepNext/>
              <w:keepLines/>
              <w:contextualSpacing/>
              <w:jc w:val="center"/>
              <w:rPr>
                <w:color w:val="000000"/>
                <w:sz w:val="20"/>
                <w:szCs w:val="20"/>
              </w:rPr>
            </w:pPr>
            <w:r w:rsidRPr="00F6205B">
              <w:rPr>
                <w:color w:val="000000"/>
                <w:sz w:val="20"/>
                <w:szCs w:val="20"/>
              </w:rPr>
              <w:t>2.5</w:t>
            </w:r>
          </w:p>
        </w:tc>
      </w:tr>
      <w:tr w:rsidR="002B0C53" w:rsidRPr="00F6205B" w14:paraId="4FC9DE40" w14:textId="77777777" w:rsidTr="007344D5">
        <w:trPr>
          <w:trHeight w:val="288"/>
          <w:jc w:val="center"/>
        </w:trPr>
        <w:tc>
          <w:tcPr>
            <w:tcW w:w="345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3966F23E" w14:textId="7713B120" w:rsidR="002B0C53" w:rsidRPr="00F6205B" w:rsidRDefault="002B0C53" w:rsidP="002B0C53">
            <w:pPr>
              <w:keepNext/>
              <w:keepLines/>
              <w:contextualSpacing/>
              <w:rPr>
                <w:color w:val="000000"/>
                <w:sz w:val="20"/>
                <w:szCs w:val="20"/>
              </w:rPr>
            </w:pPr>
            <w:r w:rsidRPr="00F6205B">
              <w:rPr>
                <w:color w:val="000000"/>
                <w:sz w:val="20"/>
                <w:szCs w:val="20"/>
              </w:rPr>
              <w:t>Air sealing</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3D68170E" w14:textId="745F857E" w:rsidR="002B0C53" w:rsidRPr="00F6205B" w:rsidRDefault="002B0C53" w:rsidP="002B0C53">
            <w:pPr>
              <w:keepNext/>
              <w:keepLines/>
              <w:contextualSpacing/>
              <w:jc w:val="center"/>
              <w:rPr>
                <w:color w:val="000000"/>
                <w:sz w:val="20"/>
                <w:szCs w:val="20"/>
              </w:rPr>
            </w:pPr>
            <w:r w:rsidRPr="00F6205B">
              <w:rPr>
                <w:color w:val="000000"/>
                <w:sz w:val="20"/>
                <w:szCs w:val="20"/>
              </w:rPr>
              <w:t>142</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5D494874" w14:textId="416D5313" w:rsidR="002B0C53" w:rsidRPr="00F6205B" w:rsidRDefault="002B0C53" w:rsidP="002B0C53">
            <w:pPr>
              <w:keepNext/>
              <w:keepLines/>
              <w:contextualSpacing/>
              <w:jc w:val="center"/>
              <w:rPr>
                <w:color w:val="000000"/>
                <w:sz w:val="20"/>
                <w:szCs w:val="20"/>
              </w:rPr>
            </w:pPr>
            <w:r>
              <w:rPr>
                <w:color w:val="000000"/>
                <w:sz w:val="20"/>
                <w:szCs w:val="20"/>
              </w:rPr>
              <w:t>94%</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5F6D7835" w14:textId="44C81560" w:rsidR="002B0C53" w:rsidRPr="00F6205B" w:rsidRDefault="002B0C53" w:rsidP="002B0C53">
            <w:pPr>
              <w:keepNext/>
              <w:keepLines/>
              <w:contextualSpacing/>
              <w:jc w:val="center"/>
              <w:rPr>
                <w:color w:val="000000"/>
                <w:sz w:val="20"/>
                <w:szCs w:val="20"/>
              </w:rPr>
            </w:pPr>
            <w:r>
              <w:rPr>
                <w:color w:val="000000"/>
                <w:sz w:val="20"/>
                <w:szCs w:val="20"/>
              </w:rPr>
              <w:t>2.2</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05A982F1" w14:textId="5CCA1B2D" w:rsidR="002B0C53" w:rsidRPr="00F6205B" w:rsidRDefault="002B0C53" w:rsidP="002B0C53">
            <w:pPr>
              <w:keepNext/>
              <w:keepLines/>
              <w:contextualSpacing/>
              <w:jc w:val="center"/>
              <w:rPr>
                <w:color w:val="000000"/>
                <w:sz w:val="20"/>
                <w:szCs w:val="20"/>
              </w:rPr>
            </w:pPr>
            <w:r w:rsidRPr="00F6205B">
              <w:rPr>
                <w:color w:val="000000"/>
                <w:sz w:val="20"/>
                <w:szCs w:val="20"/>
              </w:rPr>
              <w:t>96%</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53110A6D" w14:textId="6EA5211C" w:rsidR="002B0C53" w:rsidRPr="00F6205B" w:rsidRDefault="002B0C53" w:rsidP="002B0C53">
            <w:pPr>
              <w:keepNext/>
              <w:keepLines/>
              <w:contextualSpacing/>
              <w:jc w:val="center"/>
              <w:rPr>
                <w:color w:val="000000"/>
                <w:sz w:val="20"/>
                <w:szCs w:val="20"/>
              </w:rPr>
            </w:pPr>
            <w:r w:rsidRPr="00F6205B">
              <w:rPr>
                <w:color w:val="000000"/>
                <w:sz w:val="20"/>
                <w:szCs w:val="20"/>
              </w:rPr>
              <w:t>2.5</w:t>
            </w:r>
          </w:p>
        </w:tc>
      </w:tr>
      <w:tr w:rsidR="002B0C53" w:rsidRPr="00F6205B" w14:paraId="78986D71" w14:textId="77777777" w:rsidTr="007344D5">
        <w:trPr>
          <w:trHeight w:val="288"/>
          <w:jc w:val="center"/>
        </w:trPr>
        <w:tc>
          <w:tcPr>
            <w:tcW w:w="345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0E60113F" w14:textId="15D9B586" w:rsidR="002B0C53" w:rsidRPr="00F6205B" w:rsidRDefault="002B0C53" w:rsidP="002B0C53">
            <w:pPr>
              <w:keepNext/>
              <w:keepLines/>
              <w:contextualSpacing/>
              <w:rPr>
                <w:color w:val="000000"/>
                <w:sz w:val="20"/>
                <w:szCs w:val="20"/>
              </w:rPr>
            </w:pPr>
            <w:r w:rsidRPr="00F6205B">
              <w:rPr>
                <w:color w:val="000000"/>
                <w:sz w:val="20"/>
                <w:szCs w:val="20"/>
              </w:rPr>
              <w:t>Low-flow showerheads</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1682691E" w14:textId="6A675FDE" w:rsidR="002B0C53" w:rsidRPr="00F6205B" w:rsidRDefault="002B0C53" w:rsidP="002B0C53">
            <w:pPr>
              <w:keepNext/>
              <w:keepLines/>
              <w:contextualSpacing/>
              <w:jc w:val="center"/>
              <w:rPr>
                <w:color w:val="000000"/>
                <w:sz w:val="20"/>
                <w:szCs w:val="20"/>
              </w:rPr>
            </w:pPr>
            <w:r w:rsidRPr="00F6205B">
              <w:rPr>
                <w:color w:val="000000"/>
                <w:sz w:val="20"/>
                <w:szCs w:val="20"/>
              </w:rPr>
              <w:t>180</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24076576" w14:textId="0A38C965" w:rsidR="002B0C53" w:rsidRPr="00F6205B" w:rsidRDefault="002B0C53" w:rsidP="002B0C53">
            <w:pPr>
              <w:keepNext/>
              <w:keepLines/>
              <w:contextualSpacing/>
              <w:jc w:val="center"/>
              <w:rPr>
                <w:color w:val="000000"/>
                <w:sz w:val="20"/>
                <w:szCs w:val="20"/>
              </w:rPr>
            </w:pPr>
            <w:r>
              <w:rPr>
                <w:color w:val="000000"/>
                <w:sz w:val="20"/>
                <w:szCs w:val="20"/>
              </w:rPr>
              <w:t>83%</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4ACC373C" w14:textId="7EAF365E" w:rsidR="002B0C53" w:rsidRPr="00F6205B" w:rsidRDefault="002B0C53" w:rsidP="002B0C53">
            <w:pPr>
              <w:keepNext/>
              <w:keepLines/>
              <w:contextualSpacing/>
              <w:jc w:val="center"/>
              <w:rPr>
                <w:color w:val="000000"/>
                <w:sz w:val="20"/>
                <w:szCs w:val="20"/>
              </w:rPr>
            </w:pPr>
            <w:r>
              <w:rPr>
                <w:color w:val="000000"/>
                <w:sz w:val="20"/>
                <w:szCs w:val="20"/>
              </w:rPr>
              <w:t>2.1</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176FCAB2" w14:textId="391D19A4" w:rsidR="002B0C53" w:rsidRPr="00F6205B" w:rsidRDefault="002B0C53" w:rsidP="002B0C53">
            <w:pPr>
              <w:keepNext/>
              <w:keepLines/>
              <w:contextualSpacing/>
              <w:jc w:val="center"/>
              <w:rPr>
                <w:color w:val="000000"/>
                <w:sz w:val="20"/>
                <w:szCs w:val="20"/>
              </w:rPr>
            </w:pPr>
            <w:r w:rsidRPr="00F6205B">
              <w:rPr>
                <w:color w:val="000000"/>
                <w:sz w:val="20"/>
                <w:szCs w:val="20"/>
              </w:rPr>
              <w:t>99%</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36BFD699" w14:textId="40EA15CE" w:rsidR="002B0C53" w:rsidRPr="00F6205B" w:rsidRDefault="002B0C53" w:rsidP="002B0C53">
            <w:pPr>
              <w:keepNext/>
              <w:keepLines/>
              <w:contextualSpacing/>
              <w:jc w:val="center"/>
              <w:rPr>
                <w:color w:val="000000"/>
                <w:sz w:val="20"/>
                <w:szCs w:val="20"/>
              </w:rPr>
            </w:pPr>
            <w:r w:rsidRPr="00F6205B">
              <w:rPr>
                <w:color w:val="000000"/>
                <w:sz w:val="20"/>
                <w:szCs w:val="20"/>
              </w:rPr>
              <w:t>2.2</w:t>
            </w:r>
          </w:p>
        </w:tc>
      </w:tr>
      <w:tr w:rsidR="002B0C53" w:rsidRPr="00F6205B" w14:paraId="156C7218" w14:textId="77777777" w:rsidTr="007344D5">
        <w:trPr>
          <w:trHeight w:val="288"/>
          <w:jc w:val="center"/>
        </w:trPr>
        <w:tc>
          <w:tcPr>
            <w:tcW w:w="345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0AAB7B4B" w14:textId="7AEA662E" w:rsidR="002B0C53" w:rsidRPr="00F6205B" w:rsidRDefault="002B0C53" w:rsidP="002B0C53">
            <w:pPr>
              <w:keepNext/>
              <w:keepLines/>
              <w:contextualSpacing/>
              <w:rPr>
                <w:color w:val="000000"/>
                <w:sz w:val="20"/>
                <w:szCs w:val="20"/>
              </w:rPr>
            </w:pPr>
            <w:r w:rsidRPr="00F6205B">
              <w:rPr>
                <w:color w:val="000000"/>
                <w:sz w:val="20"/>
                <w:szCs w:val="20"/>
              </w:rPr>
              <w:t>Efficient lighting</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6FA5ADCE" w14:textId="03F1950B" w:rsidR="002B0C53" w:rsidRPr="00F6205B" w:rsidRDefault="002B0C53" w:rsidP="002B0C53">
            <w:pPr>
              <w:keepNext/>
              <w:keepLines/>
              <w:contextualSpacing/>
              <w:jc w:val="center"/>
              <w:rPr>
                <w:color w:val="000000"/>
                <w:sz w:val="20"/>
                <w:szCs w:val="20"/>
              </w:rPr>
            </w:pPr>
            <w:r w:rsidRPr="00F6205B">
              <w:rPr>
                <w:color w:val="000000"/>
                <w:sz w:val="20"/>
                <w:szCs w:val="20"/>
              </w:rPr>
              <w:t>180</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4209B591" w14:textId="70406EBF" w:rsidR="002B0C53" w:rsidRPr="00F6205B" w:rsidRDefault="002B0C53" w:rsidP="002B0C53">
            <w:pPr>
              <w:keepNext/>
              <w:keepLines/>
              <w:contextualSpacing/>
              <w:jc w:val="center"/>
              <w:rPr>
                <w:color w:val="000000"/>
                <w:sz w:val="20"/>
                <w:szCs w:val="20"/>
              </w:rPr>
            </w:pPr>
            <w:r>
              <w:rPr>
                <w:color w:val="000000"/>
                <w:sz w:val="20"/>
                <w:szCs w:val="20"/>
              </w:rPr>
              <w:t>87%</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09874DBA" w14:textId="2B9ACB9A" w:rsidR="002B0C53" w:rsidRPr="00F6205B" w:rsidRDefault="002B0C53" w:rsidP="002B0C53">
            <w:pPr>
              <w:keepNext/>
              <w:keepLines/>
              <w:contextualSpacing/>
              <w:jc w:val="center"/>
              <w:rPr>
                <w:color w:val="000000"/>
                <w:sz w:val="20"/>
                <w:szCs w:val="20"/>
              </w:rPr>
            </w:pPr>
            <w:r>
              <w:rPr>
                <w:color w:val="000000"/>
                <w:sz w:val="20"/>
                <w:szCs w:val="20"/>
              </w:rPr>
              <w:t>1.7</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26BD8814" w14:textId="07DDD80D" w:rsidR="002B0C53" w:rsidRPr="00F6205B" w:rsidRDefault="002B0C53" w:rsidP="002B0C53">
            <w:pPr>
              <w:keepNext/>
              <w:keepLines/>
              <w:contextualSpacing/>
              <w:jc w:val="center"/>
              <w:rPr>
                <w:color w:val="000000"/>
                <w:sz w:val="20"/>
                <w:szCs w:val="20"/>
              </w:rPr>
            </w:pPr>
            <w:r w:rsidRPr="00F6205B">
              <w:rPr>
                <w:color w:val="000000"/>
                <w:sz w:val="20"/>
                <w:szCs w:val="20"/>
              </w:rPr>
              <w:t>100%</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501A20E3" w14:textId="721EF3E4" w:rsidR="002B0C53" w:rsidRPr="00F6205B" w:rsidRDefault="002B0C53" w:rsidP="002B0C53">
            <w:pPr>
              <w:keepNext/>
              <w:keepLines/>
              <w:contextualSpacing/>
              <w:jc w:val="center"/>
              <w:rPr>
                <w:color w:val="000000"/>
                <w:sz w:val="20"/>
                <w:szCs w:val="20"/>
              </w:rPr>
            </w:pPr>
            <w:r w:rsidRPr="00F6205B">
              <w:rPr>
                <w:color w:val="000000"/>
                <w:sz w:val="20"/>
                <w:szCs w:val="20"/>
              </w:rPr>
              <w:t>2.2</w:t>
            </w:r>
          </w:p>
        </w:tc>
      </w:tr>
      <w:tr w:rsidR="002B0C53" w:rsidRPr="00F6205B" w14:paraId="7E173013" w14:textId="77777777" w:rsidTr="007344D5">
        <w:trPr>
          <w:trHeight w:val="288"/>
          <w:jc w:val="center"/>
        </w:trPr>
        <w:tc>
          <w:tcPr>
            <w:tcW w:w="345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7C61BD16" w14:textId="19BC5167" w:rsidR="002B0C53" w:rsidRPr="00F6205B" w:rsidRDefault="002B0C53" w:rsidP="002B0C53">
            <w:pPr>
              <w:keepNext/>
              <w:keepLines/>
              <w:contextualSpacing/>
              <w:rPr>
                <w:color w:val="000000"/>
                <w:sz w:val="20"/>
                <w:szCs w:val="20"/>
              </w:rPr>
            </w:pPr>
            <w:r w:rsidRPr="00F6205B">
              <w:rPr>
                <w:color w:val="000000"/>
                <w:sz w:val="20"/>
                <w:szCs w:val="20"/>
              </w:rPr>
              <w:t>Clothes washer</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4C9FE1F0" w14:textId="2817BCBF" w:rsidR="002B0C53" w:rsidRPr="00F6205B" w:rsidRDefault="002B0C53" w:rsidP="002B0C53">
            <w:pPr>
              <w:keepNext/>
              <w:keepLines/>
              <w:contextualSpacing/>
              <w:jc w:val="center"/>
              <w:rPr>
                <w:color w:val="000000"/>
                <w:sz w:val="20"/>
                <w:szCs w:val="20"/>
              </w:rPr>
            </w:pPr>
            <w:r w:rsidRPr="00F6205B">
              <w:rPr>
                <w:color w:val="000000"/>
                <w:sz w:val="20"/>
                <w:szCs w:val="20"/>
              </w:rPr>
              <w:t>177</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2CAB9239" w14:textId="02BA1300" w:rsidR="002B0C53" w:rsidRPr="00F6205B" w:rsidRDefault="002B0C53" w:rsidP="002B0C53">
            <w:pPr>
              <w:keepNext/>
              <w:keepLines/>
              <w:contextualSpacing/>
              <w:jc w:val="center"/>
              <w:rPr>
                <w:color w:val="000000"/>
                <w:sz w:val="20"/>
                <w:szCs w:val="20"/>
              </w:rPr>
            </w:pPr>
            <w:r>
              <w:rPr>
                <w:color w:val="000000"/>
                <w:sz w:val="20"/>
                <w:szCs w:val="20"/>
              </w:rPr>
              <w:t>100%</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4D156CF9" w14:textId="4B0E5382" w:rsidR="002B0C53" w:rsidRPr="00F6205B" w:rsidRDefault="002B0C53" w:rsidP="002B0C53">
            <w:pPr>
              <w:keepNext/>
              <w:keepLines/>
              <w:contextualSpacing/>
              <w:jc w:val="center"/>
              <w:rPr>
                <w:color w:val="000000"/>
                <w:sz w:val="20"/>
                <w:szCs w:val="20"/>
              </w:rPr>
            </w:pPr>
            <w:r>
              <w:rPr>
                <w:color w:val="000000"/>
                <w:sz w:val="20"/>
                <w:szCs w:val="20"/>
              </w:rPr>
              <w:t>14.5</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4A02653F" w14:textId="081AE94E" w:rsidR="002B0C53" w:rsidRPr="00F6205B" w:rsidRDefault="002B0C53" w:rsidP="002B0C53">
            <w:pPr>
              <w:keepNext/>
              <w:keepLines/>
              <w:contextualSpacing/>
              <w:jc w:val="center"/>
              <w:rPr>
                <w:color w:val="000000"/>
                <w:sz w:val="20"/>
                <w:szCs w:val="20"/>
              </w:rPr>
            </w:pPr>
            <w:r w:rsidRPr="00F6205B">
              <w:rPr>
                <w:color w:val="000000"/>
                <w:sz w:val="20"/>
                <w:szCs w:val="20"/>
              </w:rPr>
              <w:t>98%</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58F30517" w14:textId="635BEC29" w:rsidR="002B0C53" w:rsidRPr="00F6205B" w:rsidRDefault="002B0C53" w:rsidP="002B0C53">
            <w:pPr>
              <w:keepNext/>
              <w:keepLines/>
              <w:contextualSpacing/>
              <w:jc w:val="center"/>
              <w:rPr>
                <w:color w:val="000000"/>
                <w:sz w:val="20"/>
                <w:szCs w:val="20"/>
              </w:rPr>
            </w:pPr>
            <w:r w:rsidRPr="00F6205B">
              <w:rPr>
                <w:color w:val="000000"/>
                <w:sz w:val="20"/>
                <w:szCs w:val="20"/>
              </w:rPr>
              <w:t>2.1</w:t>
            </w:r>
          </w:p>
        </w:tc>
      </w:tr>
      <w:tr w:rsidR="002B0C53" w:rsidRPr="00F6205B" w14:paraId="6685373D" w14:textId="77777777" w:rsidTr="007344D5">
        <w:trPr>
          <w:trHeight w:val="288"/>
          <w:jc w:val="center"/>
        </w:trPr>
        <w:tc>
          <w:tcPr>
            <w:tcW w:w="345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5A9C383F" w14:textId="6EA35944" w:rsidR="002B0C53" w:rsidRPr="00F6205B" w:rsidRDefault="002B0C53" w:rsidP="002B0C53">
            <w:pPr>
              <w:keepNext/>
              <w:keepLines/>
              <w:contextualSpacing/>
              <w:rPr>
                <w:color w:val="000000"/>
                <w:sz w:val="20"/>
                <w:szCs w:val="20"/>
              </w:rPr>
            </w:pPr>
            <w:r w:rsidRPr="00F6205B">
              <w:rPr>
                <w:color w:val="000000"/>
                <w:sz w:val="20"/>
                <w:szCs w:val="20"/>
              </w:rPr>
              <w:t>Flat attic insulation</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36269FBB" w14:textId="3E1B8005" w:rsidR="002B0C53" w:rsidRPr="00F6205B" w:rsidRDefault="002B0C53" w:rsidP="002B0C53">
            <w:pPr>
              <w:keepNext/>
              <w:keepLines/>
              <w:contextualSpacing/>
              <w:jc w:val="center"/>
              <w:rPr>
                <w:color w:val="000000"/>
                <w:sz w:val="20"/>
                <w:szCs w:val="20"/>
              </w:rPr>
            </w:pPr>
            <w:r w:rsidRPr="00F6205B">
              <w:rPr>
                <w:color w:val="000000"/>
                <w:sz w:val="20"/>
                <w:szCs w:val="20"/>
              </w:rPr>
              <w:t>166</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02CA906B" w14:textId="585DB6D5" w:rsidR="002B0C53" w:rsidRPr="00F6205B" w:rsidRDefault="002B0C53" w:rsidP="002B0C53">
            <w:pPr>
              <w:keepNext/>
              <w:keepLines/>
              <w:contextualSpacing/>
              <w:jc w:val="center"/>
              <w:rPr>
                <w:color w:val="000000"/>
                <w:sz w:val="20"/>
                <w:szCs w:val="20"/>
              </w:rPr>
            </w:pPr>
            <w:r>
              <w:rPr>
                <w:color w:val="000000"/>
                <w:sz w:val="20"/>
                <w:szCs w:val="20"/>
              </w:rPr>
              <w:t>69%</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3013174A" w14:textId="286848FF" w:rsidR="002B0C53" w:rsidRPr="00F6205B" w:rsidRDefault="002B0C53" w:rsidP="002B0C53">
            <w:pPr>
              <w:keepNext/>
              <w:keepLines/>
              <w:contextualSpacing/>
              <w:jc w:val="center"/>
              <w:rPr>
                <w:color w:val="000000"/>
                <w:sz w:val="20"/>
                <w:szCs w:val="20"/>
              </w:rPr>
            </w:pPr>
            <w:r>
              <w:rPr>
                <w:color w:val="000000"/>
                <w:sz w:val="20"/>
                <w:szCs w:val="20"/>
              </w:rPr>
              <w:t>2.5</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6771311F" w14:textId="4057D349" w:rsidR="002B0C53" w:rsidRPr="00F6205B" w:rsidRDefault="002B0C53" w:rsidP="002B0C53">
            <w:pPr>
              <w:keepNext/>
              <w:keepLines/>
              <w:contextualSpacing/>
              <w:jc w:val="center"/>
              <w:rPr>
                <w:color w:val="000000"/>
                <w:sz w:val="20"/>
                <w:szCs w:val="20"/>
              </w:rPr>
            </w:pPr>
            <w:r w:rsidRPr="00F6205B">
              <w:rPr>
                <w:color w:val="000000"/>
                <w:sz w:val="20"/>
                <w:szCs w:val="20"/>
              </w:rPr>
              <w:t>54%</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7C766ECA" w14:textId="39F85F8D" w:rsidR="002B0C53" w:rsidRPr="00F6205B" w:rsidRDefault="002B0C53" w:rsidP="002B0C53">
            <w:pPr>
              <w:keepNext/>
              <w:keepLines/>
              <w:contextualSpacing/>
              <w:jc w:val="center"/>
              <w:rPr>
                <w:color w:val="000000"/>
                <w:sz w:val="20"/>
                <w:szCs w:val="20"/>
              </w:rPr>
            </w:pPr>
            <w:r w:rsidRPr="00F6205B">
              <w:rPr>
                <w:color w:val="000000"/>
                <w:sz w:val="20"/>
                <w:szCs w:val="20"/>
              </w:rPr>
              <w:t>1.9</w:t>
            </w:r>
          </w:p>
        </w:tc>
      </w:tr>
      <w:tr w:rsidR="002B0C53" w:rsidRPr="00F6205B" w14:paraId="2AC8ED54" w14:textId="77777777" w:rsidTr="007344D5">
        <w:trPr>
          <w:trHeight w:val="288"/>
          <w:jc w:val="center"/>
        </w:trPr>
        <w:tc>
          <w:tcPr>
            <w:tcW w:w="345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1FA502BE" w14:textId="70633BB8" w:rsidR="002B0C53" w:rsidRPr="00F6205B" w:rsidRDefault="002B0C53" w:rsidP="002B0C53">
            <w:pPr>
              <w:keepNext/>
              <w:keepLines/>
              <w:contextualSpacing/>
              <w:rPr>
                <w:color w:val="000000"/>
                <w:sz w:val="20"/>
                <w:szCs w:val="20"/>
              </w:rPr>
            </w:pPr>
            <w:r w:rsidRPr="00F6205B">
              <w:rPr>
                <w:color w:val="000000"/>
                <w:sz w:val="20"/>
                <w:szCs w:val="20"/>
              </w:rPr>
              <w:t>Efficient oil storage water heater</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1866F5DD" w14:textId="6DF06CA1" w:rsidR="002B0C53" w:rsidRPr="00F6205B" w:rsidRDefault="002B0C53" w:rsidP="002B0C53">
            <w:pPr>
              <w:keepNext/>
              <w:keepLines/>
              <w:contextualSpacing/>
              <w:jc w:val="center"/>
              <w:rPr>
                <w:color w:val="000000"/>
                <w:sz w:val="20"/>
                <w:szCs w:val="20"/>
              </w:rPr>
            </w:pPr>
            <w:r w:rsidRPr="00F6205B">
              <w:rPr>
                <w:color w:val="000000"/>
                <w:sz w:val="20"/>
                <w:szCs w:val="20"/>
              </w:rPr>
              <w:t>9</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40F2D3A9" w14:textId="567E404E" w:rsidR="002B0C53" w:rsidRPr="00F6205B" w:rsidRDefault="002B0C53" w:rsidP="002B0C53">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3EAED2F6" w14:textId="4475DA5C" w:rsidR="002B0C53" w:rsidRPr="00F6205B" w:rsidRDefault="002B0C53" w:rsidP="002B0C53">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53DFF5AB" w14:textId="3AD0C334" w:rsidR="002B0C53" w:rsidRPr="00F6205B" w:rsidRDefault="002B0C53" w:rsidP="002B0C53">
            <w:pPr>
              <w:keepNext/>
              <w:keepLines/>
              <w:contextualSpacing/>
              <w:jc w:val="center"/>
              <w:rPr>
                <w:color w:val="000000"/>
                <w:sz w:val="20"/>
                <w:szCs w:val="20"/>
              </w:rPr>
            </w:pPr>
            <w:r w:rsidRPr="00F6205B">
              <w:rPr>
                <w:color w:val="000000"/>
                <w:sz w:val="20"/>
                <w:szCs w:val="20"/>
              </w:rPr>
              <w:t>44%</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51E073D7" w14:textId="0D3E9219" w:rsidR="002B0C53" w:rsidRPr="00F6205B" w:rsidRDefault="002B0C53" w:rsidP="002B0C53">
            <w:pPr>
              <w:keepNext/>
              <w:keepLines/>
              <w:contextualSpacing/>
              <w:jc w:val="center"/>
              <w:rPr>
                <w:color w:val="000000"/>
                <w:sz w:val="20"/>
                <w:szCs w:val="20"/>
              </w:rPr>
            </w:pPr>
            <w:r w:rsidRPr="00F6205B">
              <w:rPr>
                <w:color w:val="000000"/>
                <w:sz w:val="20"/>
                <w:szCs w:val="20"/>
              </w:rPr>
              <w:t>1.9</w:t>
            </w:r>
          </w:p>
        </w:tc>
      </w:tr>
      <w:tr w:rsidR="002B0C53" w:rsidRPr="00F6205B" w14:paraId="5CF189E9" w14:textId="77777777" w:rsidTr="007344D5">
        <w:trPr>
          <w:trHeight w:val="288"/>
          <w:jc w:val="center"/>
        </w:trPr>
        <w:tc>
          <w:tcPr>
            <w:tcW w:w="345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79456A68" w14:textId="2AEA5444" w:rsidR="002B0C53" w:rsidRPr="00F6205B" w:rsidRDefault="002B0C53" w:rsidP="002B0C53">
            <w:pPr>
              <w:keepNext/>
              <w:keepLines/>
              <w:contextualSpacing/>
              <w:rPr>
                <w:color w:val="000000"/>
                <w:sz w:val="20"/>
                <w:szCs w:val="20"/>
              </w:rPr>
            </w:pPr>
            <w:r w:rsidRPr="00F6205B">
              <w:rPr>
                <w:color w:val="000000"/>
                <w:sz w:val="20"/>
                <w:szCs w:val="20"/>
              </w:rPr>
              <w:t>HVAC pipe insulation</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77100F24" w14:textId="1859DE4B" w:rsidR="002B0C53" w:rsidRPr="00F6205B" w:rsidRDefault="002B0C53" w:rsidP="002B0C53">
            <w:pPr>
              <w:keepNext/>
              <w:keepLines/>
              <w:contextualSpacing/>
              <w:jc w:val="center"/>
              <w:rPr>
                <w:color w:val="000000"/>
                <w:sz w:val="20"/>
                <w:szCs w:val="20"/>
              </w:rPr>
            </w:pPr>
            <w:r w:rsidRPr="00F6205B">
              <w:rPr>
                <w:color w:val="000000"/>
                <w:sz w:val="20"/>
                <w:szCs w:val="20"/>
              </w:rPr>
              <w:t>138</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3E21BF8E" w14:textId="7F5EE04A" w:rsidR="002B0C53" w:rsidRPr="00F6205B" w:rsidRDefault="002B0C53" w:rsidP="002B0C53">
            <w:pPr>
              <w:keepNext/>
              <w:keepLines/>
              <w:contextualSpacing/>
              <w:jc w:val="center"/>
              <w:rPr>
                <w:color w:val="000000"/>
                <w:sz w:val="20"/>
                <w:szCs w:val="20"/>
              </w:rPr>
            </w:pPr>
            <w:r>
              <w:rPr>
                <w:color w:val="000000"/>
                <w:sz w:val="20"/>
                <w:szCs w:val="20"/>
              </w:rPr>
              <w:t>100%</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2FBE7E95" w14:textId="64BF57E4" w:rsidR="002B0C53" w:rsidRPr="00F6205B" w:rsidRDefault="002B0C53" w:rsidP="002B0C53">
            <w:pPr>
              <w:keepNext/>
              <w:keepLines/>
              <w:contextualSpacing/>
              <w:jc w:val="center"/>
              <w:rPr>
                <w:color w:val="000000"/>
                <w:sz w:val="20"/>
                <w:szCs w:val="20"/>
              </w:rPr>
            </w:pPr>
            <w:r>
              <w:rPr>
                <w:color w:val="000000"/>
                <w:sz w:val="20"/>
                <w:szCs w:val="20"/>
              </w:rPr>
              <w:t>2.9</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3A0AE55C" w14:textId="08751A35" w:rsidR="002B0C53" w:rsidRPr="00F6205B" w:rsidRDefault="002B0C53" w:rsidP="002B0C53">
            <w:pPr>
              <w:keepNext/>
              <w:keepLines/>
              <w:contextualSpacing/>
              <w:jc w:val="center"/>
              <w:rPr>
                <w:color w:val="000000"/>
                <w:sz w:val="20"/>
                <w:szCs w:val="20"/>
              </w:rPr>
            </w:pPr>
            <w:r w:rsidRPr="00F6205B">
              <w:rPr>
                <w:color w:val="000000"/>
                <w:sz w:val="20"/>
                <w:szCs w:val="20"/>
              </w:rPr>
              <w:t>100%</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4F0DBBFC" w14:textId="15D64EBA" w:rsidR="002B0C53" w:rsidRPr="00F6205B" w:rsidRDefault="002B0C53" w:rsidP="002B0C53">
            <w:pPr>
              <w:keepNext/>
              <w:keepLines/>
              <w:contextualSpacing/>
              <w:jc w:val="center"/>
              <w:rPr>
                <w:color w:val="000000"/>
                <w:sz w:val="20"/>
                <w:szCs w:val="20"/>
              </w:rPr>
            </w:pPr>
            <w:r w:rsidRPr="00F6205B">
              <w:rPr>
                <w:color w:val="000000"/>
                <w:sz w:val="20"/>
                <w:szCs w:val="20"/>
              </w:rPr>
              <w:t>1.8</w:t>
            </w:r>
          </w:p>
        </w:tc>
      </w:tr>
      <w:tr w:rsidR="002B0C53" w:rsidRPr="00F6205B" w14:paraId="7DB2B194" w14:textId="77777777" w:rsidTr="007344D5">
        <w:trPr>
          <w:trHeight w:val="288"/>
          <w:jc w:val="center"/>
        </w:trPr>
        <w:tc>
          <w:tcPr>
            <w:tcW w:w="345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7A5BF58F" w14:textId="343CC4BA" w:rsidR="002B0C53" w:rsidRPr="00F6205B" w:rsidRDefault="002B0C53" w:rsidP="002B0C53">
            <w:pPr>
              <w:keepNext/>
              <w:keepLines/>
              <w:contextualSpacing/>
              <w:rPr>
                <w:color w:val="000000"/>
                <w:sz w:val="20"/>
                <w:szCs w:val="20"/>
              </w:rPr>
            </w:pPr>
            <w:r w:rsidRPr="00F6205B">
              <w:rPr>
                <w:color w:val="000000"/>
                <w:sz w:val="20"/>
                <w:szCs w:val="20"/>
              </w:rPr>
              <w:t>Refrigerator</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34E8742C" w14:textId="5D3B15AA" w:rsidR="002B0C53" w:rsidRPr="00F6205B" w:rsidRDefault="002B0C53" w:rsidP="002B0C53">
            <w:pPr>
              <w:keepNext/>
              <w:keepLines/>
              <w:contextualSpacing/>
              <w:jc w:val="center"/>
              <w:rPr>
                <w:color w:val="000000"/>
                <w:sz w:val="20"/>
                <w:szCs w:val="20"/>
              </w:rPr>
            </w:pPr>
            <w:r w:rsidRPr="00F6205B">
              <w:rPr>
                <w:color w:val="000000"/>
                <w:sz w:val="20"/>
                <w:szCs w:val="20"/>
              </w:rPr>
              <w:t>180</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54BD9453" w14:textId="4930BEAA" w:rsidR="002B0C53" w:rsidRPr="00F6205B" w:rsidRDefault="002B0C53" w:rsidP="002B0C53">
            <w:pPr>
              <w:keepNext/>
              <w:keepLines/>
              <w:contextualSpacing/>
              <w:jc w:val="center"/>
              <w:rPr>
                <w:color w:val="000000"/>
                <w:sz w:val="20"/>
                <w:szCs w:val="20"/>
              </w:rPr>
            </w:pPr>
            <w:r>
              <w:rPr>
                <w:color w:val="000000"/>
                <w:sz w:val="20"/>
                <w:szCs w:val="20"/>
              </w:rPr>
              <w:t>91%</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07F013EA" w14:textId="329BBE02" w:rsidR="002B0C53" w:rsidRPr="00F6205B" w:rsidRDefault="002B0C53" w:rsidP="002B0C53">
            <w:pPr>
              <w:keepNext/>
              <w:keepLines/>
              <w:contextualSpacing/>
              <w:jc w:val="center"/>
              <w:rPr>
                <w:color w:val="000000"/>
                <w:sz w:val="20"/>
                <w:szCs w:val="20"/>
              </w:rPr>
            </w:pPr>
            <w:r>
              <w:rPr>
                <w:color w:val="000000"/>
                <w:sz w:val="20"/>
                <w:szCs w:val="20"/>
              </w:rPr>
              <w:t>9.8</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2038B0BB" w14:textId="720D7075" w:rsidR="002B0C53" w:rsidRPr="00F6205B" w:rsidRDefault="002B0C53" w:rsidP="002B0C53">
            <w:pPr>
              <w:keepNext/>
              <w:keepLines/>
              <w:contextualSpacing/>
              <w:jc w:val="center"/>
              <w:rPr>
                <w:color w:val="000000"/>
                <w:sz w:val="20"/>
                <w:szCs w:val="20"/>
              </w:rPr>
            </w:pPr>
            <w:r w:rsidRPr="00F6205B">
              <w:rPr>
                <w:color w:val="000000"/>
                <w:sz w:val="20"/>
                <w:szCs w:val="20"/>
              </w:rPr>
              <w:t>78%</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39E0BCAB" w14:textId="7C7786CF" w:rsidR="002B0C53" w:rsidRPr="00F6205B" w:rsidRDefault="002B0C53" w:rsidP="002B0C53">
            <w:pPr>
              <w:keepNext/>
              <w:keepLines/>
              <w:contextualSpacing/>
              <w:jc w:val="center"/>
              <w:rPr>
                <w:color w:val="000000"/>
                <w:sz w:val="20"/>
                <w:szCs w:val="20"/>
              </w:rPr>
            </w:pPr>
            <w:r w:rsidRPr="00F6205B">
              <w:rPr>
                <w:color w:val="000000"/>
                <w:sz w:val="20"/>
                <w:szCs w:val="20"/>
              </w:rPr>
              <w:t>1.8</w:t>
            </w:r>
          </w:p>
        </w:tc>
      </w:tr>
      <w:tr w:rsidR="002B0C53" w:rsidRPr="00F6205B" w14:paraId="1B581FE1" w14:textId="77777777" w:rsidTr="007344D5">
        <w:trPr>
          <w:trHeight w:val="288"/>
          <w:jc w:val="center"/>
        </w:trPr>
        <w:tc>
          <w:tcPr>
            <w:tcW w:w="345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7F28534A" w14:textId="47B637C8" w:rsidR="002B0C53" w:rsidRPr="00F6205B" w:rsidRDefault="002B0C53" w:rsidP="002B0C53">
            <w:pPr>
              <w:keepNext/>
              <w:keepLines/>
              <w:contextualSpacing/>
              <w:rPr>
                <w:color w:val="000000"/>
                <w:sz w:val="20"/>
                <w:szCs w:val="20"/>
              </w:rPr>
            </w:pPr>
            <w:r w:rsidRPr="00F6205B">
              <w:rPr>
                <w:color w:val="000000"/>
                <w:sz w:val="20"/>
                <w:szCs w:val="20"/>
              </w:rPr>
              <w:t>Foundation wall insulation</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4910437B" w14:textId="73D234BE" w:rsidR="002B0C53" w:rsidRPr="00F6205B" w:rsidRDefault="002B0C53" w:rsidP="002B0C53">
            <w:pPr>
              <w:keepNext/>
              <w:keepLines/>
              <w:contextualSpacing/>
              <w:jc w:val="center"/>
              <w:rPr>
                <w:color w:val="000000"/>
                <w:sz w:val="20"/>
                <w:szCs w:val="20"/>
              </w:rPr>
            </w:pPr>
            <w:r w:rsidRPr="00F6205B">
              <w:rPr>
                <w:color w:val="000000"/>
                <w:sz w:val="20"/>
                <w:szCs w:val="20"/>
              </w:rPr>
              <w:t>91</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0FF99A6E" w14:textId="71087CE3" w:rsidR="002B0C53" w:rsidRPr="00F6205B" w:rsidRDefault="002B0C53" w:rsidP="002B0C53">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75A63225" w14:textId="2960EB1A" w:rsidR="002B0C53" w:rsidRPr="00F6205B" w:rsidRDefault="002B0C53" w:rsidP="002B0C53">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03DE9A86" w14:textId="143D9783" w:rsidR="002B0C53" w:rsidRPr="00F6205B" w:rsidRDefault="002B0C53" w:rsidP="002B0C53">
            <w:pPr>
              <w:keepNext/>
              <w:keepLines/>
              <w:contextualSpacing/>
              <w:jc w:val="center"/>
              <w:rPr>
                <w:color w:val="000000"/>
                <w:sz w:val="20"/>
                <w:szCs w:val="20"/>
              </w:rPr>
            </w:pPr>
            <w:r w:rsidRPr="00F6205B">
              <w:rPr>
                <w:color w:val="000000"/>
                <w:sz w:val="20"/>
                <w:szCs w:val="20"/>
              </w:rPr>
              <w:t>49%</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0DDABB82" w14:textId="06B70350" w:rsidR="002B0C53" w:rsidRPr="00F6205B" w:rsidRDefault="002B0C53" w:rsidP="002B0C53">
            <w:pPr>
              <w:keepNext/>
              <w:keepLines/>
              <w:contextualSpacing/>
              <w:jc w:val="center"/>
              <w:rPr>
                <w:color w:val="000000"/>
                <w:sz w:val="20"/>
                <w:szCs w:val="20"/>
              </w:rPr>
            </w:pPr>
            <w:r w:rsidRPr="00F6205B">
              <w:rPr>
                <w:color w:val="000000"/>
                <w:sz w:val="20"/>
                <w:szCs w:val="20"/>
              </w:rPr>
              <w:t>1.5</w:t>
            </w:r>
          </w:p>
        </w:tc>
      </w:tr>
      <w:tr w:rsidR="002B0C53" w:rsidRPr="00F6205B" w14:paraId="6BD46E3B" w14:textId="77777777" w:rsidTr="007344D5">
        <w:trPr>
          <w:trHeight w:val="288"/>
          <w:jc w:val="center"/>
        </w:trPr>
        <w:tc>
          <w:tcPr>
            <w:tcW w:w="345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1D48482A" w14:textId="42B60C04" w:rsidR="002B0C53" w:rsidRPr="00F6205B" w:rsidRDefault="002B0C53" w:rsidP="002B0C53">
            <w:pPr>
              <w:keepNext/>
              <w:keepLines/>
              <w:contextualSpacing/>
              <w:rPr>
                <w:color w:val="000000"/>
                <w:sz w:val="20"/>
                <w:szCs w:val="20"/>
              </w:rPr>
            </w:pPr>
            <w:r w:rsidRPr="00F6205B">
              <w:rPr>
                <w:color w:val="000000"/>
                <w:sz w:val="20"/>
                <w:szCs w:val="20"/>
              </w:rPr>
              <w:t>Above-grade wall insulation</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790529F4" w14:textId="02458AB4" w:rsidR="002B0C53" w:rsidRPr="00F6205B" w:rsidRDefault="002B0C53" w:rsidP="002B0C53">
            <w:pPr>
              <w:keepNext/>
              <w:keepLines/>
              <w:contextualSpacing/>
              <w:jc w:val="center"/>
              <w:rPr>
                <w:color w:val="000000"/>
                <w:sz w:val="20"/>
                <w:szCs w:val="20"/>
              </w:rPr>
            </w:pPr>
            <w:r w:rsidRPr="00F6205B">
              <w:rPr>
                <w:color w:val="000000"/>
                <w:sz w:val="20"/>
                <w:szCs w:val="20"/>
              </w:rPr>
              <w:t>165</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56276668" w14:textId="6CF9986D" w:rsidR="002B0C53" w:rsidRPr="00F6205B" w:rsidRDefault="002B0C53" w:rsidP="002B0C53">
            <w:pPr>
              <w:keepNext/>
              <w:keepLines/>
              <w:contextualSpacing/>
              <w:jc w:val="center"/>
              <w:rPr>
                <w:color w:val="000000"/>
                <w:sz w:val="20"/>
                <w:szCs w:val="20"/>
              </w:rPr>
            </w:pPr>
            <w:r>
              <w:rPr>
                <w:color w:val="000000"/>
                <w:sz w:val="20"/>
                <w:szCs w:val="20"/>
              </w:rPr>
              <w:t>38%</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40908BDB" w14:textId="1123C9BA" w:rsidR="002B0C53" w:rsidRPr="00F6205B" w:rsidRDefault="002B0C53" w:rsidP="002B0C53">
            <w:pPr>
              <w:keepNext/>
              <w:keepLines/>
              <w:contextualSpacing/>
              <w:jc w:val="center"/>
              <w:rPr>
                <w:color w:val="000000"/>
                <w:sz w:val="20"/>
                <w:szCs w:val="20"/>
              </w:rPr>
            </w:pPr>
            <w:r>
              <w:rPr>
                <w:color w:val="000000"/>
                <w:sz w:val="20"/>
                <w:szCs w:val="20"/>
              </w:rPr>
              <w:t>1.8</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045235DE" w14:textId="3A631F1D" w:rsidR="002B0C53" w:rsidRPr="00F6205B" w:rsidRDefault="002B0C53" w:rsidP="002B0C53">
            <w:pPr>
              <w:keepNext/>
              <w:keepLines/>
              <w:contextualSpacing/>
              <w:jc w:val="center"/>
              <w:rPr>
                <w:color w:val="000000"/>
                <w:sz w:val="20"/>
                <w:szCs w:val="20"/>
              </w:rPr>
            </w:pPr>
            <w:r w:rsidRPr="00F6205B">
              <w:rPr>
                <w:color w:val="000000"/>
                <w:sz w:val="20"/>
                <w:szCs w:val="20"/>
              </w:rPr>
              <w:t>33%</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60E928F0" w14:textId="68AC8E98" w:rsidR="002B0C53" w:rsidRPr="00F6205B" w:rsidRDefault="002B0C53" w:rsidP="002B0C53">
            <w:pPr>
              <w:keepNext/>
              <w:keepLines/>
              <w:contextualSpacing/>
              <w:jc w:val="center"/>
              <w:rPr>
                <w:color w:val="000000"/>
                <w:sz w:val="20"/>
                <w:szCs w:val="20"/>
              </w:rPr>
            </w:pPr>
            <w:r w:rsidRPr="00F6205B">
              <w:rPr>
                <w:color w:val="000000"/>
                <w:sz w:val="20"/>
                <w:szCs w:val="20"/>
              </w:rPr>
              <w:t>1.3</w:t>
            </w:r>
          </w:p>
        </w:tc>
      </w:tr>
      <w:tr w:rsidR="002B0C53" w:rsidRPr="00F6205B" w14:paraId="14DB687F" w14:textId="77777777" w:rsidTr="007344D5">
        <w:trPr>
          <w:trHeight w:val="288"/>
          <w:jc w:val="center"/>
        </w:trPr>
        <w:tc>
          <w:tcPr>
            <w:tcW w:w="345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36313FF5" w14:textId="00F85A2A" w:rsidR="002B0C53" w:rsidRPr="00F6205B" w:rsidRDefault="002B0C53" w:rsidP="002B0C53">
            <w:pPr>
              <w:keepNext/>
              <w:keepLines/>
              <w:contextualSpacing/>
              <w:rPr>
                <w:color w:val="000000"/>
                <w:sz w:val="20"/>
                <w:szCs w:val="20"/>
              </w:rPr>
            </w:pPr>
            <w:r w:rsidRPr="00F6205B">
              <w:rPr>
                <w:color w:val="000000"/>
                <w:sz w:val="20"/>
                <w:szCs w:val="20"/>
              </w:rPr>
              <w:t>Frame floor insulation</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1A6F6F6D" w14:textId="7945B66B" w:rsidR="002B0C53" w:rsidRPr="00F6205B" w:rsidRDefault="002B0C53" w:rsidP="002B0C53">
            <w:pPr>
              <w:keepNext/>
              <w:keepLines/>
              <w:contextualSpacing/>
              <w:jc w:val="center"/>
              <w:rPr>
                <w:color w:val="000000"/>
                <w:sz w:val="20"/>
                <w:szCs w:val="20"/>
              </w:rPr>
            </w:pPr>
            <w:r w:rsidRPr="00F6205B">
              <w:rPr>
                <w:color w:val="000000"/>
                <w:sz w:val="20"/>
                <w:szCs w:val="20"/>
              </w:rPr>
              <w:t>161</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40125EC5" w14:textId="52DE4971" w:rsidR="002B0C53" w:rsidRPr="00F6205B" w:rsidRDefault="002B0C53" w:rsidP="002B0C53">
            <w:pPr>
              <w:keepNext/>
              <w:keepLines/>
              <w:contextualSpacing/>
              <w:jc w:val="center"/>
              <w:rPr>
                <w:color w:val="000000"/>
                <w:sz w:val="20"/>
                <w:szCs w:val="20"/>
              </w:rPr>
            </w:pPr>
            <w:r>
              <w:rPr>
                <w:color w:val="000000"/>
                <w:sz w:val="20"/>
                <w:szCs w:val="20"/>
              </w:rPr>
              <w:t>61%</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1BCA91EC" w14:textId="1C45D83E" w:rsidR="002B0C53" w:rsidRPr="00F6205B" w:rsidRDefault="002B0C53" w:rsidP="002B0C53">
            <w:pPr>
              <w:keepNext/>
              <w:keepLines/>
              <w:contextualSpacing/>
              <w:jc w:val="center"/>
              <w:rPr>
                <w:color w:val="000000"/>
                <w:sz w:val="20"/>
                <w:szCs w:val="20"/>
              </w:rPr>
            </w:pPr>
            <w:r>
              <w:rPr>
                <w:color w:val="000000"/>
                <w:sz w:val="20"/>
                <w:szCs w:val="20"/>
              </w:rPr>
              <w:t>2.7</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454CC2DB" w14:textId="72846A52" w:rsidR="002B0C53" w:rsidRPr="00F6205B" w:rsidRDefault="002B0C53" w:rsidP="002B0C53">
            <w:pPr>
              <w:keepNext/>
              <w:keepLines/>
              <w:contextualSpacing/>
              <w:jc w:val="center"/>
              <w:rPr>
                <w:color w:val="000000"/>
                <w:sz w:val="20"/>
                <w:szCs w:val="20"/>
              </w:rPr>
            </w:pPr>
            <w:r w:rsidRPr="00F6205B">
              <w:rPr>
                <w:color w:val="000000"/>
                <w:sz w:val="20"/>
                <w:szCs w:val="20"/>
              </w:rPr>
              <w:t>44%</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2CDC2746" w14:textId="7712EEF2" w:rsidR="002B0C53" w:rsidRPr="00F6205B" w:rsidRDefault="002B0C53" w:rsidP="002B0C53">
            <w:pPr>
              <w:keepNext/>
              <w:keepLines/>
              <w:contextualSpacing/>
              <w:jc w:val="center"/>
              <w:rPr>
                <w:color w:val="000000"/>
                <w:sz w:val="20"/>
                <w:szCs w:val="20"/>
              </w:rPr>
            </w:pPr>
            <w:r w:rsidRPr="00F6205B">
              <w:rPr>
                <w:color w:val="000000"/>
                <w:sz w:val="20"/>
                <w:szCs w:val="20"/>
              </w:rPr>
              <w:t>1.2</w:t>
            </w:r>
          </w:p>
        </w:tc>
      </w:tr>
      <w:tr w:rsidR="002B0C53" w:rsidRPr="00F6205B" w14:paraId="2F6FA24D" w14:textId="77777777" w:rsidTr="007344D5">
        <w:trPr>
          <w:trHeight w:val="288"/>
          <w:jc w:val="center"/>
        </w:trPr>
        <w:tc>
          <w:tcPr>
            <w:tcW w:w="345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1F230979" w14:textId="442DABB1" w:rsidR="002B0C53" w:rsidRPr="00F6205B" w:rsidRDefault="002B0C53" w:rsidP="002B0C53">
            <w:pPr>
              <w:keepNext/>
              <w:keepLines/>
              <w:contextualSpacing/>
              <w:rPr>
                <w:color w:val="000000"/>
                <w:sz w:val="20"/>
                <w:szCs w:val="20"/>
              </w:rPr>
            </w:pPr>
            <w:r w:rsidRPr="00F6205B">
              <w:rPr>
                <w:color w:val="000000"/>
                <w:sz w:val="20"/>
                <w:szCs w:val="20"/>
              </w:rPr>
              <w:t>Vaulted ceiling insulation</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1E2F346F" w14:textId="6F0D161D" w:rsidR="002B0C53" w:rsidRPr="00F6205B" w:rsidRDefault="002B0C53" w:rsidP="002B0C53">
            <w:pPr>
              <w:keepNext/>
              <w:keepLines/>
              <w:contextualSpacing/>
              <w:jc w:val="center"/>
              <w:rPr>
                <w:color w:val="000000"/>
                <w:sz w:val="20"/>
                <w:szCs w:val="20"/>
              </w:rPr>
            </w:pPr>
            <w:r w:rsidRPr="00F6205B">
              <w:rPr>
                <w:color w:val="000000"/>
                <w:sz w:val="20"/>
                <w:szCs w:val="20"/>
              </w:rPr>
              <w:t>75</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13FB591F" w14:textId="7CE5A51B" w:rsidR="002B0C53" w:rsidRPr="00F6205B" w:rsidRDefault="002B0C53" w:rsidP="002B0C53">
            <w:pPr>
              <w:keepNext/>
              <w:keepLines/>
              <w:contextualSpacing/>
              <w:jc w:val="center"/>
              <w:rPr>
                <w:color w:val="000000"/>
                <w:sz w:val="20"/>
                <w:szCs w:val="20"/>
              </w:rPr>
            </w:pPr>
            <w:r>
              <w:rPr>
                <w:color w:val="000000"/>
                <w:sz w:val="20"/>
                <w:szCs w:val="20"/>
              </w:rPr>
              <w:t>43%</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2C96C916" w14:textId="3B85D884" w:rsidR="002B0C53" w:rsidRPr="00F6205B" w:rsidRDefault="002B0C53" w:rsidP="002B0C53">
            <w:pPr>
              <w:keepNext/>
              <w:keepLines/>
              <w:contextualSpacing/>
              <w:jc w:val="center"/>
              <w:rPr>
                <w:color w:val="000000"/>
                <w:sz w:val="20"/>
                <w:szCs w:val="20"/>
              </w:rPr>
            </w:pPr>
            <w:r>
              <w:rPr>
                <w:color w:val="000000"/>
                <w:sz w:val="20"/>
                <w:szCs w:val="20"/>
              </w:rPr>
              <w:t>1.8</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2FAD2E21" w14:textId="18F27D2F" w:rsidR="002B0C53" w:rsidRPr="00F6205B" w:rsidRDefault="002B0C53" w:rsidP="002B0C53">
            <w:pPr>
              <w:keepNext/>
              <w:keepLines/>
              <w:contextualSpacing/>
              <w:jc w:val="center"/>
              <w:rPr>
                <w:color w:val="000000"/>
                <w:sz w:val="20"/>
                <w:szCs w:val="20"/>
              </w:rPr>
            </w:pPr>
            <w:r w:rsidRPr="00F6205B">
              <w:rPr>
                <w:color w:val="000000"/>
                <w:sz w:val="20"/>
                <w:szCs w:val="20"/>
              </w:rPr>
              <w:t>31%</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21CF795D" w14:textId="76A7092D" w:rsidR="002B0C53" w:rsidRPr="00F6205B" w:rsidRDefault="002B0C53" w:rsidP="002B0C53">
            <w:pPr>
              <w:keepNext/>
              <w:keepLines/>
              <w:contextualSpacing/>
              <w:jc w:val="center"/>
              <w:rPr>
                <w:color w:val="000000"/>
                <w:sz w:val="20"/>
                <w:szCs w:val="20"/>
              </w:rPr>
            </w:pPr>
            <w:r w:rsidRPr="00F6205B">
              <w:rPr>
                <w:color w:val="000000"/>
                <w:sz w:val="20"/>
                <w:szCs w:val="20"/>
              </w:rPr>
              <w:t>1.1</w:t>
            </w:r>
          </w:p>
        </w:tc>
      </w:tr>
      <w:tr w:rsidR="002B0C53" w:rsidRPr="00F6205B" w14:paraId="638DF410" w14:textId="77777777" w:rsidTr="007344D5">
        <w:trPr>
          <w:trHeight w:val="288"/>
          <w:jc w:val="center"/>
        </w:trPr>
        <w:tc>
          <w:tcPr>
            <w:tcW w:w="3456" w:type="dxa"/>
            <w:tcBorders>
              <w:top w:val="single" w:sz="4" w:space="0" w:color="000000" w:themeColor="text1"/>
              <w:left w:val="single" w:sz="4" w:space="0" w:color="auto"/>
              <w:bottom w:val="single" w:sz="4" w:space="0" w:color="auto"/>
              <w:right w:val="single" w:sz="4" w:space="0" w:color="000000" w:themeColor="text1"/>
            </w:tcBorders>
            <w:shd w:val="clear" w:color="auto" w:fill="BFBFBF" w:themeFill="background1" w:themeFillShade="BF"/>
            <w:vAlign w:val="center"/>
          </w:tcPr>
          <w:p w14:paraId="3944A7E8" w14:textId="707CB3D9" w:rsidR="002B0C53" w:rsidRPr="00F6205B" w:rsidRDefault="002B0C53" w:rsidP="002B0C53">
            <w:pPr>
              <w:keepNext/>
              <w:keepLines/>
              <w:contextualSpacing/>
              <w:rPr>
                <w:color w:val="000000"/>
                <w:sz w:val="20"/>
                <w:szCs w:val="20"/>
              </w:rPr>
            </w:pPr>
            <w:r w:rsidRPr="00F6205B">
              <w:rPr>
                <w:color w:val="000000"/>
                <w:sz w:val="20"/>
                <w:szCs w:val="20"/>
              </w:rPr>
              <w:t>Integrated tank water heater</w:t>
            </w:r>
          </w:p>
        </w:tc>
        <w:tc>
          <w:tcPr>
            <w:tcW w:w="1197" w:type="dxa"/>
            <w:tcBorders>
              <w:top w:val="single" w:sz="4" w:space="0" w:color="000000" w:themeColor="text1"/>
              <w:left w:val="single" w:sz="4" w:space="0" w:color="000000" w:themeColor="text1"/>
              <w:bottom w:val="single" w:sz="4" w:space="0" w:color="auto"/>
              <w:right w:val="single" w:sz="4" w:space="0" w:color="auto"/>
            </w:tcBorders>
            <w:shd w:val="clear" w:color="auto" w:fill="BFBFBF" w:themeFill="background1" w:themeFillShade="BF"/>
            <w:vAlign w:val="center"/>
          </w:tcPr>
          <w:p w14:paraId="19EA3737" w14:textId="4BFEA36F" w:rsidR="002B0C53" w:rsidRPr="00F6205B" w:rsidRDefault="002B0C53" w:rsidP="002B0C53">
            <w:pPr>
              <w:keepNext/>
              <w:keepLines/>
              <w:contextualSpacing/>
              <w:jc w:val="center"/>
              <w:rPr>
                <w:color w:val="000000"/>
                <w:sz w:val="20"/>
                <w:szCs w:val="20"/>
              </w:rPr>
            </w:pPr>
            <w:r w:rsidRPr="00F6205B">
              <w:rPr>
                <w:color w:val="000000"/>
                <w:sz w:val="20"/>
                <w:szCs w:val="20"/>
              </w:rPr>
              <w:t>41</w:t>
            </w:r>
          </w:p>
        </w:tc>
        <w:tc>
          <w:tcPr>
            <w:tcW w:w="1197" w:type="dxa"/>
            <w:tcBorders>
              <w:top w:val="single" w:sz="4" w:space="0" w:color="000000" w:themeColor="text1"/>
              <w:left w:val="single" w:sz="4" w:space="0" w:color="auto"/>
              <w:bottom w:val="single" w:sz="4" w:space="0" w:color="auto"/>
              <w:right w:val="single" w:sz="4" w:space="0" w:color="000000" w:themeColor="text1"/>
            </w:tcBorders>
            <w:shd w:val="clear" w:color="auto" w:fill="BFBFBF" w:themeFill="background1" w:themeFillShade="BF"/>
            <w:vAlign w:val="center"/>
          </w:tcPr>
          <w:p w14:paraId="4954FAD8" w14:textId="02AB3E16" w:rsidR="002B0C53" w:rsidRPr="00F6205B" w:rsidRDefault="002B0C53" w:rsidP="002B0C53">
            <w:pPr>
              <w:keepNext/>
              <w:keepLines/>
              <w:contextualSpacing/>
              <w:jc w:val="center"/>
              <w:rPr>
                <w:color w:val="000000"/>
                <w:sz w:val="20"/>
                <w:szCs w:val="20"/>
              </w:rPr>
            </w:pPr>
            <w:r>
              <w:rPr>
                <w:color w:val="000000"/>
                <w:sz w:val="20"/>
                <w:szCs w:val="20"/>
              </w:rPr>
              <w:t>88%</w:t>
            </w:r>
          </w:p>
        </w:tc>
        <w:tc>
          <w:tcPr>
            <w:tcW w:w="1197" w:type="dxa"/>
            <w:tcBorders>
              <w:top w:val="single" w:sz="4" w:space="0" w:color="000000" w:themeColor="text1"/>
              <w:left w:val="single" w:sz="4" w:space="0" w:color="000000" w:themeColor="text1"/>
              <w:bottom w:val="single" w:sz="4" w:space="0" w:color="auto"/>
              <w:right w:val="single" w:sz="4" w:space="0" w:color="auto"/>
            </w:tcBorders>
            <w:shd w:val="clear" w:color="auto" w:fill="BFBFBF" w:themeFill="background1" w:themeFillShade="BF"/>
            <w:vAlign w:val="center"/>
          </w:tcPr>
          <w:p w14:paraId="5C27FD58" w14:textId="32E02973" w:rsidR="002B0C53" w:rsidRPr="00F6205B" w:rsidRDefault="002B0C53" w:rsidP="002B0C53">
            <w:pPr>
              <w:keepNext/>
              <w:keepLines/>
              <w:contextualSpacing/>
              <w:jc w:val="center"/>
              <w:rPr>
                <w:color w:val="000000"/>
                <w:sz w:val="20"/>
                <w:szCs w:val="20"/>
              </w:rPr>
            </w:pPr>
            <w:r>
              <w:rPr>
                <w:color w:val="000000"/>
                <w:sz w:val="20"/>
                <w:szCs w:val="20"/>
              </w:rPr>
              <w:t>7.8</w:t>
            </w:r>
          </w:p>
        </w:tc>
        <w:tc>
          <w:tcPr>
            <w:tcW w:w="1197" w:type="dxa"/>
            <w:tcBorders>
              <w:top w:val="single" w:sz="4" w:space="0" w:color="000000" w:themeColor="text1"/>
              <w:left w:val="single" w:sz="4" w:space="0" w:color="auto"/>
              <w:bottom w:val="single" w:sz="4" w:space="0" w:color="auto"/>
              <w:right w:val="single" w:sz="4" w:space="0" w:color="000000" w:themeColor="text1"/>
            </w:tcBorders>
            <w:shd w:val="clear" w:color="auto" w:fill="BFBFBF" w:themeFill="background1" w:themeFillShade="BF"/>
            <w:vAlign w:val="center"/>
          </w:tcPr>
          <w:p w14:paraId="052F00C0" w14:textId="03CCE68A" w:rsidR="002B0C53" w:rsidRPr="00F6205B" w:rsidRDefault="002B0C53" w:rsidP="002B0C53">
            <w:pPr>
              <w:keepNext/>
              <w:keepLines/>
              <w:contextualSpacing/>
              <w:jc w:val="center"/>
              <w:rPr>
                <w:color w:val="000000"/>
                <w:sz w:val="20"/>
                <w:szCs w:val="20"/>
              </w:rPr>
            </w:pPr>
            <w:r w:rsidRPr="00F6205B">
              <w:rPr>
                <w:color w:val="000000"/>
                <w:sz w:val="20"/>
                <w:szCs w:val="20"/>
              </w:rPr>
              <w:t>39%</w:t>
            </w:r>
          </w:p>
        </w:tc>
        <w:tc>
          <w:tcPr>
            <w:tcW w:w="1197" w:type="dxa"/>
            <w:tcBorders>
              <w:top w:val="single" w:sz="4" w:space="0" w:color="000000" w:themeColor="text1"/>
              <w:left w:val="single" w:sz="4" w:space="0" w:color="000000" w:themeColor="text1"/>
              <w:bottom w:val="single" w:sz="4" w:space="0" w:color="auto"/>
              <w:right w:val="single" w:sz="4" w:space="0" w:color="auto"/>
            </w:tcBorders>
            <w:shd w:val="clear" w:color="auto" w:fill="BFBFBF" w:themeFill="background1" w:themeFillShade="BF"/>
            <w:vAlign w:val="center"/>
          </w:tcPr>
          <w:p w14:paraId="773C68D0" w14:textId="2F356EA8" w:rsidR="002B0C53" w:rsidRPr="00F6205B" w:rsidRDefault="002B0C53" w:rsidP="002B0C53">
            <w:pPr>
              <w:keepNext/>
              <w:keepLines/>
              <w:contextualSpacing/>
              <w:jc w:val="center"/>
              <w:rPr>
                <w:color w:val="000000"/>
                <w:sz w:val="20"/>
                <w:szCs w:val="20"/>
              </w:rPr>
            </w:pPr>
            <w:r w:rsidRPr="00F6205B">
              <w:rPr>
                <w:color w:val="000000"/>
                <w:sz w:val="20"/>
                <w:szCs w:val="20"/>
              </w:rPr>
              <w:t>1.0</w:t>
            </w:r>
          </w:p>
        </w:tc>
      </w:tr>
    </w:tbl>
    <w:p w14:paraId="39992D33" w14:textId="77777777" w:rsidR="00A83E9C" w:rsidRPr="00F6205B" w:rsidRDefault="00A83E9C" w:rsidP="00A83E9C">
      <w:pPr>
        <w:jc w:val="center"/>
      </w:pPr>
    </w:p>
    <w:p w14:paraId="4467C921" w14:textId="77777777" w:rsidR="00A83E9C" w:rsidRPr="00F6205B" w:rsidRDefault="00A83E9C" w:rsidP="00A83E9C">
      <w:pPr>
        <w:jc w:val="center"/>
      </w:pPr>
    </w:p>
    <w:p w14:paraId="5C9BDB64" w14:textId="52015E19" w:rsidR="00A83E9C" w:rsidRPr="00F6205B" w:rsidRDefault="00A83E9C" w:rsidP="004F23CF">
      <w:pPr>
        <w:pStyle w:val="Caption"/>
      </w:pPr>
      <w:bookmarkStart w:id="247" w:name="_Ref390774855"/>
      <w:bookmarkStart w:id="248" w:name="_Ref439321265"/>
      <w:bookmarkStart w:id="249" w:name="_Toc391887360"/>
      <w:bookmarkStart w:id="250" w:name="_Toc439931855"/>
      <w:r w:rsidRPr="00F6205B">
        <w:lastRenderedPageBreak/>
        <w:t>Table</w:t>
      </w:r>
      <w:bookmarkEnd w:id="247"/>
      <w:r w:rsidR="004F23CF" w:rsidRPr="00F6205B">
        <w:t xml:space="preserve"> </w:t>
      </w:r>
      <w:fldSimple w:instr=" SEQ Table \* ARABIC ">
        <w:r w:rsidR="00FA26A9">
          <w:rPr>
            <w:noProof/>
          </w:rPr>
          <w:t>24</w:t>
        </w:r>
      </w:fldSimple>
      <w:bookmarkEnd w:id="248"/>
      <w:r w:rsidRPr="00F6205B">
        <w:t>: Screening Result</w:t>
      </w:r>
      <w:r w:rsidR="00425FF2" w:rsidRPr="00F6205B">
        <w:t xml:space="preserve">s—Measures with Mean TRC </w:t>
      </w:r>
      <w:r w:rsidRPr="00F6205B">
        <w:t xml:space="preserve">Ratio </w:t>
      </w:r>
      <w:r w:rsidR="00425FF2" w:rsidRPr="00F6205B">
        <w:t xml:space="preserve">&lt; </w:t>
      </w:r>
      <w:r w:rsidRPr="00F6205B">
        <w:t>1.0</w:t>
      </w:r>
      <w:bookmarkEnd w:id="249"/>
      <w:bookmarkEnd w:id="250"/>
    </w:p>
    <w:p w14:paraId="60748FF5" w14:textId="0881511C" w:rsidR="006D2026" w:rsidRPr="00F6205B" w:rsidRDefault="006D2026" w:rsidP="006D2026">
      <w:pPr>
        <w:pStyle w:val="Caption"/>
        <w:spacing w:before="0" w:after="120"/>
        <w:rPr>
          <w:b w:val="0"/>
          <w:bCs w:val="0"/>
          <w:sz w:val="18"/>
        </w:rPr>
      </w:pPr>
      <w:r w:rsidRPr="00F6205B">
        <w:rPr>
          <w:b w:val="0"/>
          <w:bCs w:val="0"/>
          <w:sz w:val="18"/>
        </w:rPr>
        <w:t>Base: all single-family homes (population-weighted)</w:t>
      </w:r>
    </w:p>
    <w:tbl>
      <w:tblPr>
        <w:tblW w:w="9441"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456"/>
        <w:gridCol w:w="1197"/>
        <w:gridCol w:w="1197"/>
        <w:gridCol w:w="1197"/>
        <w:gridCol w:w="1197"/>
        <w:gridCol w:w="1197"/>
      </w:tblGrid>
      <w:tr w:rsidR="00BD5DBE" w:rsidRPr="00F6205B" w14:paraId="4360F523" w14:textId="77777777" w:rsidTr="00AD4AA9">
        <w:trPr>
          <w:trHeight w:val="288"/>
          <w:jc w:val="center"/>
        </w:trPr>
        <w:tc>
          <w:tcPr>
            <w:tcW w:w="3456" w:type="dxa"/>
            <w:vMerge w:val="restart"/>
            <w:tcBorders>
              <w:top w:val="single" w:sz="4" w:space="0" w:color="auto"/>
              <w:left w:val="single" w:sz="4" w:space="0" w:color="auto"/>
              <w:right w:val="single" w:sz="4" w:space="0" w:color="000000" w:themeColor="text1"/>
            </w:tcBorders>
            <w:shd w:val="clear" w:color="auto" w:fill="0B4D2C" w:themeFill="background2" w:themeFillShade="BF"/>
            <w:vAlign w:val="center"/>
          </w:tcPr>
          <w:p w14:paraId="623C7473" w14:textId="77777777" w:rsidR="00BD5DBE" w:rsidRPr="00F6205B" w:rsidRDefault="00BD5DBE" w:rsidP="00BF5F09">
            <w:pPr>
              <w:keepNext/>
              <w:keepLines/>
              <w:spacing w:after="0"/>
              <w:contextualSpacing/>
              <w:rPr>
                <w:b/>
                <w:sz w:val="20"/>
                <w:szCs w:val="20"/>
              </w:rPr>
            </w:pPr>
            <w:r w:rsidRPr="00F6205B">
              <w:rPr>
                <w:b/>
                <w:sz w:val="20"/>
                <w:szCs w:val="20"/>
              </w:rPr>
              <w:t>Measure</w:t>
            </w:r>
          </w:p>
        </w:tc>
        <w:tc>
          <w:tcPr>
            <w:tcW w:w="1197" w:type="dxa"/>
            <w:vMerge w:val="restart"/>
            <w:tcBorders>
              <w:top w:val="single" w:sz="4" w:space="0" w:color="auto"/>
              <w:left w:val="single" w:sz="4" w:space="0" w:color="000000" w:themeColor="text1"/>
              <w:right w:val="single" w:sz="4" w:space="0" w:color="auto"/>
            </w:tcBorders>
            <w:shd w:val="clear" w:color="auto" w:fill="0B4D2C" w:themeFill="background2" w:themeFillShade="BF"/>
            <w:vAlign w:val="center"/>
          </w:tcPr>
          <w:p w14:paraId="444C59E9" w14:textId="77777777" w:rsidR="00BD5DBE" w:rsidRPr="00F6205B" w:rsidRDefault="00BD5DBE" w:rsidP="004F23CF">
            <w:pPr>
              <w:keepNext/>
              <w:keepLines/>
              <w:spacing w:after="0"/>
              <w:contextualSpacing/>
              <w:jc w:val="center"/>
              <w:rPr>
                <w:b/>
                <w:sz w:val="20"/>
                <w:szCs w:val="20"/>
              </w:rPr>
            </w:pPr>
            <w:r w:rsidRPr="00F6205B">
              <w:rPr>
                <w:b/>
                <w:sz w:val="20"/>
                <w:szCs w:val="20"/>
              </w:rPr>
              <w:t># of Sites Measure Applied</w:t>
            </w:r>
          </w:p>
        </w:tc>
        <w:tc>
          <w:tcPr>
            <w:tcW w:w="2394" w:type="dxa"/>
            <w:gridSpan w:val="2"/>
            <w:tcBorders>
              <w:top w:val="single" w:sz="4" w:space="0" w:color="auto"/>
              <w:left w:val="single" w:sz="4" w:space="0" w:color="auto"/>
              <w:bottom w:val="single" w:sz="4" w:space="0" w:color="auto"/>
              <w:right w:val="single" w:sz="4" w:space="0" w:color="auto"/>
            </w:tcBorders>
            <w:shd w:val="clear" w:color="auto" w:fill="0B4D2C" w:themeFill="background2" w:themeFillShade="BF"/>
            <w:vAlign w:val="center"/>
          </w:tcPr>
          <w:p w14:paraId="2B62D314" w14:textId="2C6A622A" w:rsidR="00BD5DBE" w:rsidRPr="00F6205B" w:rsidRDefault="00BD5DBE" w:rsidP="004F23CF">
            <w:pPr>
              <w:keepNext/>
              <w:keepLines/>
              <w:spacing w:after="0"/>
              <w:contextualSpacing/>
              <w:jc w:val="center"/>
              <w:rPr>
                <w:b/>
                <w:sz w:val="20"/>
                <w:szCs w:val="20"/>
              </w:rPr>
            </w:pPr>
            <w:r>
              <w:rPr>
                <w:b/>
                <w:sz w:val="20"/>
                <w:szCs w:val="20"/>
              </w:rPr>
              <w:t>UCT</w:t>
            </w:r>
          </w:p>
        </w:tc>
        <w:tc>
          <w:tcPr>
            <w:tcW w:w="2394" w:type="dxa"/>
            <w:gridSpan w:val="2"/>
            <w:tcBorders>
              <w:top w:val="single" w:sz="4" w:space="0" w:color="auto"/>
              <w:left w:val="single" w:sz="4" w:space="0" w:color="auto"/>
              <w:bottom w:val="single" w:sz="4" w:space="0" w:color="auto"/>
              <w:right w:val="single" w:sz="4" w:space="0" w:color="auto"/>
            </w:tcBorders>
            <w:shd w:val="clear" w:color="auto" w:fill="0B4D2C" w:themeFill="background2" w:themeFillShade="BF"/>
            <w:vAlign w:val="center"/>
          </w:tcPr>
          <w:p w14:paraId="3DCED8D3" w14:textId="1A522650" w:rsidR="00BD5DBE" w:rsidRPr="00F6205B" w:rsidRDefault="00BD5DBE" w:rsidP="004F23CF">
            <w:pPr>
              <w:keepNext/>
              <w:keepLines/>
              <w:spacing w:after="0"/>
              <w:contextualSpacing/>
              <w:jc w:val="center"/>
              <w:rPr>
                <w:b/>
                <w:sz w:val="20"/>
                <w:szCs w:val="20"/>
              </w:rPr>
            </w:pPr>
            <w:r>
              <w:rPr>
                <w:b/>
                <w:sz w:val="20"/>
                <w:szCs w:val="20"/>
              </w:rPr>
              <w:t>TRC</w:t>
            </w:r>
          </w:p>
        </w:tc>
      </w:tr>
      <w:tr w:rsidR="00BD5DBE" w:rsidRPr="00F6205B" w14:paraId="686966EF" w14:textId="77777777" w:rsidTr="00AD4AA9">
        <w:trPr>
          <w:trHeight w:val="288"/>
          <w:jc w:val="center"/>
        </w:trPr>
        <w:tc>
          <w:tcPr>
            <w:tcW w:w="3456" w:type="dxa"/>
            <w:vMerge/>
            <w:tcBorders>
              <w:left w:val="single" w:sz="4" w:space="0" w:color="auto"/>
              <w:bottom w:val="single" w:sz="4" w:space="0" w:color="auto"/>
              <w:right w:val="single" w:sz="4" w:space="0" w:color="000000" w:themeColor="text1"/>
            </w:tcBorders>
            <w:shd w:val="clear" w:color="auto" w:fill="0B4D2C" w:themeFill="background2" w:themeFillShade="BF"/>
            <w:vAlign w:val="center"/>
          </w:tcPr>
          <w:p w14:paraId="3D6E90DA" w14:textId="77777777" w:rsidR="00BD5DBE" w:rsidRPr="00F6205B" w:rsidRDefault="00BD5DBE" w:rsidP="00BD5DBE">
            <w:pPr>
              <w:keepNext/>
              <w:keepLines/>
              <w:spacing w:after="0"/>
              <w:contextualSpacing/>
              <w:rPr>
                <w:b/>
                <w:sz w:val="20"/>
                <w:szCs w:val="20"/>
              </w:rPr>
            </w:pPr>
          </w:p>
        </w:tc>
        <w:tc>
          <w:tcPr>
            <w:tcW w:w="1197" w:type="dxa"/>
            <w:vMerge/>
            <w:tcBorders>
              <w:left w:val="single" w:sz="4" w:space="0" w:color="000000" w:themeColor="text1"/>
              <w:bottom w:val="single" w:sz="4" w:space="0" w:color="auto"/>
              <w:right w:val="single" w:sz="4" w:space="0" w:color="auto"/>
            </w:tcBorders>
            <w:shd w:val="clear" w:color="auto" w:fill="0B4D2C" w:themeFill="background2" w:themeFillShade="BF"/>
            <w:vAlign w:val="center"/>
          </w:tcPr>
          <w:p w14:paraId="55B7E2F8" w14:textId="77777777" w:rsidR="00BD5DBE" w:rsidRPr="00F6205B" w:rsidRDefault="00BD5DBE" w:rsidP="00BD5DBE">
            <w:pPr>
              <w:keepNext/>
              <w:keepLines/>
              <w:spacing w:after="0"/>
              <w:contextualSpacing/>
              <w:jc w:val="center"/>
              <w:rPr>
                <w:b/>
                <w:sz w:val="20"/>
                <w:szCs w:val="20"/>
              </w:rPr>
            </w:pPr>
          </w:p>
        </w:tc>
        <w:tc>
          <w:tcPr>
            <w:tcW w:w="1197" w:type="dxa"/>
            <w:tcBorders>
              <w:top w:val="single" w:sz="4" w:space="0" w:color="auto"/>
              <w:left w:val="single" w:sz="4" w:space="0" w:color="auto"/>
              <w:bottom w:val="single" w:sz="4" w:space="0" w:color="auto"/>
              <w:right w:val="single" w:sz="4" w:space="0" w:color="000000" w:themeColor="text1"/>
            </w:tcBorders>
            <w:shd w:val="clear" w:color="auto" w:fill="0B4D2C" w:themeFill="background2" w:themeFillShade="BF"/>
            <w:vAlign w:val="center"/>
          </w:tcPr>
          <w:p w14:paraId="0A8B33E4" w14:textId="443A0C2E" w:rsidR="00BD5DBE" w:rsidRPr="00F6205B" w:rsidRDefault="00BD5DBE" w:rsidP="00BD5DBE">
            <w:pPr>
              <w:keepNext/>
              <w:keepLines/>
              <w:spacing w:after="0"/>
              <w:contextualSpacing/>
              <w:jc w:val="center"/>
              <w:rPr>
                <w:b/>
                <w:sz w:val="20"/>
                <w:szCs w:val="20"/>
              </w:rPr>
            </w:pPr>
            <w:r>
              <w:rPr>
                <w:b/>
                <w:sz w:val="20"/>
                <w:szCs w:val="20"/>
              </w:rPr>
              <w:t>Pass %</w:t>
            </w:r>
          </w:p>
        </w:tc>
        <w:tc>
          <w:tcPr>
            <w:tcW w:w="1197" w:type="dxa"/>
            <w:tcBorders>
              <w:top w:val="single" w:sz="4" w:space="0" w:color="auto"/>
              <w:left w:val="single" w:sz="4" w:space="0" w:color="000000" w:themeColor="text1"/>
              <w:bottom w:val="single" w:sz="4" w:space="0" w:color="auto"/>
              <w:right w:val="single" w:sz="4" w:space="0" w:color="auto"/>
            </w:tcBorders>
            <w:shd w:val="clear" w:color="auto" w:fill="0B4D2C" w:themeFill="background2" w:themeFillShade="BF"/>
            <w:vAlign w:val="center"/>
          </w:tcPr>
          <w:p w14:paraId="1952659B" w14:textId="38549B9D" w:rsidR="00BD5DBE" w:rsidRPr="00F6205B" w:rsidRDefault="00BD5DBE" w:rsidP="00BD5DBE">
            <w:pPr>
              <w:keepNext/>
              <w:keepLines/>
              <w:spacing w:after="0"/>
              <w:contextualSpacing/>
              <w:jc w:val="center"/>
              <w:rPr>
                <w:b/>
                <w:sz w:val="20"/>
                <w:szCs w:val="20"/>
              </w:rPr>
            </w:pPr>
            <w:r>
              <w:rPr>
                <w:b/>
                <w:sz w:val="20"/>
                <w:szCs w:val="20"/>
              </w:rPr>
              <w:t>Mean Ratio</w:t>
            </w:r>
          </w:p>
        </w:tc>
        <w:tc>
          <w:tcPr>
            <w:tcW w:w="1197" w:type="dxa"/>
            <w:tcBorders>
              <w:top w:val="single" w:sz="4" w:space="0" w:color="auto"/>
              <w:left w:val="single" w:sz="4" w:space="0" w:color="auto"/>
              <w:bottom w:val="single" w:sz="4" w:space="0" w:color="auto"/>
              <w:right w:val="single" w:sz="4" w:space="0" w:color="000000" w:themeColor="text1"/>
            </w:tcBorders>
            <w:shd w:val="clear" w:color="auto" w:fill="0B4D2C" w:themeFill="background2" w:themeFillShade="BF"/>
            <w:vAlign w:val="center"/>
          </w:tcPr>
          <w:p w14:paraId="0910B27F" w14:textId="0B6F5C14" w:rsidR="00BD5DBE" w:rsidRPr="00F6205B" w:rsidRDefault="00BD5DBE" w:rsidP="00BD5DBE">
            <w:pPr>
              <w:keepNext/>
              <w:keepLines/>
              <w:spacing w:after="0"/>
              <w:contextualSpacing/>
              <w:jc w:val="center"/>
              <w:rPr>
                <w:b/>
                <w:sz w:val="20"/>
                <w:szCs w:val="20"/>
              </w:rPr>
            </w:pPr>
            <w:r>
              <w:rPr>
                <w:b/>
                <w:sz w:val="20"/>
                <w:szCs w:val="20"/>
              </w:rPr>
              <w:t>Pass %</w:t>
            </w:r>
          </w:p>
        </w:tc>
        <w:tc>
          <w:tcPr>
            <w:tcW w:w="1197" w:type="dxa"/>
            <w:tcBorders>
              <w:top w:val="single" w:sz="4" w:space="0" w:color="auto"/>
              <w:left w:val="single" w:sz="4" w:space="0" w:color="000000" w:themeColor="text1"/>
              <w:bottom w:val="single" w:sz="4" w:space="0" w:color="auto"/>
              <w:right w:val="single" w:sz="4" w:space="0" w:color="auto"/>
            </w:tcBorders>
            <w:shd w:val="clear" w:color="auto" w:fill="0B4D2C" w:themeFill="background2" w:themeFillShade="BF"/>
            <w:vAlign w:val="center"/>
          </w:tcPr>
          <w:p w14:paraId="609C54AD" w14:textId="4A2C1C32" w:rsidR="00BD5DBE" w:rsidRPr="00F6205B" w:rsidRDefault="00BD5DBE" w:rsidP="00BD5DBE">
            <w:pPr>
              <w:keepNext/>
              <w:keepLines/>
              <w:spacing w:after="0"/>
              <w:contextualSpacing/>
              <w:jc w:val="center"/>
              <w:rPr>
                <w:b/>
                <w:sz w:val="20"/>
                <w:szCs w:val="20"/>
              </w:rPr>
            </w:pPr>
            <w:r>
              <w:rPr>
                <w:b/>
                <w:sz w:val="20"/>
                <w:szCs w:val="20"/>
              </w:rPr>
              <w:t>Mean Ratio</w:t>
            </w:r>
          </w:p>
        </w:tc>
      </w:tr>
      <w:tr w:rsidR="00BD5DBE" w:rsidRPr="00F6205B" w14:paraId="6C878257" w14:textId="77777777" w:rsidTr="00BF5F09">
        <w:trPr>
          <w:trHeight w:val="288"/>
          <w:jc w:val="center"/>
        </w:trPr>
        <w:tc>
          <w:tcPr>
            <w:tcW w:w="3456" w:type="dxa"/>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tcPr>
          <w:p w14:paraId="79A91B6D" w14:textId="6E2030B7" w:rsidR="00BD5DBE" w:rsidRPr="00F6205B" w:rsidRDefault="00BD5DBE" w:rsidP="00BD5DBE">
            <w:pPr>
              <w:keepNext/>
              <w:keepLines/>
              <w:contextualSpacing/>
              <w:rPr>
                <w:color w:val="000000"/>
                <w:sz w:val="20"/>
                <w:szCs w:val="20"/>
              </w:rPr>
            </w:pPr>
            <w:r w:rsidRPr="00F6205B">
              <w:rPr>
                <w:color w:val="000000"/>
                <w:sz w:val="20"/>
                <w:szCs w:val="20"/>
              </w:rPr>
              <w:t>Gas furnace</w:t>
            </w:r>
          </w:p>
        </w:tc>
        <w:tc>
          <w:tcPr>
            <w:tcW w:w="1197" w:type="dxa"/>
            <w:tcBorders>
              <w:top w:val="single" w:sz="4" w:space="0" w:color="auto"/>
              <w:left w:val="single" w:sz="4" w:space="0" w:color="000000" w:themeColor="text1"/>
              <w:bottom w:val="single" w:sz="4" w:space="0" w:color="000000" w:themeColor="text1"/>
              <w:right w:val="single" w:sz="4" w:space="0" w:color="auto"/>
            </w:tcBorders>
            <w:shd w:val="clear" w:color="auto" w:fill="auto"/>
            <w:vAlign w:val="center"/>
          </w:tcPr>
          <w:p w14:paraId="678E0B06" w14:textId="141BE030" w:rsidR="00BD5DBE" w:rsidRPr="00F6205B" w:rsidRDefault="00BD5DBE" w:rsidP="00BD5DBE">
            <w:pPr>
              <w:keepNext/>
              <w:keepLines/>
              <w:contextualSpacing/>
              <w:jc w:val="center"/>
              <w:rPr>
                <w:color w:val="000000"/>
                <w:sz w:val="20"/>
                <w:szCs w:val="20"/>
              </w:rPr>
            </w:pPr>
            <w:r w:rsidRPr="00F6205B">
              <w:rPr>
                <w:color w:val="000000"/>
                <w:sz w:val="20"/>
                <w:szCs w:val="20"/>
              </w:rPr>
              <w:t>25</w:t>
            </w:r>
          </w:p>
        </w:tc>
        <w:tc>
          <w:tcPr>
            <w:tcW w:w="1197" w:type="dxa"/>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tcPr>
          <w:p w14:paraId="4F49CAB5" w14:textId="1F8741F5" w:rsidR="00BD5DBE" w:rsidRPr="00F6205B" w:rsidRDefault="00BD5DBE" w:rsidP="00BD5DBE">
            <w:pPr>
              <w:keepNext/>
              <w:keepLines/>
              <w:contextualSpacing/>
              <w:jc w:val="center"/>
              <w:rPr>
                <w:color w:val="000000"/>
                <w:sz w:val="20"/>
                <w:szCs w:val="20"/>
              </w:rPr>
            </w:pPr>
            <w:r>
              <w:rPr>
                <w:color w:val="000000"/>
                <w:sz w:val="20"/>
                <w:szCs w:val="20"/>
              </w:rPr>
              <w:t>72%</w:t>
            </w:r>
          </w:p>
        </w:tc>
        <w:tc>
          <w:tcPr>
            <w:tcW w:w="1197" w:type="dxa"/>
            <w:tcBorders>
              <w:top w:val="single" w:sz="4" w:space="0" w:color="auto"/>
              <w:left w:val="single" w:sz="4" w:space="0" w:color="000000" w:themeColor="text1"/>
              <w:bottom w:val="single" w:sz="4" w:space="0" w:color="000000" w:themeColor="text1"/>
              <w:right w:val="single" w:sz="4" w:space="0" w:color="auto"/>
            </w:tcBorders>
            <w:shd w:val="clear" w:color="auto" w:fill="auto"/>
            <w:vAlign w:val="center"/>
          </w:tcPr>
          <w:p w14:paraId="5CF26050" w14:textId="7DFB42B5" w:rsidR="00BD5DBE" w:rsidRPr="00F6205B" w:rsidRDefault="00BD5DBE" w:rsidP="00BD5DBE">
            <w:pPr>
              <w:keepNext/>
              <w:keepLines/>
              <w:contextualSpacing/>
              <w:jc w:val="center"/>
              <w:rPr>
                <w:color w:val="000000"/>
                <w:sz w:val="20"/>
                <w:szCs w:val="20"/>
              </w:rPr>
            </w:pPr>
            <w:r>
              <w:rPr>
                <w:color w:val="000000"/>
                <w:sz w:val="20"/>
                <w:szCs w:val="20"/>
              </w:rPr>
              <w:t>2.7</w:t>
            </w:r>
          </w:p>
        </w:tc>
        <w:tc>
          <w:tcPr>
            <w:tcW w:w="1197" w:type="dxa"/>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tcPr>
          <w:p w14:paraId="5965BFBE" w14:textId="1548970A" w:rsidR="00BD5DBE" w:rsidRPr="00F6205B" w:rsidRDefault="00BD5DBE" w:rsidP="00BD5DBE">
            <w:pPr>
              <w:keepNext/>
              <w:keepLines/>
              <w:contextualSpacing/>
              <w:jc w:val="center"/>
              <w:rPr>
                <w:color w:val="000000"/>
                <w:sz w:val="20"/>
                <w:szCs w:val="20"/>
              </w:rPr>
            </w:pPr>
            <w:r w:rsidRPr="00F6205B">
              <w:rPr>
                <w:color w:val="000000"/>
                <w:sz w:val="20"/>
                <w:szCs w:val="20"/>
              </w:rPr>
              <w:t>40%</w:t>
            </w:r>
          </w:p>
        </w:tc>
        <w:tc>
          <w:tcPr>
            <w:tcW w:w="1197" w:type="dxa"/>
            <w:tcBorders>
              <w:top w:val="single" w:sz="4" w:space="0" w:color="auto"/>
              <w:left w:val="single" w:sz="4" w:space="0" w:color="000000" w:themeColor="text1"/>
              <w:bottom w:val="single" w:sz="4" w:space="0" w:color="000000" w:themeColor="text1"/>
              <w:right w:val="single" w:sz="4" w:space="0" w:color="auto"/>
            </w:tcBorders>
            <w:shd w:val="clear" w:color="auto" w:fill="auto"/>
            <w:vAlign w:val="center"/>
          </w:tcPr>
          <w:p w14:paraId="2F79BE55" w14:textId="1A98C152" w:rsidR="00BD5DBE" w:rsidRPr="00F6205B" w:rsidRDefault="00BD5DBE" w:rsidP="00BD5DBE">
            <w:pPr>
              <w:keepNext/>
              <w:keepLines/>
              <w:contextualSpacing/>
              <w:jc w:val="center"/>
              <w:rPr>
                <w:color w:val="000000"/>
                <w:sz w:val="20"/>
                <w:szCs w:val="20"/>
              </w:rPr>
            </w:pPr>
            <w:r w:rsidRPr="00F6205B">
              <w:rPr>
                <w:color w:val="000000"/>
                <w:sz w:val="20"/>
                <w:szCs w:val="20"/>
              </w:rPr>
              <w:t>0.8</w:t>
            </w:r>
          </w:p>
        </w:tc>
      </w:tr>
      <w:tr w:rsidR="00BD5DBE" w:rsidRPr="00F6205B" w14:paraId="49AB9161" w14:textId="77777777" w:rsidTr="000F4D91">
        <w:trPr>
          <w:trHeight w:val="288"/>
          <w:jc w:val="center"/>
        </w:trPr>
        <w:tc>
          <w:tcPr>
            <w:tcW w:w="345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25A03E0A" w14:textId="1D3D3CF4" w:rsidR="00BD5DBE" w:rsidRPr="00F6205B" w:rsidRDefault="00BD5DBE" w:rsidP="00BD5DBE">
            <w:pPr>
              <w:keepNext/>
              <w:keepLines/>
              <w:contextualSpacing/>
              <w:rPr>
                <w:color w:val="000000"/>
                <w:sz w:val="20"/>
                <w:szCs w:val="20"/>
              </w:rPr>
            </w:pPr>
            <w:r w:rsidRPr="00F6205B">
              <w:rPr>
                <w:color w:val="000000"/>
                <w:sz w:val="20"/>
                <w:szCs w:val="20"/>
              </w:rPr>
              <w:t>Solar thermal array</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0F78D7FB" w14:textId="3C63F8C8" w:rsidR="00BD5DBE" w:rsidRPr="00F6205B" w:rsidRDefault="00BD5DBE" w:rsidP="00BD5DBE">
            <w:pPr>
              <w:keepNext/>
              <w:keepLines/>
              <w:contextualSpacing/>
              <w:jc w:val="center"/>
              <w:rPr>
                <w:color w:val="000000"/>
                <w:sz w:val="20"/>
                <w:szCs w:val="20"/>
              </w:rPr>
            </w:pPr>
            <w:r w:rsidRPr="00F6205B">
              <w:rPr>
                <w:color w:val="000000"/>
                <w:sz w:val="20"/>
                <w:szCs w:val="20"/>
              </w:rPr>
              <w:t>108</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2A028390" w14:textId="30C35FC8" w:rsidR="00BD5DBE" w:rsidRPr="00F6205B" w:rsidRDefault="00BD5DBE" w:rsidP="00BD5DBE">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3D7DFAD0" w14:textId="523E3F2A" w:rsidR="00BD5DBE" w:rsidRPr="00F6205B" w:rsidRDefault="00BD5DBE" w:rsidP="00BD5DBE">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250BCCB0" w14:textId="1FFE289B" w:rsidR="00BD5DBE" w:rsidRPr="00F6205B" w:rsidRDefault="00BD5DBE" w:rsidP="00BD5DBE">
            <w:pPr>
              <w:keepNext/>
              <w:keepLines/>
              <w:contextualSpacing/>
              <w:jc w:val="center"/>
              <w:rPr>
                <w:color w:val="000000"/>
                <w:sz w:val="20"/>
                <w:szCs w:val="20"/>
              </w:rPr>
            </w:pPr>
            <w:r w:rsidRPr="00F6205B">
              <w:rPr>
                <w:color w:val="000000"/>
                <w:sz w:val="20"/>
                <w:szCs w:val="20"/>
              </w:rPr>
              <w:t>28%</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50B84E95" w14:textId="5424BBF0" w:rsidR="00BD5DBE" w:rsidRPr="00F6205B" w:rsidRDefault="00BD5DBE" w:rsidP="00BD5DBE">
            <w:pPr>
              <w:keepNext/>
              <w:keepLines/>
              <w:contextualSpacing/>
              <w:jc w:val="center"/>
              <w:rPr>
                <w:color w:val="000000"/>
                <w:sz w:val="20"/>
                <w:szCs w:val="20"/>
              </w:rPr>
            </w:pPr>
            <w:r w:rsidRPr="00F6205B">
              <w:rPr>
                <w:color w:val="000000"/>
                <w:sz w:val="20"/>
                <w:szCs w:val="20"/>
              </w:rPr>
              <w:t>0.8</w:t>
            </w:r>
          </w:p>
        </w:tc>
      </w:tr>
      <w:tr w:rsidR="00BD5DBE" w:rsidRPr="00F6205B" w14:paraId="5F3E45C4" w14:textId="77777777" w:rsidTr="00BF5F09">
        <w:trPr>
          <w:trHeight w:val="288"/>
          <w:jc w:val="center"/>
        </w:trPr>
        <w:tc>
          <w:tcPr>
            <w:tcW w:w="345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55F51B9E" w14:textId="2DCA445B" w:rsidR="00BD5DBE" w:rsidRPr="00F6205B" w:rsidRDefault="00BD5DBE" w:rsidP="00BD5DBE">
            <w:pPr>
              <w:keepNext/>
              <w:keepLines/>
              <w:contextualSpacing/>
              <w:rPr>
                <w:color w:val="000000"/>
                <w:sz w:val="20"/>
                <w:szCs w:val="20"/>
              </w:rPr>
            </w:pPr>
            <w:r w:rsidRPr="00F6205B">
              <w:rPr>
                <w:color w:val="000000"/>
                <w:sz w:val="20"/>
                <w:szCs w:val="20"/>
              </w:rPr>
              <w:t>Propane instantaneous water heater</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37314D06" w14:textId="6B2E10AA" w:rsidR="00BD5DBE" w:rsidRPr="00F6205B" w:rsidRDefault="00BD5DBE" w:rsidP="00BD5DBE">
            <w:pPr>
              <w:keepNext/>
              <w:keepLines/>
              <w:contextualSpacing/>
              <w:jc w:val="center"/>
              <w:rPr>
                <w:color w:val="000000"/>
                <w:sz w:val="20"/>
                <w:szCs w:val="20"/>
              </w:rPr>
            </w:pPr>
            <w:r w:rsidRPr="00F6205B">
              <w:rPr>
                <w:color w:val="000000"/>
                <w:sz w:val="20"/>
                <w:szCs w:val="20"/>
              </w:rPr>
              <w:t>6</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7964A3BC" w14:textId="1C35331F" w:rsidR="00BD5DBE" w:rsidRPr="00F6205B" w:rsidRDefault="00BD5DBE" w:rsidP="00BD5DBE">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24EA6B38" w14:textId="3FF6F53E" w:rsidR="00BD5DBE" w:rsidRPr="00F6205B" w:rsidRDefault="00BD5DBE" w:rsidP="00BD5DBE">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50200A00" w14:textId="423C2D34" w:rsidR="00BD5DBE" w:rsidRPr="00F6205B" w:rsidRDefault="00BD5DBE" w:rsidP="00BD5DBE">
            <w:pPr>
              <w:keepNext/>
              <w:keepLines/>
              <w:contextualSpacing/>
              <w:jc w:val="center"/>
              <w:rPr>
                <w:color w:val="000000"/>
                <w:sz w:val="20"/>
                <w:szCs w:val="20"/>
              </w:rPr>
            </w:pPr>
            <w:r w:rsidRPr="00F6205B">
              <w:rPr>
                <w:color w:val="000000"/>
                <w:sz w:val="20"/>
                <w:szCs w:val="20"/>
              </w:rPr>
              <w:t>33%</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782C86DA" w14:textId="3E635332" w:rsidR="00BD5DBE" w:rsidRPr="00F6205B" w:rsidRDefault="00BD5DBE" w:rsidP="00BD5DBE">
            <w:pPr>
              <w:keepNext/>
              <w:keepLines/>
              <w:contextualSpacing/>
              <w:jc w:val="center"/>
              <w:rPr>
                <w:color w:val="000000"/>
                <w:sz w:val="20"/>
                <w:szCs w:val="20"/>
              </w:rPr>
            </w:pPr>
            <w:r w:rsidRPr="00F6205B">
              <w:rPr>
                <w:color w:val="000000"/>
                <w:sz w:val="20"/>
                <w:szCs w:val="20"/>
              </w:rPr>
              <w:t>0.8</w:t>
            </w:r>
          </w:p>
        </w:tc>
      </w:tr>
      <w:tr w:rsidR="00BD5DBE" w:rsidRPr="00F6205B" w14:paraId="0B407D52" w14:textId="77777777" w:rsidTr="000F4D91">
        <w:trPr>
          <w:trHeight w:val="288"/>
          <w:jc w:val="center"/>
        </w:trPr>
        <w:tc>
          <w:tcPr>
            <w:tcW w:w="345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730751AF" w14:textId="445DE9EB" w:rsidR="00BD5DBE" w:rsidRPr="00F6205B" w:rsidRDefault="00BD5DBE" w:rsidP="00BD5DBE">
            <w:pPr>
              <w:keepNext/>
              <w:keepLines/>
              <w:contextualSpacing/>
              <w:rPr>
                <w:color w:val="000000"/>
                <w:sz w:val="20"/>
                <w:szCs w:val="20"/>
              </w:rPr>
            </w:pPr>
            <w:r w:rsidRPr="00F6205B">
              <w:rPr>
                <w:color w:val="000000"/>
                <w:sz w:val="20"/>
                <w:szCs w:val="20"/>
              </w:rPr>
              <w:t>Propane condensing water heater</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7AD58C79" w14:textId="1344AD2D" w:rsidR="00BD5DBE" w:rsidRPr="00F6205B" w:rsidRDefault="00BD5DBE" w:rsidP="00BD5DBE">
            <w:pPr>
              <w:keepNext/>
              <w:keepLines/>
              <w:contextualSpacing/>
              <w:jc w:val="center"/>
              <w:rPr>
                <w:color w:val="000000"/>
                <w:sz w:val="20"/>
                <w:szCs w:val="20"/>
              </w:rPr>
            </w:pPr>
            <w:r w:rsidRPr="00F6205B">
              <w:rPr>
                <w:color w:val="000000"/>
                <w:sz w:val="20"/>
                <w:szCs w:val="20"/>
              </w:rPr>
              <w:t>4</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6D7AFF5B" w14:textId="269CA1D0" w:rsidR="00BD5DBE" w:rsidRPr="00F6205B" w:rsidRDefault="00BD5DBE" w:rsidP="00BD5DBE">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22A33A93" w14:textId="61F87716" w:rsidR="00BD5DBE" w:rsidRPr="00F6205B" w:rsidRDefault="00BD5DBE" w:rsidP="00BD5DBE">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6B0ADE42" w14:textId="3742384A" w:rsidR="00BD5DBE" w:rsidRPr="00F6205B" w:rsidRDefault="00BD5DBE" w:rsidP="00BD5DBE">
            <w:pPr>
              <w:keepNext/>
              <w:keepLines/>
              <w:contextualSpacing/>
              <w:jc w:val="center"/>
              <w:rPr>
                <w:color w:val="000000"/>
                <w:sz w:val="20"/>
                <w:szCs w:val="20"/>
              </w:rPr>
            </w:pPr>
            <w:r w:rsidRPr="00F6205B">
              <w:rPr>
                <w:color w:val="000000"/>
                <w:sz w:val="20"/>
                <w:szCs w:val="20"/>
              </w:rPr>
              <w:t>25%</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1AFD8769" w14:textId="45B49F0C" w:rsidR="00BD5DBE" w:rsidRPr="00F6205B" w:rsidRDefault="00BD5DBE" w:rsidP="00BD5DBE">
            <w:pPr>
              <w:keepNext/>
              <w:keepLines/>
              <w:contextualSpacing/>
              <w:jc w:val="center"/>
              <w:rPr>
                <w:color w:val="000000"/>
                <w:sz w:val="20"/>
                <w:szCs w:val="20"/>
              </w:rPr>
            </w:pPr>
            <w:r w:rsidRPr="00F6205B">
              <w:rPr>
                <w:color w:val="000000"/>
                <w:sz w:val="20"/>
                <w:szCs w:val="20"/>
              </w:rPr>
              <w:t>0.8</w:t>
            </w:r>
          </w:p>
        </w:tc>
      </w:tr>
      <w:tr w:rsidR="00BD5DBE" w:rsidRPr="00F6205B" w14:paraId="00C59EAF" w14:textId="77777777" w:rsidTr="00BF5F09">
        <w:trPr>
          <w:trHeight w:val="288"/>
          <w:jc w:val="center"/>
        </w:trPr>
        <w:tc>
          <w:tcPr>
            <w:tcW w:w="345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441472C7" w14:textId="6C593F3D" w:rsidR="00BD5DBE" w:rsidRPr="00F6205B" w:rsidRDefault="00BD5DBE" w:rsidP="00BD5DBE">
            <w:pPr>
              <w:keepNext/>
              <w:keepLines/>
              <w:contextualSpacing/>
              <w:rPr>
                <w:color w:val="000000"/>
                <w:sz w:val="20"/>
                <w:szCs w:val="20"/>
              </w:rPr>
            </w:pPr>
            <w:r w:rsidRPr="00F6205B">
              <w:rPr>
                <w:color w:val="000000"/>
                <w:sz w:val="20"/>
                <w:szCs w:val="20"/>
              </w:rPr>
              <w:t>Propane furnace</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5F841AC7" w14:textId="1C98E667" w:rsidR="00BD5DBE" w:rsidRPr="00F6205B" w:rsidRDefault="00BD5DBE" w:rsidP="00BD5DBE">
            <w:pPr>
              <w:keepNext/>
              <w:keepLines/>
              <w:contextualSpacing/>
              <w:jc w:val="center"/>
              <w:rPr>
                <w:color w:val="000000"/>
                <w:sz w:val="20"/>
                <w:szCs w:val="20"/>
              </w:rPr>
            </w:pPr>
            <w:r w:rsidRPr="00F6205B">
              <w:rPr>
                <w:color w:val="000000"/>
                <w:sz w:val="20"/>
                <w:szCs w:val="20"/>
              </w:rPr>
              <w:t>2</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6A042001" w14:textId="065AE5A7" w:rsidR="00BD5DBE" w:rsidRPr="00F6205B" w:rsidRDefault="00BD5DBE" w:rsidP="00BD5DBE">
            <w:pPr>
              <w:keepNext/>
              <w:keepLines/>
              <w:contextualSpacing/>
              <w:jc w:val="center"/>
              <w:rPr>
                <w:color w:val="000000"/>
                <w:sz w:val="20"/>
                <w:szCs w:val="20"/>
              </w:rPr>
            </w:pPr>
            <w:r>
              <w:rPr>
                <w:color w:val="000000"/>
                <w:sz w:val="20"/>
                <w:szCs w:val="20"/>
              </w:rPr>
              <w:t>100%</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3B4CACCA" w14:textId="25822A6E" w:rsidR="00BD5DBE" w:rsidRPr="00F6205B" w:rsidRDefault="00BD5DBE" w:rsidP="00BD5DBE">
            <w:pPr>
              <w:keepNext/>
              <w:keepLines/>
              <w:contextualSpacing/>
              <w:jc w:val="center"/>
              <w:rPr>
                <w:color w:val="000000"/>
                <w:sz w:val="20"/>
                <w:szCs w:val="20"/>
              </w:rPr>
            </w:pPr>
            <w:r>
              <w:rPr>
                <w:color w:val="000000"/>
                <w:sz w:val="20"/>
                <w:szCs w:val="20"/>
              </w:rPr>
              <w:t>9.5</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078DA6D7" w14:textId="6B26B8BF" w:rsidR="00BD5DBE" w:rsidRPr="00F6205B" w:rsidRDefault="00BD5DBE" w:rsidP="00BD5DBE">
            <w:pPr>
              <w:keepNext/>
              <w:keepLines/>
              <w:contextualSpacing/>
              <w:jc w:val="center"/>
              <w:rPr>
                <w:color w:val="000000"/>
                <w:sz w:val="20"/>
                <w:szCs w:val="20"/>
              </w:rPr>
            </w:pPr>
            <w:r w:rsidRPr="00F6205B">
              <w:rPr>
                <w:color w:val="000000"/>
                <w:sz w:val="20"/>
                <w:szCs w:val="20"/>
              </w:rPr>
              <w:t>50%</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60463755" w14:textId="67DAA906" w:rsidR="00BD5DBE" w:rsidRPr="00F6205B" w:rsidRDefault="00BD5DBE" w:rsidP="00BD5DBE">
            <w:pPr>
              <w:keepNext/>
              <w:keepLines/>
              <w:contextualSpacing/>
              <w:jc w:val="center"/>
              <w:rPr>
                <w:color w:val="000000"/>
                <w:sz w:val="20"/>
                <w:szCs w:val="20"/>
              </w:rPr>
            </w:pPr>
            <w:r w:rsidRPr="00F6205B">
              <w:rPr>
                <w:color w:val="000000"/>
                <w:sz w:val="20"/>
                <w:szCs w:val="20"/>
              </w:rPr>
              <w:t>0.8</w:t>
            </w:r>
          </w:p>
        </w:tc>
      </w:tr>
      <w:tr w:rsidR="00BD5DBE" w:rsidRPr="00F6205B" w14:paraId="65D57CA7" w14:textId="77777777" w:rsidTr="000F4D91">
        <w:trPr>
          <w:trHeight w:val="288"/>
          <w:jc w:val="center"/>
        </w:trPr>
        <w:tc>
          <w:tcPr>
            <w:tcW w:w="345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38655B25" w14:textId="5B715C2E" w:rsidR="00BD5DBE" w:rsidRPr="00F6205B" w:rsidRDefault="00BD5DBE" w:rsidP="00BD5DBE">
            <w:pPr>
              <w:keepNext/>
              <w:keepLines/>
              <w:contextualSpacing/>
              <w:rPr>
                <w:color w:val="000000"/>
                <w:sz w:val="20"/>
                <w:szCs w:val="20"/>
              </w:rPr>
            </w:pPr>
            <w:r w:rsidRPr="00F6205B">
              <w:rPr>
                <w:color w:val="000000"/>
                <w:sz w:val="20"/>
                <w:szCs w:val="20"/>
              </w:rPr>
              <w:t>Oil boiler</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23665D6E" w14:textId="48B63D08" w:rsidR="00BD5DBE" w:rsidRPr="00F6205B" w:rsidRDefault="00BD5DBE" w:rsidP="00BD5DBE">
            <w:pPr>
              <w:keepNext/>
              <w:keepLines/>
              <w:contextualSpacing/>
              <w:jc w:val="center"/>
              <w:rPr>
                <w:color w:val="000000"/>
                <w:sz w:val="20"/>
                <w:szCs w:val="20"/>
              </w:rPr>
            </w:pPr>
            <w:r w:rsidRPr="00F6205B">
              <w:rPr>
                <w:color w:val="000000"/>
                <w:sz w:val="20"/>
                <w:szCs w:val="20"/>
              </w:rPr>
              <w:t>80</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291B12BD" w14:textId="55466DB1" w:rsidR="00BD5DBE" w:rsidRPr="00F6205B" w:rsidRDefault="00BD5DBE" w:rsidP="00BD5DBE">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0EAAA4F8" w14:textId="09EB09B4" w:rsidR="00BD5DBE" w:rsidRPr="00F6205B" w:rsidRDefault="00BD5DBE" w:rsidP="00BD5DBE">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43877C6F" w14:textId="1D6EC658" w:rsidR="00BD5DBE" w:rsidRPr="00F6205B" w:rsidRDefault="00BD5DBE" w:rsidP="00BD5DBE">
            <w:pPr>
              <w:keepNext/>
              <w:keepLines/>
              <w:contextualSpacing/>
              <w:jc w:val="center"/>
              <w:rPr>
                <w:color w:val="000000"/>
                <w:sz w:val="20"/>
                <w:szCs w:val="20"/>
              </w:rPr>
            </w:pPr>
            <w:r w:rsidRPr="00F6205B">
              <w:rPr>
                <w:color w:val="000000"/>
                <w:sz w:val="20"/>
                <w:szCs w:val="20"/>
              </w:rPr>
              <w:t>14%</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3FBD8CF6" w14:textId="5DD51DB5" w:rsidR="00BD5DBE" w:rsidRPr="00F6205B" w:rsidRDefault="00BD5DBE" w:rsidP="00BD5DBE">
            <w:pPr>
              <w:keepNext/>
              <w:keepLines/>
              <w:contextualSpacing/>
              <w:jc w:val="center"/>
              <w:rPr>
                <w:color w:val="000000"/>
                <w:sz w:val="20"/>
                <w:szCs w:val="20"/>
              </w:rPr>
            </w:pPr>
            <w:r w:rsidRPr="00F6205B">
              <w:rPr>
                <w:color w:val="000000"/>
                <w:sz w:val="20"/>
                <w:szCs w:val="20"/>
              </w:rPr>
              <w:t>0.7</w:t>
            </w:r>
          </w:p>
        </w:tc>
      </w:tr>
      <w:tr w:rsidR="00BD5DBE" w:rsidRPr="00F6205B" w14:paraId="72F449E6" w14:textId="77777777" w:rsidTr="00BF5F09">
        <w:trPr>
          <w:trHeight w:val="288"/>
          <w:jc w:val="center"/>
        </w:trPr>
        <w:tc>
          <w:tcPr>
            <w:tcW w:w="345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4A1BF0DA" w14:textId="666D5F5A" w:rsidR="00BD5DBE" w:rsidRPr="00F6205B" w:rsidRDefault="00BD5DBE" w:rsidP="00BD5DBE">
            <w:pPr>
              <w:keepNext/>
              <w:keepLines/>
              <w:contextualSpacing/>
              <w:rPr>
                <w:color w:val="000000"/>
                <w:sz w:val="20"/>
                <w:szCs w:val="20"/>
              </w:rPr>
            </w:pPr>
            <w:r w:rsidRPr="00F6205B">
              <w:rPr>
                <w:color w:val="000000"/>
                <w:sz w:val="20"/>
                <w:szCs w:val="20"/>
              </w:rPr>
              <w:t>Propane storage water heater</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2CF3C166" w14:textId="6C1A3068" w:rsidR="00BD5DBE" w:rsidRPr="00F6205B" w:rsidRDefault="00BD5DBE" w:rsidP="00BD5DBE">
            <w:pPr>
              <w:keepNext/>
              <w:keepLines/>
              <w:contextualSpacing/>
              <w:jc w:val="center"/>
              <w:rPr>
                <w:color w:val="000000"/>
                <w:sz w:val="20"/>
                <w:szCs w:val="20"/>
              </w:rPr>
            </w:pPr>
            <w:r w:rsidRPr="00F6205B">
              <w:rPr>
                <w:color w:val="000000"/>
                <w:sz w:val="20"/>
                <w:szCs w:val="20"/>
              </w:rPr>
              <w:t>4</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1E4F369B" w14:textId="05FAD513" w:rsidR="00BD5DBE" w:rsidRPr="00F6205B" w:rsidRDefault="00BD5DBE" w:rsidP="00BD5DBE">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5FEE95E6" w14:textId="02CCFF24" w:rsidR="00BD5DBE" w:rsidRPr="00F6205B" w:rsidRDefault="00BD5DBE" w:rsidP="00BD5DBE">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5EF97E3B" w14:textId="3106A70B" w:rsidR="00BD5DBE" w:rsidRPr="00F6205B" w:rsidRDefault="00BD5DBE" w:rsidP="00BD5DBE">
            <w:pPr>
              <w:keepNext/>
              <w:keepLines/>
              <w:contextualSpacing/>
              <w:jc w:val="center"/>
              <w:rPr>
                <w:color w:val="000000"/>
                <w:sz w:val="20"/>
                <w:szCs w:val="20"/>
              </w:rPr>
            </w:pPr>
            <w:r w:rsidRPr="00F6205B">
              <w:rPr>
                <w:color w:val="000000"/>
                <w:sz w:val="20"/>
                <w:szCs w:val="20"/>
              </w:rPr>
              <w:t>25%</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246C89EF" w14:textId="432DA1B5" w:rsidR="00BD5DBE" w:rsidRPr="00F6205B" w:rsidRDefault="00BD5DBE" w:rsidP="00BD5DBE">
            <w:pPr>
              <w:keepNext/>
              <w:keepLines/>
              <w:contextualSpacing/>
              <w:jc w:val="center"/>
              <w:rPr>
                <w:color w:val="000000"/>
                <w:sz w:val="20"/>
                <w:szCs w:val="20"/>
              </w:rPr>
            </w:pPr>
            <w:r w:rsidRPr="00F6205B">
              <w:rPr>
                <w:color w:val="000000"/>
                <w:sz w:val="20"/>
                <w:szCs w:val="20"/>
              </w:rPr>
              <w:t>0.7</w:t>
            </w:r>
          </w:p>
        </w:tc>
      </w:tr>
      <w:tr w:rsidR="00BD5DBE" w:rsidRPr="00F6205B" w14:paraId="0F62E0EC" w14:textId="77777777" w:rsidTr="000F4D91">
        <w:trPr>
          <w:trHeight w:val="288"/>
          <w:jc w:val="center"/>
        </w:trPr>
        <w:tc>
          <w:tcPr>
            <w:tcW w:w="345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20C3DF9D" w14:textId="48175767" w:rsidR="00BD5DBE" w:rsidRPr="00F6205B" w:rsidRDefault="00BD5DBE" w:rsidP="00BD5DBE">
            <w:pPr>
              <w:keepNext/>
              <w:keepLines/>
              <w:contextualSpacing/>
              <w:rPr>
                <w:color w:val="000000"/>
                <w:sz w:val="20"/>
                <w:szCs w:val="20"/>
              </w:rPr>
            </w:pPr>
            <w:r w:rsidRPr="00F6205B">
              <w:rPr>
                <w:color w:val="000000"/>
                <w:sz w:val="20"/>
                <w:szCs w:val="20"/>
              </w:rPr>
              <w:t>Gas storage water heater</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1566429C" w14:textId="78AEDFEE" w:rsidR="00BD5DBE" w:rsidRPr="00F6205B" w:rsidRDefault="00BD5DBE" w:rsidP="00BD5DBE">
            <w:pPr>
              <w:keepNext/>
              <w:keepLines/>
              <w:contextualSpacing/>
              <w:jc w:val="center"/>
              <w:rPr>
                <w:color w:val="000000"/>
                <w:sz w:val="20"/>
                <w:szCs w:val="20"/>
              </w:rPr>
            </w:pPr>
            <w:r w:rsidRPr="00F6205B">
              <w:rPr>
                <w:color w:val="000000"/>
                <w:sz w:val="20"/>
                <w:szCs w:val="20"/>
              </w:rPr>
              <w:t>39</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0F161379" w14:textId="2331CA52" w:rsidR="00BD5DBE" w:rsidRPr="00F6205B" w:rsidRDefault="00BD5DBE" w:rsidP="00BD5DBE">
            <w:pPr>
              <w:keepNext/>
              <w:keepLines/>
              <w:contextualSpacing/>
              <w:jc w:val="center"/>
              <w:rPr>
                <w:color w:val="000000"/>
                <w:sz w:val="20"/>
                <w:szCs w:val="20"/>
              </w:rPr>
            </w:pPr>
            <w:r>
              <w:rPr>
                <w:color w:val="000000"/>
                <w:sz w:val="20"/>
                <w:szCs w:val="20"/>
              </w:rPr>
              <w:t>95%</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5CF5B04B" w14:textId="2F56E961" w:rsidR="00BD5DBE" w:rsidRPr="00F6205B" w:rsidRDefault="00BD5DBE" w:rsidP="00BD5DBE">
            <w:pPr>
              <w:keepNext/>
              <w:keepLines/>
              <w:contextualSpacing/>
              <w:jc w:val="center"/>
              <w:rPr>
                <w:color w:val="000000"/>
                <w:sz w:val="20"/>
                <w:szCs w:val="20"/>
              </w:rPr>
            </w:pPr>
            <w:r>
              <w:rPr>
                <w:color w:val="000000"/>
                <w:sz w:val="20"/>
                <w:szCs w:val="20"/>
              </w:rPr>
              <w:t>3.8</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587914F2" w14:textId="732A2A9E" w:rsidR="00BD5DBE" w:rsidRPr="00F6205B" w:rsidRDefault="00BD5DBE" w:rsidP="00BD5DBE">
            <w:pPr>
              <w:keepNext/>
              <w:keepLines/>
              <w:contextualSpacing/>
              <w:jc w:val="center"/>
              <w:rPr>
                <w:color w:val="000000"/>
                <w:sz w:val="20"/>
                <w:szCs w:val="20"/>
              </w:rPr>
            </w:pPr>
            <w:r w:rsidRPr="00F6205B">
              <w:rPr>
                <w:color w:val="000000"/>
                <w:sz w:val="20"/>
                <w:szCs w:val="20"/>
              </w:rPr>
              <w:t>10%</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382570BD" w14:textId="35066877" w:rsidR="00BD5DBE" w:rsidRPr="00F6205B" w:rsidRDefault="00BD5DBE" w:rsidP="00BD5DBE">
            <w:pPr>
              <w:keepNext/>
              <w:keepLines/>
              <w:contextualSpacing/>
              <w:jc w:val="center"/>
              <w:rPr>
                <w:color w:val="000000"/>
                <w:sz w:val="20"/>
                <w:szCs w:val="20"/>
              </w:rPr>
            </w:pPr>
            <w:r w:rsidRPr="00F6205B">
              <w:rPr>
                <w:color w:val="000000"/>
                <w:sz w:val="20"/>
                <w:szCs w:val="20"/>
              </w:rPr>
              <w:t>0.6</w:t>
            </w:r>
          </w:p>
        </w:tc>
      </w:tr>
      <w:tr w:rsidR="00BD5DBE" w:rsidRPr="00F6205B" w14:paraId="2BB49E5F" w14:textId="77777777" w:rsidTr="00BF5F09">
        <w:trPr>
          <w:trHeight w:val="288"/>
          <w:jc w:val="center"/>
        </w:trPr>
        <w:tc>
          <w:tcPr>
            <w:tcW w:w="345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5F5B848A" w14:textId="128B1427" w:rsidR="00BD5DBE" w:rsidRPr="00F6205B" w:rsidRDefault="00BD5DBE" w:rsidP="00BD5DBE">
            <w:pPr>
              <w:keepNext/>
              <w:keepLines/>
              <w:contextualSpacing/>
              <w:rPr>
                <w:color w:val="000000"/>
                <w:sz w:val="20"/>
                <w:szCs w:val="20"/>
              </w:rPr>
            </w:pPr>
            <w:r w:rsidRPr="00F6205B">
              <w:rPr>
                <w:color w:val="000000"/>
                <w:sz w:val="20"/>
                <w:szCs w:val="20"/>
              </w:rPr>
              <w:t>Gas condensing water heater</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54F894EC" w14:textId="6FF57A19" w:rsidR="00BD5DBE" w:rsidRPr="00F6205B" w:rsidRDefault="00BD5DBE" w:rsidP="00BD5DBE">
            <w:pPr>
              <w:keepNext/>
              <w:keepLines/>
              <w:contextualSpacing/>
              <w:jc w:val="center"/>
              <w:rPr>
                <w:color w:val="000000"/>
                <w:sz w:val="20"/>
                <w:szCs w:val="20"/>
              </w:rPr>
            </w:pPr>
            <w:r w:rsidRPr="00F6205B">
              <w:rPr>
                <w:color w:val="000000"/>
                <w:sz w:val="20"/>
                <w:szCs w:val="20"/>
              </w:rPr>
              <w:t>39</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5F760610" w14:textId="6A2F6E29" w:rsidR="00BD5DBE" w:rsidRPr="00F6205B" w:rsidRDefault="00BD5DBE" w:rsidP="00BD5DBE">
            <w:pPr>
              <w:keepNext/>
              <w:keepLines/>
              <w:contextualSpacing/>
              <w:jc w:val="center"/>
              <w:rPr>
                <w:color w:val="000000"/>
                <w:sz w:val="20"/>
                <w:szCs w:val="20"/>
              </w:rPr>
            </w:pPr>
            <w:r>
              <w:rPr>
                <w:color w:val="000000"/>
                <w:sz w:val="20"/>
                <w:szCs w:val="20"/>
              </w:rPr>
              <w:t>95%</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4DD375F8" w14:textId="29A9B159" w:rsidR="00BD5DBE" w:rsidRPr="00F6205B" w:rsidRDefault="00BD5DBE" w:rsidP="00BD5DBE">
            <w:pPr>
              <w:keepNext/>
              <w:keepLines/>
              <w:contextualSpacing/>
              <w:jc w:val="center"/>
              <w:rPr>
                <w:color w:val="000000"/>
                <w:sz w:val="20"/>
                <w:szCs w:val="20"/>
              </w:rPr>
            </w:pPr>
            <w:r>
              <w:rPr>
                <w:color w:val="000000"/>
                <w:sz w:val="20"/>
                <w:szCs w:val="20"/>
              </w:rPr>
              <w:t>2.4</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446182FC" w14:textId="321DD493" w:rsidR="00BD5DBE" w:rsidRPr="00F6205B" w:rsidRDefault="00BD5DBE" w:rsidP="00BD5DBE">
            <w:pPr>
              <w:keepNext/>
              <w:keepLines/>
              <w:contextualSpacing/>
              <w:jc w:val="center"/>
              <w:rPr>
                <w:color w:val="000000"/>
                <w:sz w:val="20"/>
                <w:szCs w:val="20"/>
              </w:rPr>
            </w:pPr>
            <w:r w:rsidRPr="00F6205B">
              <w:rPr>
                <w:color w:val="000000"/>
                <w:sz w:val="20"/>
                <w:szCs w:val="20"/>
              </w:rPr>
              <w:t>5%</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6BEAD9DB" w14:textId="7583B49A" w:rsidR="00BD5DBE" w:rsidRPr="00F6205B" w:rsidRDefault="00BD5DBE" w:rsidP="00BD5DBE">
            <w:pPr>
              <w:keepNext/>
              <w:keepLines/>
              <w:contextualSpacing/>
              <w:jc w:val="center"/>
              <w:rPr>
                <w:color w:val="000000"/>
                <w:sz w:val="20"/>
                <w:szCs w:val="20"/>
              </w:rPr>
            </w:pPr>
            <w:r w:rsidRPr="00F6205B">
              <w:rPr>
                <w:color w:val="000000"/>
                <w:sz w:val="20"/>
                <w:szCs w:val="20"/>
              </w:rPr>
              <w:t>0.6</w:t>
            </w:r>
          </w:p>
        </w:tc>
      </w:tr>
      <w:tr w:rsidR="00BD5DBE" w:rsidRPr="00F6205B" w14:paraId="58066A70" w14:textId="77777777" w:rsidTr="000F4D91">
        <w:trPr>
          <w:trHeight w:val="288"/>
          <w:jc w:val="center"/>
        </w:trPr>
        <w:tc>
          <w:tcPr>
            <w:tcW w:w="345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4B2C6712" w14:textId="78661288" w:rsidR="00BD5DBE" w:rsidRPr="00F6205B" w:rsidRDefault="00BD5DBE" w:rsidP="00BD5DBE">
            <w:pPr>
              <w:keepNext/>
              <w:keepLines/>
              <w:contextualSpacing/>
              <w:rPr>
                <w:color w:val="000000"/>
                <w:sz w:val="20"/>
                <w:szCs w:val="20"/>
              </w:rPr>
            </w:pPr>
            <w:r w:rsidRPr="00F6205B">
              <w:rPr>
                <w:color w:val="000000"/>
                <w:sz w:val="20"/>
                <w:szCs w:val="20"/>
              </w:rPr>
              <w:t>Propane boiler</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017AFF1A" w14:textId="09BD82A2" w:rsidR="00BD5DBE" w:rsidRPr="00F6205B" w:rsidRDefault="00BD5DBE" w:rsidP="00BD5DBE">
            <w:pPr>
              <w:keepNext/>
              <w:keepLines/>
              <w:contextualSpacing/>
              <w:jc w:val="center"/>
              <w:rPr>
                <w:color w:val="000000"/>
                <w:sz w:val="20"/>
                <w:szCs w:val="20"/>
              </w:rPr>
            </w:pPr>
            <w:r w:rsidRPr="00F6205B">
              <w:rPr>
                <w:color w:val="000000"/>
                <w:sz w:val="20"/>
                <w:szCs w:val="20"/>
              </w:rPr>
              <w:t>2</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66992896" w14:textId="629A2084" w:rsidR="00BD5DBE" w:rsidRPr="00F6205B" w:rsidRDefault="00BD5DBE" w:rsidP="00BD5DBE">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1CB6FFC7" w14:textId="4DDE489C" w:rsidR="00BD5DBE" w:rsidRPr="00F6205B" w:rsidRDefault="00BD5DBE" w:rsidP="00BD5DBE">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337F28D8" w14:textId="040EF872" w:rsidR="00BD5DBE" w:rsidRPr="00F6205B" w:rsidRDefault="00BD5DBE" w:rsidP="00BD5DBE">
            <w:pPr>
              <w:keepNext/>
              <w:keepLines/>
              <w:contextualSpacing/>
              <w:jc w:val="center"/>
              <w:rPr>
                <w:color w:val="000000"/>
                <w:sz w:val="20"/>
                <w:szCs w:val="20"/>
              </w:rPr>
            </w:pPr>
            <w:r w:rsidRPr="00F6205B">
              <w:rPr>
                <w:color w:val="000000"/>
                <w:sz w:val="20"/>
                <w:szCs w:val="20"/>
              </w:rPr>
              <w:t>0%</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304EBF1C" w14:textId="771AD8A7" w:rsidR="00BD5DBE" w:rsidRPr="00F6205B" w:rsidRDefault="00BD5DBE" w:rsidP="00BD5DBE">
            <w:pPr>
              <w:keepNext/>
              <w:keepLines/>
              <w:contextualSpacing/>
              <w:jc w:val="center"/>
              <w:rPr>
                <w:color w:val="000000"/>
                <w:sz w:val="20"/>
                <w:szCs w:val="20"/>
              </w:rPr>
            </w:pPr>
            <w:r w:rsidRPr="00F6205B">
              <w:rPr>
                <w:color w:val="000000"/>
                <w:sz w:val="20"/>
                <w:szCs w:val="20"/>
              </w:rPr>
              <w:t>0.5</w:t>
            </w:r>
          </w:p>
        </w:tc>
      </w:tr>
      <w:tr w:rsidR="00BD5DBE" w:rsidRPr="00F6205B" w14:paraId="0509D521" w14:textId="77777777" w:rsidTr="00BF5F09">
        <w:trPr>
          <w:trHeight w:val="288"/>
          <w:jc w:val="center"/>
        </w:trPr>
        <w:tc>
          <w:tcPr>
            <w:tcW w:w="345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092E3FA7" w14:textId="08F038D7" w:rsidR="00BD5DBE" w:rsidRPr="00F6205B" w:rsidRDefault="00BD5DBE" w:rsidP="00BD5DBE">
            <w:pPr>
              <w:keepNext/>
              <w:keepLines/>
              <w:contextualSpacing/>
              <w:rPr>
                <w:color w:val="000000"/>
                <w:sz w:val="20"/>
                <w:szCs w:val="20"/>
              </w:rPr>
            </w:pPr>
            <w:r w:rsidRPr="00F6205B">
              <w:rPr>
                <w:color w:val="000000"/>
                <w:sz w:val="20"/>
                <w:szCs w:val="20"/>
              </w:rPr>
              <w:t>ECM fan motor</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4E4CB1E6" w14:textId="48E23A3B" w:rsidR="00BD5DBE" w:rsidRPr="00F6205B" w:rsidRDefault="00BD5DBE" w:rsidP="00BD5DBE">
            <w:pPr>
              <w:keepNext/>
              <w:keepLines/>
              <w:contextualSpacing/>
              <w:jc w:val="center"/>
              <w:rPr>
                <w:color w:val="000000"/>
                <w:sz w:val="20"/>
                <w:szCs w:val="20"/>
              </w:rPr>
            </w:pPr>
            <w:r w:rsidRPr="00F6205B">
              <w:rPr>
                <w:color w:val="000000"/>
                <w:sz w:val="20"/>
                <w:szCs w:val="20"/>
              </w:rPr>
              <w:t>54</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6F51A24A" w14:textId="39DA2FAE" w:rsidR="00BD5DBE" w:rsidRPr="00F6205B" w:rsidRDefault="00BD5DBE" w:rsidP="00BD5DBE">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29CBD3A4" w14:textId="02640287" w:rsidR="00BD5DBE" w:rsidRPr="00F6205B" w:rsidRDefault="00BD5DBE" w:rsidP="00BD5DBE">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0B82FDA4" w14:textId="2612D7DD" w:rsidR="00BD5DBE" w:rsidRPr="00F6205B" w:rsidRDefault="00BD5DBE" w:rsidP="00BD5DBE">
            <w:pPr>
              <w:keepNext/>
              <w:keepLines/>
              <w:contextualSpacing/>
              <w:jc w:val="center"/>
              <w:rPr>
                <w:color w:val="000000"/>
                <w:sz w:val="20"/>
                <w:szCs w:val="20"/>
              </w:rPr>
            </w:pPr>
            <w:r w:rsidRPr="00F6205B">
              <w:rPr>
                <w:color w:val="000000"/>
                <w:sz w:val="20"/>
                <w:szCs w:val="20"/>
              </w:rPr>
              <w:t>4%</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3B4945DC" w14:textId="6ED5FA55" w:rsidR="00BD5DBE" w:rsidRPr="00F6205B" w:rsidRDefault="00BD5DBE" w:rsidP="00BD5DBE">
            <w:pPr>
              <w:keepNext/>
              <w:keepLines/>
              <w:contextualSpacing/>
              <w:jc w:val="center"/>
              <w:rPr>
                <w:color w:val="000000"/>
                <w:sz w:val="20"/>
                <w:szCs w:val="20"/>
              </w:rPr>
            </w:pPr>
            <w:r w:rsidRPr="00F6205B">
              <w:rPr>
                <w:color w:val="000000"/>
                <w:sz w:val="20"/>
                <w:szCs w:val="20"/>
              </w:rPr>
              <w:t>0.5</w:t>
            </w:r>
          </w:p>
        </w:tc>
      </w:tr>
      <w:tr w:rsidR="00BD5DBE" w:rsidRPr="00F6205B" w14:paraId="10151B67" w14:textId="77777777" w:rsidTr="000F4D91">
        <w:trPr>
          <w:trHeight w:val="288"/>
          <w:jc w:val="center"/>
        </w:trPr>
        <w:tc>
          <w:tcPr>
            <w:tcW w:w="345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6541FC0C" w14:textId="6FEB0A0F" w:rsidR="00BD5DBE" w:rsidRPr="00F6205B" w:rsidRDefault="00BD5DBE" w:rsidP="00BD5DBE">
            <w:pPr>
              <w:keepNext/>
              <w:keepLines/>
              <w:contextualSpacing/>
              <w:rPr>
                <w:color w:val="000000"/>
                <w:sz w:val="20"/>
                <w:szCs w:val="20"/>
              </w:rPr>
            </w:pPr>
            <w:r w:rsidRPr="00F6205B">
              <w:rPr>
                <w:color w:val="000000"/>
                <w:sz w:val="20"/>
                <w:szCs w:val="20"/>
              </w:rPr>
              <w:t>Gas instantaneous water heater</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2F6F46E1" w14:textId="25D42D13" w:rsidR="00BD5DBE" w:rsidRPr="00F6205B" w:rsidRDefault="00BD5DBE" w:rsidP="00BD5DBE">
            <w:pPr>
              <w:keepNext/>
              <w:keepLines/>
              <w:contextualSpacing/>
              <w:jc w:val="center"/>
              <w:rPr>
                <w:color w:val="000000"/>
                <w:sz w:val="20"/>
                <w:szCs w:val="20"/>
              </w:rPr>
            </w:pPr>
            <w:r w:rsidRPr="00F6205B">
              <w:rPr>
                <w:color w:val="000000"/>
                <w:sz w:val="20"/>
                <w:szCs w:val="20"/>
              </w:rPr>
              <w:t>43</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5AFEFC81" w14:textId="6A6909C7" w:rsidR="00BD5DBE" w:rsidRPr="00F6205B" w:rsidRDefault="00BD5DBE" w:rsidP="00BD5DBE">
            <w:pPr>
              <w:keepNext/>
              <w:keepLines/>
              <w:contextualSpacing/>
              <w:jc w:val="center"/>
              <w:rPr>
                <w:color w:val="000000"/>
                <w:sz w:val="20"/>
                <w:szCs w:val="20"/>
              </w:rPr>
            </w:pPr>
            <w:r>
              <w:rPr>
                <w:color w:val="000000"/>
                <w:sz w:val="20"/>
                <w:szCs w:val="20"/>
              </w:rPr>
              <w:t>100%</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0329C7BE" w14:textId="777E6D7F" w:rsidR="00BD5DBE" w:rsidRPr="00F6205B" w:rsidRDefault="00BD5DBE" w:rsidP="00BD5DBE">
            <w:pPr>
              <w:keepNext/>
              <w:keepLines/>
              <w:contextualSpacing/>
              <w:jc w:val="center"/>
              <w:rPr>
                <w:color w:val="000000"/>
                <w:sz w:val="20"/>
                <w:szCs w:val="20"/>
              </w:rPr>
            </w:pPr>
            <w:r>
              <w:rPr>
                <w:color w:val="000000"/>
                <w:sz w:val="20"/>
                <w:szCs w:val="20"/>
              </w:rPr>
              <w:t>3.4</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74E0868F" w14:textId="3E455A79" w:rsidR="00BD5DBE" w:rsidRPr="00F6205B" w:rsidRDefault="00BD5DBE" w:rsidP="00BD5DBE">
            <w:pPr>
              <w:keepNext/>
              <w:keepLines/>
              <w:contextualSpacing/>
              <w:jc w:val="center"/>
              <w:rPr>
                <w:color w:val="000000"/>
                <w:sz w:val="20"/>
                <w:szCs w:val="20"/>
              </w:rPr>
            </w:pPr>
            <w:r w:rsidRPr="00F6205B">
              <w:rPr>
                <w:color w:val="000000"/>
                <w:sz w:val="20"/>
                <w:szCs w:val="20"/>
              </w:rPr>
              <w:t>0%</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6497012E" w14:textId="2BC1CBF3" w:rsidR="00BD5DBE" w:rsidRPr="00F6205B" w:rsidRDefault="00BD5DBE" w:rsidP="00BD5DBE">
            <w:pPr>
              <w:keepNext/>
              <w:keepLines/>
              <w:contextualSpacing/>
              <w:jc w:val="center"/>
              <w:rPr>
                <w:color w:val="000000"/>
                <w:sz w:val="20"/>
                <w:szCs w:val="20"/>
              </w:rPr>
            </w:pPr>
            <w:r w:rsidRPr="00F6205B">
              <w:rPr>
                <w:color w:val="000000"/>
                <w:sz w:val="20"/>
                <w:szCs w:val="20"/>
              </w:rPr>
              <w:t>0.5</w:t>
            </w:r>
          </w:p>
        </w:tc>
      </w:tr>
      <w:tr w:rsidR="00BD5DBE" w:rsidRPr="00F6205B" w14:paraId="696BA36C" w14:textId="77777777" w:rsidTr="00BF5F09">
        <w:trPr>
          <w:trHeight w:val="288"/>
          <w:jc w:val="center"/>
        </w:trPr>
        <w:tc>
          <w:tcPr>
            <w:tcW w:w="345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14C90228" w14:textId="124BEBAC" w:rsidR="00BD5DBE" w:rsidRPr="00F6205B" w:rsidRDefault="00BD5DBE" w:rsidP="00BD5DBE">
            <w:pPr>
              <w:keepNext/>
              <w:keepLines/>
              <w:contextualSpacing/>
              <w:rPr>
                <w:color w:val="000000"/>
                <w:sz w:val="20"/>
                <w:szCs w:val="20"/>
              </w:rPr>
            </w:pPr>
            <w:r w:rsidRPr="00F6205B">
              <w:rPr>
                <w:color w:val="000000"/>
                <w:sz w:val="20"/>
                <w:szCs w:val="20"/>
              </w:rPr>
              <w:t>Gas boiler</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7E6473CC" w14:textId="4389E1E7" w:rsidR="00BD5DBE" w:rsidRPr="00F6205B" w:rsidRDefault="00BD5DBE" w:rsidP="00BD5DBE">
            <w:pPr>
              <w:keepNext/>
              <w:keepLines/>
              <w:contextualSpacing/>
              <w:jc w:val="center"/>
              <w:rPr>
                <w:color w:val="000000"/>
                <w:sz w:val="20"/>
                <w:szCs w:val="20"/>
              </w:rPr>
            </w:pPr>
            <w:r w:rsidRPr="00F6205B">
              <w:rPr>
                <w:color w:val="000000"/>
                <w:sz w:val="20"/>
                <w:szCs w:val="20"/>
              </w:rPr>
              <w:t>25</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6EBB4CF2" w14:textId="221FE0B5" w:rsidR="00BD5DBE" w:rsidRPr="00F6205B" w:rsidRDefault="00BD5DBE" w:rsidP="00BD5DBE">
            <w:pPr>
              <w:keepNext/>
              <w:keepLines/>
              <w:contextualSpacing/>
              <w:jc w:val="center"/>
              <w:rPr>
                <w:color w:val="000000"/>
                <w:sz w:val="20"/>
                <w:szCs w:val="20"/>
              </w:rPr>
            </w:pPr>
            <w:r>
              <w:rPr>
                <w:color w:val="000000"/>
                <w:sz w:val="20"/>
                <w:szCs w:val="20"/>
              </w:rPr>
              <w:t>79%</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2283D93A" w14:textId="213A3EFD" w:rsidR="00BD5DBE" w:rsidRPr="00F6205B" w:rsidRDefault="00BD5DBE" w:rsidP="00BD5DBE">
            <w:pPr>
              <w:keepNext/>
              <w:keepLines/>
              <w:contextualSpacing/>
              <w:jc w:val="center"/>
              <w:rPr>
                <w:color w:val="000000"/>
                <w:sz w:val="20"/>
                <w:szCs w:val="20"/>
              </w:rPr>
            </w:pPr>
            <w:r>
              <w:rPr>
                <w:color w:val="000000"/>
                <w:sz w:val="20"/>
                <w:szCs w:val="20"/>
              </w:rPr>
              <w:t>1.8</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37313C8B" w14:textId="59A802A9" w:rsidR="00BD5DBE" w:rsidRPr="00F6205B" w:rsidRDefault="00BD5DBE" w:rsidP="00BD5DBE">
            <w:pPr>
              <w:keepNext/>
              <w:keepLines/>
              <w:contextualSpacing/>
              <w:jc w:val="center"/>
              <w:rPr>
                <w:color w:val="000000"/>
                <w:sz w:val="20"/>
                <w:szCs w:val="20"/>
              </w:rPr>
            </w:pPr>
            <w:r w:rsidRPr="00F6205B">
              <w:rPr>
                <w:color w:val="000000"/>
                <w:sz w:val="20"/>
                <w:szCs w:val="20"/>
              </w:rPr>
              <w:t>4%</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76EC7C5B" w14:textId="1048B20B" w:rsidR="00BD5DBE" w:rsidRPr="00F6205B" w:rsidRDefault="00BD5DBE" w:rsidP="00BD5DBE">
            <w:pPr>
              <w:keepNext/>
              <w:keepLines/>
              <w:contextualSpacing/>
              <w:jc w:val="center"/>
              <w:rPr>
                <w:color w:val="000000"/>
                <w:sz w:val="20"/>
                <w:szCs w:val="20"/>
              </w:rPr>
            </w:pPr>
            <w:r w:rsidRPr="00F6205B">
              <w:rPr>
                <w:color w:val="000000"/>
                <w:sz w:val="20"/>
                <w:szCs w:val="20"/>
              </w:rPr>
              <w:t>0.5</w:t>
            </w:r>
          </w:p>
        </w:tc>
      </w:tr>
      <w:tr w:rsidR="00BD5DBE" w:rsidRPr="00F6205B" w14:paraId="3EC34135" w14:textId="77777777" w:rsidTr="000F4D91">
        <w:trPr>
          <w:trHeight w:val="288"/>
          <w:jc w:val="center"/>
        </w:trPr>
        <w:tc>
          <w:tcPr>
            <w:tcW w:w="345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61694385" w14:textId="48CC743D" w:rsidR="00BD5DBE" w:rsidRPr="00F6205B" w:rsidRDefault="00BD5DBE" w:rsidP="00BD5DBE">
            <w:pPr>
              <w:keepNext/>
              <w:keepLines/>
              <w:contextualSpacing/>
              <w:rPr>
                <w:color w:val="000000"/>
                <w:sz w:val="20"/>
                <w:szCs w:val="20"/>
              </w:rPr>
            </w:pPr>
            <w:r w:rsidRPr="00F6205B">
              <w:rPr>
                <w:color w:val="000000"/>
                <w:sz w:val="20"/>
                <w:szCs w:val="20"/>
              </w:rPr>
              <w:t>Windows</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1E5024A1" w14:textId="25C6444D" w:rsidR="00BD5DBE" w:rsidRPr="00F6205B" w:rsidRDefault="00BD5DBE" w:rsidP="00BD5DBE">
            <w:pPr>
              <w:keepNext/>
              <w:keepLines/>
              <w:contextualSpacing/>
              <w:jc w:val="center"/>
              <w:rPr>
                <w:color w:val="000000"/>
                <w:sz w:val="20"/>
                <w:szCs w:val="20"/>
              </w:rPr>
            </w:pPr>
            <w:r w:rsidRPr="00F6205B">
              <w:rPr>
                <w:color w:val="000000"/>
                <w:sz w:val="20"/>
                <w:szCs w:val="20"/>
              </w:rPr>
              <w:t>180</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0399E9C4" w14:textId="759EC246" w:rsidR="00BD5DBE" w:rsidRPr="00F6205B" w:rsidRDefault="006108C6" w:rsidP="00BD5DBE">
            <w:pPr>
              <w:keepNext/>
              <w:keepLines/>
              <w:contextualSpacing/>
              <w:jc w:val="center"/>
              <w:rPr>
                <w:color w:val="000000"/>
                <w:sz w:val="20"/>
                <w:szCs w:val="20"/>
              </w:rPr>
            </w:pPr>
            <w:r>
              <w:rPr>
                <w:color w:val="000000"/>
                <w:sz w:val="20"/>
                <w:szCs w:val="20"/>
              </w:rPr>
              <w:t>87%</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42A9BD4C" w14:textId="597F02C6" w:rsidR="00BD5DBE" w:rsidRPr="00F6205B" w:rsidRDefault="006108C6" w:rsidP="00BD5DBE">
            <w:pPr>
              <w:keepNext/>
              <w:keepLines/>
              <w:contextualSpacing/>
              <w:jc w:val="center"/>
              <w:rPr>
                <w:color w:val="000000"/>
                <w:sz w:val="20"/>
                <w:szCs w:val="20"/>
              </w:rPr>
            </w:pPr>
            <w:r>
              <w:rPr>
                <w:color w:val="000000"/>
                <w:sz w:val="20"/>
                <w:szCs w:val="20"/>
              </w:rPr>
              <w:t>68.2</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04CFF630" w14:textId="4E31FE47" w:rsidR="00BD5DBE" w:rsidRPr="00F6205B" w:rsidRDefault="00BD5DBE" w:rsidP="00BD5DBE">
            <w:pPr>
              <w:keepNext/>
              <w:keepLines/>
              <w:contextualSpacing/>
              <w:jc w:val="center"/>
              <w:rPr>
                <w:color w:val="000000"/>
                <w:sz w:val="20"/>
                <w:szCs w:val="20"/>
              </w:rPr>
            </w:pPr>
            <w:r w:rsidRPr="00F6205B">
              <w:rPr>
                <w:color w:val="000000"/>
                <w:sz w:val="20"/>
                <w:szCs w:val="20"/>
              </w:rPr>
              <w:t>0%</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3924404B" w14:textId="736FDDC9" w:rsidR="00BD5DBE" w:rsidRPr="00F6205B" w:rsidRDefault="00BD5DBE" w:rsidP="00BD5DBE">
            <w:pPr>
              <w:keepNext/>
              <w:keepLines/>
              <w:contextualSpacing/>
              <w:jc w:val="center"/>
              <w:rPr>
                <w:color w:val="000000"/>
                <w:sz w:val="20"/>
                <w:szCs w:val="20"/>
              </w:rPr>
            </w:pPr>
            <w:r w:rsidRPr="00F6205B">
              <w:rPr>
                <w:color w:val="000000"/>
                <w:sz w:val="20"/>
                <w:szCs w:val="20"/>
              </w:rPr>
              <w:t>0.3</w:t>
            </w:r>
          </w:p>
        </w:tc>
      </w:tr>
      <w:tr w:rsidR="00BD5DBE" w:rsidRPr="00F6205B" w14:paraId="3AF4DEAA" w14:textId="77777777" w:rsidTr="00BF5F09">
        <w:trPr>
          <w:trHeight w:val="288"/>
          <w:jc w:val="center"/>
        </w:trPr>
        <w:tc>
          <w:tcPr>
            <w:tcW w:w="345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63A95E6D" w14:textId="67961C90" w:rsidR="00BD5DBE" w:rsidRPr="00F6205B" w:rsidRDefault="00BD5DBE" w:rsidP="00BD5DBE">
            <w:pPr>
              <w:keepNext/>
              <w:keepLines/>
              <w:contextualSpacing/>
              <w:rPr>
                <w:color w:val="000000"/>
                <w:sz w:val="20"/>
                <w:szCs w:val="20"/>
              </w:rPr>
            </w:pPr>
            <w:r w:rsidRPr="00F6205B">
              <w:rPr>
                <w:color w:val="000000"/>
                <w:sz w:val="20"/>
                <w:szCs w:val="20"/>
              </w:rPr>
              <w:t>Photovoltaic array</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73986312" w14:textId="7E89D35F" w:rsidR="00BD5DBE" w:rsidRPr="00F6205B" w:rsidRDefault="00BD5DBE" w:rsidP="00BD5DBE">
            <w:pPr>
              <w:keepNext/>
              <w:keepLines/>
              <w:contextualSpacing/>
              <w:jc w:val="center"/>
              <w:rPr>
                <w:color w:val="000000"/>
                <w:sz w:val="20"/>
                <w:szCs w:val="20"/>
              </w:rPr>
            </w:pPr>
            <w:r w:rsidRPr="00F6205B">
              <w:rPr>
                <w:color w:val="000000"/>
                <w:sz w:val="20"/>
                <w:szCs w:val="20"/>
              </w:rPr>
              <w:t>108</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381DA3D3" w14:textId="40E1B475" w:rsidR="00BD5DBE" w:rsidRPr="00F6205B" w:rsidRDefault="00BD5DBE" w:rsidP="00BD5DBE">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642299E9" w14:textId="2DD4C31F" w:rsidR="00BD5DBE" w:rsidRPr="00F6205B" w:rsidRDefault="00BD5DBE" w:rsidP="00BD5DBE">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1E776BB2" w14:textId="63472CCE" w:rsidR="00BD5DBE" w:rsidRPr="00F6205B" w:rsidRDefault="00BD5DBE" w:rsidP="00BD5DBE">
            <w:pPr>
              <w:keepNext/>
              <w:keepLines/>
              <w:contextualSpacing/>
              <w:jc w:val="center"/>
              <w:rPr>
                <w:color w:val="000000"/>
                <w:sz w:val="20"/>
                <w:szCs w:val="20"/>
              </w:rPr>
            </w:pPr>
            <w:r w:rsidRPr="00F6205B">
              <w:rPr>
                <w:color w:val="000000"/>
                <w:sz w:val="20"/>
                <w:szCs w:val="20"/>
              </w:rPr>
              <w:t>0%</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666B3C4A" w14:textId="74072F2B" w:rsidR="00BD5DBE" w:rsidRPr="00F6205B" w:rsidRDefault="00BD5DBE" w:rsidP="00BD5DBE">
            <w:pPr>
              <w:keepNext/>
              <w:keepLines/>
              <w:contextualSpacing/>
              <w:jc w:val="center"/>
              <w:rPr>
                <w:color w:val="000000"/>
                <w:sz w:val="20"/>
                <w:szCs w:val="20"/>
              </w:rPr>
            </w:pPr>
            <w:r w:rsidRPr="00F6205B">
              <w:rPr>
                <w:color w:val="000000"/>
                <w:sz w:val="20"/>
                <w:szCs w:val="20"/>
              </w:rPr>
              <w:t>0.3</w:t>
            </w:r>
          </w:p>
        </w:tc>
      </w:tr>
      <w:tr w:rsidR="00BD5DBE" w:rsidRPr="00F6205B" w14:paraId="067DBDC0" w14:textId="77777777" w:rsidTr="000F4D91">
        <w:trPr>
          <w:trHeight w:val="288"/>
          <w:jc w:val="center"/>
        </w:trPr>
        <w:tc>
          <w:tcPr>
            <w:tcW w:w="345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5F0EFC4B" w14:textId="2AC333A4" w:rsidR="00BD5DBE" w:rsidRPr="00F6205B" w:rsidRDefault="00BD5DBE" w:rsidP="00BD5DBE">
            <w:pPr>
              <w:keepNext/>
              <w:keepLines/>
              <w:contextualSpacing/>
              <w:rPr>
                <w:color w:val="000000"/>
                <w:sz w:val="20"/>
                <w:szCs w:val="20"/>
              </w:rPr>
            </w:pPr>
            <w:r w:rsidRPr="00F6205B">
              <w:rPr>
                <w:color w:val="000000"/>
                <w:sz w:val="20"/>
                <w:szCs w:val="20"/>
              </w:rPr>
              <w:t>Duct insulation</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5CF1AF99" w14:textId="6798262C" w:rsidR="00BD5DBE" w:rsidRPr="00F6205B" w:rsidRDefault="00BD5DBE" w:rsidP="00BD5DBE">
            <w:pPr>
              <w:keepNext/>
              <w:keepLines/>
              <w:contextualSpacing/>
              <w:jc w:val="center"/>
              <w:rPr>
                <w:color w:val="000000"/>
                <w:sz w:val="20"/>
                <w:szCs w:val="20"/>
              </w:rPr>
            </w:pPr>
            <w:r w:rsidRPr="00F6205B">
              <w:rPr>
                <w:color w:val="000000"/>
                <w:sz w:val="20"/>
                <w:szCs w:val="20"/>
              </w:rPr>
              <w:t>60</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3EEA5F11" w14:textId="1F4C2E15" w:rsidR="00BD5DBE" w:rsidRPr="00F6205B" w:rsidRDefault="00BD5DBE" w:rsidP="00BD5DBE">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404DEAE3" w14:textId="4890A4D5" w:rsidR="00BD5DBE" w:rsidRPr="00F6205B" w:rsidRDefault="00BD5DBE" w:rsidP="00BD5DBE">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0838ECE5" w14:textId="2FEBE576" w:rsidR="00BD5DBE" w:rsidRPr="00F6205B" w:rsidRDefault="00BD5DBE" w:rsidP="00BD5DBE">
            <w:pPr>
              <w:keepNext/>
              <w:keepLines/>
              <w:contextualSpacing/>
              <w:jc w:val="center"/>
              <w:rPr>
                <w:color w:val="000000"/>
                <w:sz w:val="20"/>
                <w:szCs w:val="20"/>
              </w:rPr>
            </w:pPr>
            <w:r w:rsidRPr="00F6205B">
              <w:rPr>
                <w:color w:val="000000"/>
                <w:sz w:val="20"/>
                <w:szCs w:val="20"/>
              </w:rPr>
              <w:t>8%</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0AE4CC49" w14:textId="414C9B78" w:rsidR="00BD5DBE" w:rsidRPr="00F6205B" w:rsidRDefault="00BD5DBE" w:rsidP="00BD5DBE">
            <w:pPr>
              <w:keepNext/>
              <w:keepLines/>
              <w:contextualSpacing/>
              <w:jc w:val="center"/>
              <w:rPr>
                <w:color w:val="000000"/>
                <w:sz w:val="20"/>
                <w:szCs w:val="20"/>
              </w:rPr>
            </w:pPr>
            <w:r w:rsidRPr="00F6205B">
              <w:rPr>
                <w:color w:val="000000"/>
                <w:sz w:val="20"/>
                <w:szCs w:val="20"/>
              </w:rPr>
              <w:t>0.3</w:t>
            </w:r>
          </w:p>
        </w:tc>
      </w:tr>
      <w:tr w:rsidR="00BD5DBE" w:rsidRPr="00F6205B" w14:paraId="3B2A5AB5" w14:textId="77777777" w:rsidTr="00BF5F09">
        <w:trPr>
          <w:trHeight w:val="288"/>
          <w:jc w:val="center"/>
        </w:trPr>
        <w:tc>
          <w:tcPr>
            <w:tcW w:w="345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20E52F31" w14:textId="57BC3020" w:rsidR="00BD5DBE" w:rsidRPr="00F6205B" w:rsidRDefault="00BD5DBE" w:rsidP="00BD5DBE">
            <w:pPr>
              <w:keepNext/>
              <w:keepLines/>
              <w:contextualSpacing/>
              <w:rPr>
                <w:color w:val="000000"/>
                <w:sz w:val="20"/>
                <w:szCs w:val="20"/>
              </w:rPr>
            </w:pPr>
            <w:r w:rsidRPr="00F6205B">
              <w:rPr>
                <w:color w:val="000000"/>
                <w:sz w:val="20"/>
                <w:szCs w:val="20"/>
              </w:rPr>
              <w:t>Rim joist insulation</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1350265F" w14:textId="6BC30CB2" w:rsidR="00BD5DBE" w:rsidRPr="00F6205B" w:rsidRDefault="00BD5DBE" w:rsidP="00BD5DBE">
            <w:pPr>
              <w:keepNext/>
              <w:keepLines/>
              <w:contextualSpacing/>
              <w:jc w:val="center"/>
              <w:rPr>
                <w:color w:val="000000"/>
                <w:sz w:val="20"/>
                <w:szCs w:val="20"/>
              </w:rPr>
            </w:pPr>
            <w:r w:rsidRPr="00F6205B">
              <w:rPr>
                <w:color w:val="000000"/>
                <w:sz w:val="20"/>
                <w:szCs w:val="20"/>
              </w:rPr>
              <w:t>109</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04DCCD80" w14:textId="41EDA048" w:rsidR="00BD5DBE" w:rsidRPr="00F6205B" w:rsidRDefault="00BD5DBE" w:rsidP="00BD5DBE">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25C469D0" w14:textId="542AD36E" w:rsidR="00BD5DBE" w:rsidRPr="00F6205B" w:rsidRDefault="00BD5DBE" w:rsidP="00BD5DBE">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7B1C20E2" w14:textId="6E925A79" w:rsidR="00BD5DBE" w:rsidRPr="00F6205B" w:rsidRDefault="00BD5DBE" w:rsidP="00BD5DBE">
            <w:pPr>
              <w:keepNext/>
              <w:keepLines/>
              <w:contextualSpacing/>
              <w:jc w:val="center"/>
              <w:rPr>
                <w:color w:val="000000"/>
                <w:sz w:val="20"/>
                <w:szCs w:val="20"/>
              </w:rPr>
            </w:pPr>
            <w:r w:rsidRPr="00F6205B">
              <w:rPr>
                <w:color w:val="000000"/>
                <w:sz w:val="20"/>
                <w:szCs w:val="20"/>
              </w:rPr>
              <w:t>4%</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01267385" w14:textId="2161AFA0" w:rsidR="00BD5DBE" w:rsidRPr="00F6205B" w:rsidRDefault="00BD5DBE" w:rsidP="00BD5DBE">
            <w:pPr>
              <w:keepNext/>
              <w:keepLines/>
              <w:contextualSpacing/>
              <w:jc w:val="center"/>
              <w:rPr>
                <w:color w:val="000000"/>
                <w:sz w:val="20"/>
                <w:szCs w:val="20"/>
              </w:rPr>
            </w:pPr>
            <w:r w:rsidRPr="00F6205B">
              <w:rPr>
                <w:color w:val="000000"/>
                <w:sz w:val="20"/>
                <w:szCs w:val="20"/>
              </w:rPr>
              <w:t>0.3</w:t>
            </w:r>
          </w:p>
        </w:tc>
      </w:tr>
      <w:tr w:rsidR="00BD5DBE" w:rsidRPr="00F6205B" w14:paraId="58DC6A33" w14:textId="77777777" w:rsidTr="000F4D91">
        <w:trPr>
          <w:trHeight w:val="288"/>
          <w:jc w:val="center"/>
        </w:trPr>
        <w:tc>
          <w:tcPr>
            <w:tcW w:w="345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62E69DBB" w14:textId="6D454269" w:rsidR="00BD5DBE" w:rsidRPr="00F6205B" w:rsidRDefault="00BD5DBE" w:rsidP="00BD5DBE">
            <w:pPr>
              <w:keepNext/>
              <w:keepLines/>
              <w:contextualSpacing/>
              <w:rPr>
                <w:color w:val="000000"/>
                <w:sz w:val="20"/>
                <w:szCs w:val="20"/>
              </w:rPr>
            </w:pPr>
            <w:r w:rsidRPr="00F6205B">
              <w:rPr>
                <w:color w:val="000000"/>
                <w:sz w:val="20"/>
                <w:szCs w:val="20"/>
              </w:rPr>
              <w:t>Central air conditioner</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443DFB48" w14:textId="6B25AD37" w:rsidR="00BD5DBE" w:rsidRPr="00F6205B" w:rsidRDefault="00BD5DBE" w:rsidP="00BD5DBE">
            <w:pPr>
              <w:keepNext/>
              <w:keepLines/>
              <w:contextualSpacing/>
              <w:jc w:val="center"/>
              <w:rPr>
                <w:color w:val="000000"/>
                <w:sz w:val="20"/>
                <w:szCs w:val="20"/>
              </w:rPr>
            </w:pPr>
            <w:r w:rsidRPr="00F6205B">
              <w:rPr>
                <w:color w:val="000000"/>
                <w:sz w:val="20"/>
                <w:szCs w:val="20"/>
              </w:rPr>
              <w:t>76</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18DDC5A9" w14:textId="7965B7A2" w:rsidR="00BD5DBE" w:rsidRPr="00F6205B" w:rsidRDefault="00BD5DBE" w:rsidP="00BD5DBE">
            <w:pPr>
              <w:keepNext/>
              <w:keepLines/>
              <w:contextualSpacing/>
              <w:jc w:val="center"/>
              <w:rPr>
                <w:color w:val="000000"/>
                <w:sz w:val="20"/>
                <w:szCs w:val="20"/>
              </w:rPr>
            </w:pPr>
            <w:r>
              <w:rPr>
                <w:color w:val="000000"/>
                <w:sz w:val="20"/>
                <w:szCs w:val="20"/>
              </w:rPr>
              <w:t>4%</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0EF4A955" w14:textId="4F05E980" w:rsidR="00BD5DBE" w:rsidRPr="00F6205B" w:rsidRDefault="00BD5DBE" w:rsidP="00BD5DBE">
            <w:pPr>
              <w:keepNext/>
              <w:keepLines/>
              <w:contextualSpacing/>
              <w:jc w:val="center"/>
              <w:rPr>
                <w:color w:val="000000"/>
                <w:sz w:val="20"/>
                <w:szCs w:val="20"/>
              </w:rPr>
            </w:pPr>
            <w:r>
              <w:rPr>
                <w:color w:val="000000"/>
                <w:sz w:val="20"/>
                <w:szCs w:val="20"/>
              </w:rPr>
              <w:t>0.7</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5B10D98D" w14:textId="7FA5D7C1" w:rsidR="00BD5DBE" w:rsidRPr="00F6205B" w:rsidRDefault="00BD5DBE" w:rsidP="00BD5DBE">
            <w:pPr>
              <w:keepNext/>
              <w:keepLines/>
              <w:contextualSpacing/>
              <w:jc w:val="center"/>
              <w:rPr>
                <w:color w:val="000000"/>
                <w:sz w:val="20"/>
                <w:szCs w:val="20"/>
              </w:rPr>
            </w:pPr>
            <w:r w:rsidRPr="00F6205B">
              <w:rPr>
                <w:color w:val="000000"/>
                <w:sz w:val="20"/>
                <w:szCs w:val="20"/>
              </w:rPr>
              <w:t>0%</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3076CE7D" w14:textId="7BAA0250" w:rsidR="00BD5DBE" w:rsidRPr="00F6205B" w:rsidRDefault="00BD5DBE" w:rsidP="00BD5DBE">
            <w:pPr>
              <w:keepNext/>
              <w:keepLines/>
              <w:contextualSpacing/>
              <w:jc w:val="center"/>
              <w:rPr>
                <w:color w:val="000000"/>
                <w:sz w:val="20"/>
                <w:szCs w:val="20"/>
              </w:rPr>
            </w:pPr>
            <w:r w:rsidRPr="00F6205B">
              <w:rPr>
                <w:color w:val="000000"/>
                <w:sz w:val="20"/>
                <w:szCs w:val="20"/>
              </w:rPr>
              <w:t>0.2</w:t>
            </w:r>
          </w:p>
        </w:tc>
      </w:tr>
      <w:tr w:rsidR="00BD5DBE" w:rsidRPr="00F6205B" w14:paraId="5C88AE9F" w14:textId="77777777" w:rsidTr="00BF5F09">
        <w:trPr>
          <w:trHeight w:val="288"/>
          <w:jc w:val="center"/>
        </w:trPr>
        <w:tc>
          <w:tcPr>
            <w:tcW w:w="345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1AE309BC" w14:textId="3D4FE1CA" w:rsidR="00BD5DBE" w:rsidRPr="00F6205B" w:rsidRDefault="00BD5DBE" w:rsidP="00BD5DBE">
            <w:pPr>
              <w:keepNext/>
              <w:keepLines/>
              <w:contextualSpacing/>
              <w:rPr>
                <w:color w:val="000000"/>
                <w:sz w:val="20"/>
                <w:szCs w:val="20"/>
              </w:rPr>
            </w:pPr>
            <w:r w:rsidRPr="00F6205B">
              <w:rPr>
                <w:color w:val="000000"/>
                <w:sz w:val="20"/>
                <w:szCs w:val="20"/>
              </w:rPr>
              <w:t>Room air conditioner</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12F937A8" w14:textId="16B3E00B" w:rsidR="00BD5DBE" w:rsidRPr="00F6205B" w:rsidRDefault="00BD5DBE" w:rsidP="00BD5DBE">
            <w:pPr>
              <w:keepNext/>
              <w:keepLines/>
              <w:contextualSpacing/>
              <w:jc w:val="center"/>
              <w:rPr>
                <w:color w:val="000000"/>
                <w:sz w:val="20"/>
                <w:szCs w:val="20"/>
              </w:rPr>
            </w:pPr>
            <w:r w:rsidRPr="00F6205B">
              <w:rPr>
                <w:color w:val="000000"/>
                <w:sz w:val="20"/>
                <w:szCs w:val="20"/>
              </w:rPr>
              <w:t>66</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7DD8F102" w14:textId="161D299C" w:rsidR="00BD5DBE" w:rsidRPr="00F6205B" w:rsidRDefault="00BD5DBE" w:rsidP="00BD5DBE">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06A2D6C9" w14:textId="2219BCBC" w:rsidR="00BD5DBE" w:rsidRPr="00F6205B" w:rsidRDefault="00BD5DBE" w:rsidP="00BD5DBE">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301696A4" w14:textId="1852F470" w:rsidR="00BD5DBE" w:rsidRPr="00F6205B" w:rsidRDefault="00BD5DBE" w:rsidP="00BD5DBE">
            <w:pPr>
              <w:keepNext/>
              <w:keepLines/>
              <w:contextualSpacing/>
              <w:jc w:val="center"/>
              <w:rPr>
                <w:color w:val="000000"/>
                <w:sz w:val="20"/>
                <w:szCs w:val="20"/>
              </w:rPr>
            </w:pPr>
            <w:r w:rsidRPr="00F6205B">
              <w:rPr>
                <w:color w:val="000000"/>
                <w:sz w:val="20"/>
                <w:szCs w:val="20"/>
              </w:rPr>
              <w:t>0%</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6D9DDF34" w14:textId="557202F6" w:rsidR="00BD5DBE" w:rsidRPr="00F6205B" w:rsidRDefault="00BD5DBE" w:rsidP="00BD5DBE">
            <w:pPr>
              <w:keepNext/>
              <w:keepLines/>
              <w:contextualSpacing/>
              <w:jc w:val="center"/>
              <w:rPr>
                <w:color w:val="000000"/>
                <w:sz w:val="20"/>
                <w:szCs w:val="20"/>
              </w:rPr>
            </w:pPr>
            <w:r w:rsidRPr="00F6205B">
              <w:rPr>
                <w:color w:val="000000"/>
                <w:sz w:val="20"/>
                <w:szCs w:val="20"/>
              </w:rPr>
              <w:t>0.2</w:t>
            </w:r>
          </w:p>
        </w:tc>
      </w:tr>
      <w:tr w:rsidR="00BD5DBE" w:rsidRPr="00F6205B" w14:paraId="56A3B826" w14:textId="77777777" w:rsidTr="000F4D91">
        <w:trPr>
          <w:trHeight w:val="288"/>
          <w:jc w:val="center"/>
        </w:trPr>
        <w:tc>
          <w:tcPr>
            <w:tcW w:w="345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029FF6C9" w14:textId="7E68BD81" w:rsidR="00BD5DBE" w:rsidRPr="00F6205B" w:rsidRDefault="00BD5DBE" w:rsidP="00BD5DBE">
            <w:pPr>
              <w:keepNext/>
              <w:keepLines/>
              <w:contextualSpacing/>
              <w:rPr>
                <w:color w:val="000000"/>
                <w:sz w:val="20"/>
                <w:szCs w:val="20"/>
              </w:rPr>
            </w:pPr>
            <w:r w:rsidRPr="00F6205B">
              <w:rPr>
                <w:color w:val="000000"/>
                <w:sz w:val="20"/>
                <w:szCs w:val="20"/>
              </w:rPr>
              <w:t>Dehumidifier</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4DCB3B82" w14:textId="0A6F320E" w:rsidR="00BD5DBE" w:rsidRPr="00F6205B" w:rsidRDefault="00BD5DBE" w:rsidP="00BD5DBE">
            <w:pPr>
              <w:keepNext/>
              <w:keepLines/>
              <w:contextualSpacing/>
              <w:jc w:val="center"/>
              <w:rPr>
                <w:color w:val="000000"/>
                <w:sz w:val="20"/>
                <w:szCs w:val="20"/>
              </w:rPr>
            </w:pPr>
            <w:r w:rsidRPr="00F6205B">
              <w:rPr>
                <w:color w:val="000000"/>
                <w:sz w:val="20"/>
                <w:szCs w:val="20"/>
              </w:rPr>
              <w:t>49</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08B6D6CE" w14:textId="5896426E" w:rsidR="00BD5DBE" w:rsidRPr="00F6205B" w:rsidRDefault="00BD5DBE" w:rsidP="00BD5DBE">
            <w:pPr>
              <w:keepNext/>
              <w:keepLines/>
              <w:contextualSpacing/>
              <w:jc w:val="center"/>
              <w:rPr>
                <w:color w:val="000000"/>
                <w:sz w:val="20"/>
                <w:szCs w:val="20"/>
              </w:rPr>
            </w:pPr>
            <w:r>
              <w:rPr>
                <w:color w:val="000000"/>
                <w:sz w:val="20"/>
                <w:szCs w:val="20"/>
              </w:rPr>
              <w:t>0%</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695B4884" w14:textId="507170B2" w:rsidR="00BD5DBE" w:rsidRPr="00F6205B" w:rsidRDefault="00BD5DBE" w:rsidP="00BD5DBE">
            <w:pPr>
              <w:keepNext/>
              <w:keepLines/>
              <w:contextualSpacing/>
              <w:jc w:val="center"/>
              <w:rPr>
                <w:color w:val="000000"/>
                <w:sz w:val="20"/>
                <w:szCs w:val="20"/>
              </w:rPr>
            </w:pPr>
            <w:r>
              <w:rPr>
                <w:color w:val="000000"/>
                <w:sz w:val="20"/>
                <w:szCs w:val="20"/>
              </w:rPr>
              <w:t>-2.5</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6DF9EC2F" w14:textId="0EFC1635" w:rsidR="00BD5DBE" w:rsidRPr="00F6205B" w:rsidRDefault="00BD5DBE" w:rsidP="00BD5DBE">
            <w:pPr>
              <w:keepNext/>
              <w:keepLines/>
              <w:contextualSpacing/>
              <w:jc w:val="center"/>
              <w:rPr>
                <w:color w:val="000000"/>
                <w:sz w:val="20"/>
                <w:szCs w:val="20"/>
              </w:rPr>
            </w:pPr>
            <w:r w:rsidRPr="00F6205B">
              <w:rPr>
                <w:color w:val="000000"/>
                <w:sz w:val="20"/>
                <w:szCs w:val="20"/>
              </w:rPr>
              <w:t>0%</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27E6A70F" w14:textId="7F66C372" w:rsidR="00BD5DBE" w:rsidRPr="00F6205B" w:rsidRDefault="00BD5DBE" w:rsidP="00BD5DBE">
            <w:pPr>
              <w:keepNext/>
              <w:keepLines/>
              <w:contextualSpacing/>
              <w:jc w:val="center"/>
              <w:rPr>
                <w:color w:val="000000"/>
                <w:sz w:val="20"/>
                <w:szCs w:val="20"/>
              </w:rPr>
            </w:pPr>
            <w:r w:rsidRPr="00F6205B">
              <w:rPr>
                <w:color w:val="000000"/>
                <w:sz w:val="20"/>
                <w:szCs w:val="20"/>
              </w:rPr>
              <w:t>0.1</w:t>
            </w:r>
          </w:p>
        </w:tc>
      </w:tr>
      <w:tr w:rsidR="00BD5DBE" w:rsidRPr="00F6205B" w14:paraId="7E06AFEE" w14:textId="77777777" w:rsidTr="00BF5F09">
        <w:trPr>
          <w:trHeight w:val="288"/>
          <w:jc w:val="center"/>
        </w:trPr>
        <w:tc>
          <w:tcPr>
            <w:tcW w:w="345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61DC7181" w14:textId="5BD5AEA4" w:rsidR="00BD5DBE" w:rsidRPr="00F6205B" w:rsidRDefault="00BD5DBE" w:rsidP="00BD5DBE">
            <w:pPr>
              <w:keepNext/>
              <w:keepLines/>
              <w:contextualSpacing/>
              <w:rPr>
                <w:color w:val="000000"/>
                <w:sz w:val="20"/>
                <w:szCs w:val="20"/>
              </w:rPr>
            </w:pPr>
            <w:r w:rsidRPr="00F6205B">
              <w:rPr>
                <w:color w:val="000000"/>
                <w:sz w:val="20"/>
                <w:szCs w:val="20"/>
              </w:rPr>
              <w:t>Air source heat pump</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60FB4AB0" w14:textId="4648CD07" w:rsidR="00BD5DBE" w:rsidRPr="00F6205B" w:rsidRDefault="00BD5DBE" w:rsidP="00BD5DBE">
            <w:pPr>
              <w:keepNext/>
              <w:keepLines/>
              <w:contextualSpacing/>
              <w:jc w:val="center"/>
              <w:rPr>
                <w:color w:val="000000"/>
                <w:sz w:val="20"/>
                <w:szCs w:val="20"/>
              </w:rPr>
            </w:pPr>
            <w:r w:rsidRPr="00F6205B">
              <w:rPr>
                <w:color w:val="000000"/>
                <w:sz w:val="20"/>
                <w:szCs w:val="20"/>
              </w:rPr>
              <w:t>104</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236D2033" w14:textId="277F0506" w:rsidR="00BD5DBE" w:rsidRPr="00F6205B" w:rsidRDefault="00BD5DBE" w:rsidP="00BD5DBE">
            <w:pPr>
              <w:keepNext/>
              <w:keepLines/>
              <w:contextualSpacing/>
              <w:jc w:val="center"/>
              <w:rPr>
                <w:color w:val="000000"/>
                <w:sz w:val="20"/>
                <w:szCs w:val="20"/>
              </w:rPr>
            </w:pPr>
            <w:r>
              <w:rPr>
                <w:color w:val="000000"/>
                <w:sz w:val="20"/>
                <w:szCs w:val="20"/>
              </w:rPr>
              <w:t>20%</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2C790B56" w14:textId="25EF51F0" w:rsidR="00BD5DBE" w:rsidRPr="00F6205B" w:rsidRDefault="00BD5DBE" w:rsidP="00BD5DBE">
            <w:pPr>
              <w:keepNext/>
              <w:keepLines/>
              <w:contextualSpacing/>
              <w:jc w:val="center"/>
              <w:rPr>
                <w:color w:val="000000"/>
                <w:sz w:val="20"/>
                <w:szCs w:val="20"/>
              </w:rPr>
            </w:pPr>
            <w:r>
              <w:rPr>
                <w:color w:val="000000"/>
                <w:sz w:val="20"/>
                <w:szCs w:val="20"/>
              </w:rPr>
              <w:t>-29.3</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3AB4AEAB" w14:textId="5C1517A1" w:rsidR="00BD5DBE" w:rsidRPr="00F6205B" w:rsidRDefault="00BD5DBE" w:rsidP="00BD5DBE">
            <w:pPr>
              <w:keepNext/>
              <w:keepLines/>
              <w:contextualSpacing/>
              <w:jc w:val="center"/>
              <w:rPr>
                <w:color w:val="000000"/>
                <w:sz w:val="20"/>
                <w:szCs w:val="20"/>
              </w:rPr>
            </w:pPr>
            <w:r w:rsidRPr="00F6205B">
              <w:rPr>
                <w:color w:val="000000"/>
                <w:sz w:val="20"/>
                <w:szCs w:val="20"/>
              </w:rPr>
              <w:t>7%</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409DBA73" w14:textId="20CF6301" w:rsidR="00BD5DBE" w:rsidRPr="00F6205B" w:rsidRDefault="00BD5DBE" w:rsidP="00BD5DBE">
            <w:pPr>
              <w:keepNext/>
              <w:keepLines/>
              <w:contextualSpacing/>
              <w:jc w:val="center"/>
              <w:rPr>
                <w:color w:val="000000"/>
                <w:sz w:val="20"/>
                <w:szCs w:val="20"/>
              </w:rPr>
            </w:pPr>
            <w:r w:rsidRPr="00F6205B">
              <w:rPr>
                <w:color w:val="000000"/>
                <w:sz w:val="20"/>
                <w:szCs w:val="20"/>
              </w:rPr>
              <w:t>-1.2</w:t>
            </w:r>
          </w:p>
        </w:tc>
      </w:tr>
      <w:tr w:rsidR="00BD5DBE" w:rsidRPr="00F6205B" w14:paraId="1DAE56A1" w14:textId="77777777" w:rsidTr="000F4D91">
        <w:trPr>
          <w:trHeight w:val="288"/>
          <w:jc w:val="center"/>
        </w:trPr>
        <w:tc>
          <w:tcPr>
            <w:tcW w:w="345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61983BB7" w14:textId="38517095" w:rsidR="00BD5DBE" w:rsidRPr="00F6205B" w:rsidRDefault="00BD5DBE" w:rsidP="00BD5DBE">
            <w:pPr>
              <w:keepNext/>
              <w:keepLines/>
              <w:contextualSpacing/>
              <w:rPr>
                <w:color w:val="000000"/>
                <w:sz w:val="20"/>
                <w:szCs w:val="20"/>
              </w:rPr>
            </w:pPr>
            <w:r w:rsidRPr="00F6205B">
              <w:rPr>
                <w:color w:val="000000"/>
                <w:sz w:val="20"/>
                <w:szCs w:val="20"/>
              </w:rPr>
              <w:t>Ductless mini-split</w:t>
            </w:r>
            <w:r w:rsidR="00190653">
              <w:rPr>
                <w:color w:val="000000"/>
                <w:sz w:val="20"/>
                <w:szCs w:val="20"/>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2837B7DE" w14:textId="6AAF7930" w:rsidR="00BD5DBE" w:rsidRPr="00F6205B" w:rsidRDefault="00BD5DBE" w:rsidP="00BD5DBE">
            <w:pPr>
              <w:keepNext/>
              <w:keepLines/>
              <w:contextualSpacing/>
              <w:jc w:val="center"/>
              <w:rPr>
                <w:color w:val="000000"/>
                <w:sz w:val="20"/>
                <w:szCs w:val="20"/>
              </w:rPr>
            </w:pPr>
            <w:r w:rsidRPr="00F6205B">
              <w:rPr>
                <w:color w:val="000000"/>
                <w:sz w:val="20"/>
                <w:szCs w:val="20"/>
              </w:rPr>
              <w:t>176</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7C95980F" w14:textId="154B226E" w:rsidR="00BD5DBE" w:rsidRPr="00F6205B" w:rsidRDefault="00BD5DBE" w:rsidP="00BD5DBE">
            <w:pPr>
              <w:keepNext/>
              <w:keepLines/>
              <w:contextualSpacing/>
              <w:jc w:val="center"/>
              <w:rPr>
                <w:color w:val="000000"/>
                <w:sz w:val="20"/>
                <w:szCs w:val="20"/>
              </w:rPr>
            </w:pPr>
            <w:r>
              <w:rPr>
                <w:color w:val="000000"/>
                <w:sz w:val="20"/>
                <w:szCs w:val="20"/>
              </w:rPr>
              <w:t>8%</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11F7848B" w14:textId="56C27EE1" w:rsidR="00BD5DBE" w:rsidRPr="00F6205B" w:rsidRDefault="00BD5DBE" w:rsidP="00BD5DBE">
            <w:pPr>
              <w:keepNext/>
              <w:keepLines/>
              <w:contextualSpacing/>
              <w:jc w:val="center"/>
              <w:rPr>
                <w:color w:val="000000"/>
                <w:sz w:val="20"/>
                <w:szCs w:val="20"/>
              </w:rPr>
            </w:pPr>
            <w:r>
              <w:rPr>
                <w:color w:val="000000"/>
                <w:sz w:val="20"/>
                <w:szCs w:val="20"/>
              </w:rPr>
              <w:t>-33.4</w:t>
            </w:r>
          </w:p>
        </w:tc>
        <w:tc>
          <w:tcPr>
            <w:tcW w:w="119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5FA47D2B" w14:textId="0C13AD48" w:rsidR="00BD5DBE" w:rsidRPr="00F6205B" w:rsidRDefault="00BD5DBE" w:rsidP="00BD5DBE">
            <w:pPr>
              <w:keepNext/>
              <w:keepLines/>
              <w:contextualSpacing/>
              <w:jc w:val="center"/>
              <w:rPr>
                <w:color w:val="000000"/>
                <w:sz w:val="20"/>
                <w:szCs w:val="20"/>
              </w:rPr>
            </w:pPr>
            <w:r w:rsidRPr="00F6205B">
              <w:rPr>
                <w:color w:val="000000"/>
                <w:sz w:val="20"/>
                <w:szCs w:val="20"/>
              </w:rPr>
              <w:t>6%</w:t>
            </w:r>
          </w:p>
        </w:tc>
        <w:tc>
          <w:tcPr>
            <w:tcW w:w="119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4462CF0F" w14:textId="798526B2" w:rsidR="00BD5DBE" w:rsidRPr="00F6205B" w:rsidRDefault="00BD5DBE" w:rsidP="00BD5DBE">
            <w:pPr>
              <w:keepNext/>
              <w:keepLines/>
              <w:contextualSpacing/>
              <w:jc w:val="center"/>
              <w:rPr>
                <w:color w:val="000000"/>
                <w:sz w:val="20"/>
                <w:szCs w:val="20"/>
              </w:rPr>
            </w:pPr>
            <w:r w:rsidRPr="00F6205B">
              <w:rPr>
                <w:color w:val="000000"/>
                <w:sz w:val="20"/>
                <w:szCs w:val="20"/>
              </w:rPr>
              <w:t>-1.8</w:t>
            </w:r>
          </w:p>
        </w:tc>
      </w:tr>
      <w:tr w:rsidR="00BD5DBE" w:rsidRPr="00F6205B" w14:paraId="083A7CDF" w14:textId="77777777" w:rsidTr="00BF5F09">
        <w:trPr>
          <w:trHeight w:val="288"/>
          <w:jc w:val="center"/>
        </w:trPr>
        <w:tc>
          <w:tcPr>
            <w:tcW w:w="3456" w:type="dxa"/>
            <w:tcBorders>
              <w:top w:val="single" w:sz="4" w:space="0" w:color="000000" w:themeColor="text1"/>
              <w:left w:val="single" w:sz="4" w:space="0" w:color="auto"/>
              <w:bottom w:val="single" w:sz="4" w:space="0" w:color="auto"/>
              <w:right w:val="single" w:sz="4" w:space="0" w:color="000000" w:themeColor="text1"/>
            </w:tcBorders>
            <w:shd w:val="clear" w:color="auto" w:fill="auto"/>
            <w:vAlign w:val="center"/>
          </w:tcPr>
          <w:p w14:paraId="443E32B5" w14:textId="4FE2580C" w:rsidR="00BD5DBE" w:rsidRPr="00F6205B" w:rsidRDefault="00BD5DBE" w:rsidP="00BD5DBE">
            <w:pPr>
              <w:keepNext/>
              <w:keepLines/>
              <w:contextualSpacing/>
              <w:rPr>
                <w:color w:val="000000"/>
                <w:sz w:val="20"/>
                <w:szCs w:val="20"/>
              </w:rPr>
            </w:pPr>
            <w:r w:rsidRPr="00F6205B">
              <w:rPr>
                <w:color w:val="000000"/>
                <w:sz w:val="20"/>
                <w:szCs w:val="20"/>
              </w:rPr>
              <w:t>Ground-source heat pump</w:t>
            </w:r>
          </w:p>
        </w:tc>
        <w:tc>
          <w:tcPr>
            <w:tcW w:w="1197" w:type="dxa"/>
            <w:tcBorders>
              <w:top w:val="single" w:sz="4" w:space="0" w:color="000000" w:themeColor="text1"/>
              <w:left w:val="single" w:sz="4" w:space="0" w:color="000000" w:themeColor="text1"/>
              <w:bottom w:val="single" w:sz="4" w:space="0" w:color="auto"/>
              <w:right w:val="single" w:sz="4" w:space="0" w:color="auto"/>
            </w:tcBorders>
            <w:shd w:val="clear" w:color="auto" w:fill="auto"/>
            <w:vAlign w:val="center"/>
          </w:tcPr>
          <w:p w14:paraId="212C29E4" w14:textId="25F29CF5" w:rsidR="00BD5DBE" w:rsidRPr="00F6205B" w:rsidRDefault="00BD5DBE" w:rsidP="00BD5DBE">
            <w:pPr>
              <w:keepNext/>
              <w:keepLines/>
              <w:contextualSpacing/>
              <w:jc w:val="center"/>
              <w:rPr>
                <w:color w:val="000000"/>
                <w:sz w:val="20"/>
                <w:szCs w:val="20"/>
              </w:rPr>
            </w:pPr>
            <w:r w:rsidRPr="00F6205B">
              <w:rPr>
                <w:color w:val="000000"/>
                <w:sz w:val="20"/>
                <w:szCs w:val="20"/>
              </w:rPr>
              <w:t>103</w:t>
            </w:r>
          </w:p>
        </w:tc>
        <w:tc>
          <w:tcPr>
            <w:tcW w:w="1197" w:type="dxa"/>
            <w:tcBorders>
              <w:top w:val="single" w:sz="4" w:space="0" w:color="000000" w:themeColor="text1"/>
              <w:left w:val="single" w:sz="4" w:space="0" w:color="auto"/>
              <w:bottom w:val="single" w:sz="4" w:space="0" w:color="auto"/>
              <w:right w:val="single" w:sz="4" w:space="0" w:color="000000" w:themeColor="text1"/>
            </w:tcBorders>
            <w:shd w:val="clear" w:color="auto" w:fill="auto"/>
            <w:vAlign w:val="center"/>
          </w:tcPr>
          <w:p w14:paraId="364FC507" w14:textId="29A487D7" w:rsidR="00BD5DBE" w:rsidRPr="00F6205B" w:rsidRDefault="00BD5DBE" w:rsidP="00BD5DBE">
            <w:pPr>
              <w:keepNext/>
              <w:keepLines/>
              <w:contextualSpacing/>
              <w:jc w:val="center"/>
              <w:rPr>
                <w:color w:val="000000"/>
                <w:sz w:val="20"/>
                <w:szCs w:val="20"/>
              </w:rPr>
            </w:pPr>
            <w:r>
              <w:rPr>
                <w:color w:val="000000"/>
                <w:sz w:val="20"/>
                <w:szCs w:val="20"/>
              </w:rPr>
              <w:t>2%</w:t>
            </w:r>
          </w:p>
        </w:tc>
        <w:tc>
          <w:tcPr>
            <w:tcW w:w="1197" w:type="dxa"/>
            <w:tcBorders>
              <w:top w:val="single" w:sz="4" w:space="0" w:color="000000" w:themeColor="text1"/>
              <w:left w:val="single" w:sz="4" w:space="0" w:color="000000" w:themeColor="text1"/>
              <w:bottom w:val="single" w:sz="4" w:space="0" w:color="auto"/>
              <w:right w:val="single" w:sz="4" w:space="0" w:color="auto"/>
            </w:tcBorders>
            <w:shd w:val="clear" w:color="auto" w:fill="auto"/>
            <w:vAlign w:val="center"/>
          </w:tcPr>
          <w:p w14:paraId="2D467609" w14:textId="791037E5" w:rsidR="00BD5DBE" w:rsidRPr="00F6205B" w:rsidRDefault="00BD5DBE" w:rsidP="00BD5DBE">
            <w:pPr>
              <w:keepNext/>
              <w:keepLines/>
              <w:contextualSpacing/>
              <w:jc w:val="center"/>
              <w:rPr>
                <w:color w:val="000000"/>
                <w:sz w:val="20"/>
                <w:szCs w:val="20"/>
              </w:rPr>
            </w:pPr>
            <w:r>
              <w:rPr>
                <w:color w:val="000000"/>
                <w:sz w:val="20"/>
                <w:szCs w:val="20"/>
              </w:rPr>
              <w:t>-20.5</w:t>
            </w:r>
          </w:p>
        </w:tc>
        <w:tc>
          <w:tcPr>
            <w:tcW w:w="1197" w:type="dxa"/>
            <w:tcBorders>
              <w:top w:val="single" w:sz="4" w:space="0" w:color="000000" w:themeColor="text1"/>
              <w:left w:val="single" w:sz="4" w:space="0" w:color="auto"/>
              <w:bottom w:val="single" w:sz="4" w:space="0" w:color="auto"/>
              <w:right w:val="single" w:sz="4" w:space="0" w:color="000000" w:themeColor="text1"/>
            </w:tcBorders>
            <w:shd w:val="clear" w:color="auto" w:fill="auto"/>
            <w:vAlign w:val="center"/>
          </w:tcPr>
          <w:p w14:paraId="032AFE9B" w14:textId="213F1801" w:rsidR="00BD5DBE" w:rsidRPr="00F6205B" w:rsidRDefault="00BD5DBE" w:rsidP="00BD5DBE">
            <w:pPr>
              <w:keepNext/>
              <w:keepLines/>
              <w:contextualSpacing/>
              <w:jc w:val="center"/>
              <w:rPr>
                <w:color w:val="000000"/>
                <w:sz w:val="20"/>
                <w:szCs w:val="20"/>
              </w:rPr>
            </w:pPr>
            <w:r w:rsidRPr="00F6205B">
              <w:rPr>
                <w:color w:val="000000"/>
                <w:sz w:val="20"/>
                <w:szCs w:val="20"/>
              </w:rPr>
              <w:t>0%</w:t>
            </w:r>
          </w:p>
        </w:tc>
        <w:tc>
          <w:tcPr>
            <w:tcW w:w="1197" w:type="dxa"/>
            <w:tcBorders>
              <w:top w:val="single" w:sz="4" w:space="0" w:color="000000" w:themeColor="text1"/>
              <w:left w:val="single" w:sz="4" w:space="0" w:color="000000" w:themeColor="text1"/>
              <w:bottom w:val="single" w:sz="4" w:space="0" w:color="auto"/>
              <w:right w:val="single" w:sz="4" w:space="0" w:color="auto"/>
            </w:tcBorders>
            <w:shd w:val="clear" w:color="auto" w:fill="auto"/>
            <w:vAlign w:val="center"/>
          </w:tcPr>
          <w:p w14:paraId="237630CA" w14:textId="0AFCB727" w:rsidR="00BD5DBE" w:rsidRPr="00F6205B" w:rsidRDefault="00BD5DBE" w:rsidP="00BD5DBE">
            <w:pPr>
              <w:keepNext/>
              <w:keepLines/>
              <w:contextualSpacing/>
              <w:jc w:val="center"/>
              <w:rPr>
                <w:color w:val="000000"/>
                <w:sz w:val="20"/>
                <w:szCs w:val="20"/>
              </w:rPr>
            </w:pPr>
            <w:r w:rsidRPr="00F6205B">
              <w:rPr>
                <w:color w:val="000000"/>
                <w:sz w:val="20"/>
                <w:szCs w:val="20"/>
              </w:rPr>
              <w:t>-3.4</w:t>
            </w:r>
          </w:p>
        </w:tc>
      </w:tr>
    </w:tbl>
    <w:p w14:paraId="7807BF79" w14:textId="77777777" w:rsidR="00190653" w:rsidRPr="00F6205B" w:rsidRDefault="00190653" w:rsidP="00190653">
      <w:pPr>
        <w:keepNext/>
        <w:keepLines/>
        <w:tabs>
          <w:tab w:val="left" w:pos="670"/>
        </w:tabs>
        <w:ind w:left="-180"/>
        <w:contextualSpacing/>
        <w:rPr>
          <w:sz w:val="18"/>
          <w:szCs w:val="18"/>
        </w:rPr>
      </w:pPr>
      <w:bookmarkStart w:id="251" w:name="_Toc391887319"/>
      <w:bookmarkStart w:id="252" w:name="_Ref439255311"/>
      <w:bookmarkStart w:id="253" w:name="_Ref439256695"/>
      <w:bookmarkStart w:id="254" w:name="_Ref439696018"/>
      <w:r w:rsidRPr="00F6205B">
        <w:rPr>
          <w:sz w:val="18"/>
          <w:szCs w:val="18"/>
        </w:rPr>
        <w:t>* Ductless mini-splits were not screened for cost-effectiveness at four sites as the technology was already present.</w:t>
      </w:r>
    </w:p>
    <w:p w14:paraId="0B6048F5" w14:textId="77777777" w:rsidR="00572BA6" w:rsidRDefault="00572BA6" w:rsidP="00A964F0">
      <w:pPr>
        <w:rPr>
          <w:rFonts w:eastAsiaTheme="majorEastAsia"/>
        </w:rPr>
      </w:pPr>
      <w:r>
        <w:br w:type="page"/>
      </w:r>
    </w:p>
    <w:p w14:paraId="1F33CBB7" w14:textId="432F5F1A" w:rsidR="00A83E9C" w:rsidRPr="00F6205B" w:rsidRDefault="00A83E9C" w:rsidP="00572BA6">
      <w:pPr>
        <w:pStyle w:val="Heading2"/>
        <w:numPr>
          <w:ilvl w:val="0"/>
          <w:numId w:val="0"/>
        </w:numPr>
        <w:jc w:val="both"/>
      </w:pPr>
      <w:bookmarkStart w:id="255" w:name="_Ref439933773"/>
      <w:bookmarkStart w:id="256" w:name="_Toc439939407"/>
      <w:r w:rsidRPr="00F6205B">
        <w:lastRenderedPageBreak/>
        <w:t>Cost-Effective Potential Savings</w:t>
      </w:r>
      <w:bookmarkEnd w:id="251"/>
      <w:bookmarkEnd w:id="252"/>
      <w:bookmarkEnd w:id="253"/>
      <w:bookmarkEnd w:id="254"/>
      <w:bookmarkEnd w:id="255"/>
      <w:bookmarkEnd w:id="256"/>
    </w:p>
    <w:p w14:paraId="211AFB5C" w14:textId="048C7365" w:rsidR="00A83E9C" w:rsidRPr="00F6205B" w:rsidRDefault="00543804" w:rsidP="00F52E2F">
      <w:pPr>
        <w:keepNext/>
      </w:pPr>
      <w:r w:rsidRPr="00F6205B">
        <w:fldChar w:fldCharType="begin"/>
      </w:r>
      <w:r w:rsidRPr="00F6205B">
        <w:instrText xml:space="preserve"> REF _Ref439321303 \h </w:instrText>
      </w:r>
      <w:r w:rsidR="00F6205B">
        <w:instrText xml:space="preserve"> \* MERGEFORMAT </w:instrText>
      </w:r>
      <w:r w:rsidRPr="00F6205B">
        <w:fldChar w:fldCharType="separate"/>
      </w:r>
      <w:r w:rsidR="00FA26A9" w:rsidRPr="00F6205B">
        <w:t xml:space="preserve">Figure </w:t>
      </w:r>
      <w:r w:rsidR="00FA26A9">
        <w:rPr>
          <w:noProof/>
        </w:rPr>
        <w:t>13</w:t>
      </w:r>
      <w:r w:rsidRPr="00F6205B">
        <w:fldChar w:fldCharType="end"/>
      </w:r>
      <w:r w:rsidRPr="00F6205B">
        <w:t xml:space="preserve"> </w:t>
      </w:r>
      <w:r w:rsidR="00A83E9C" w:rsidRPr="00F6205B">
        <w:t xml:space="preserve">compares potential cost-effective savings to technical potential savings. </w:t>
      </w:r>
      <w:r w:rsidR="00EF60B3" w:rsidRPr="00F6205B">
        <w:t>C</w:t>
      </w:r>
      <w:r w:rsidR="00A83E9C" w:rsidRPr="00F6205B">
        <w:t>ost-effective potential savings are about one-</w:t>
      </w:r>
      <w:r w:rsidR="00B125F9">
        <w:t xml:space="preserve">third the amount </w:t>
      </w:r>
      <w:r w:rsidR="001A74CA" w:rsidRPr="00F6205B">
        <w:t>of technical potential savings with solar included, and about two-fifths without solar included in the technical potential total</w:t>
      </w:r>
      <w:r w:rsidR="004A55B2" w:rsidRPr="00F6205B">
        <w:t>.</w:t>
      </w:r>
    </w:p>
    <w:p w14:paraId="28B22158" w14:textId="048D44FF" w:rsidR="00EF60B3" w:rsidRPr="00F6205B" w:rsidRDefault="00EF60B3" w:rsidP="00572BA6">
      <w:pPr>
        <w:pStyle w:val="Caption"/>
      </w:pPr>
      <w:bookmarkStart w:id="257" w:name="_Ref391561445"/>
      <w:bookmarkStart w:id="258" w:name="_Ref439321303"/>
      <w:bookmarkStart w:id="259" w:name="_Toc391887399"/>
      <w:bookmarkStart w:id="260" w:name="_Toc439931806"/>
      <w:r w:rsidRPr="00F6205B">
        <w:t>Figure</w:t>
      </w:r>
      <w:bookmarkEnd w:id="257"/>
      <w:r w:rsidR="004F23CF" w:rsidRPr="00F6205B">
        <w:t xml:space="preserve"> </w:t>
      </w:r>
      <w:fldSimple w:instr=" SEQ Figure \* ARABIC ">
        <w:r w:rsidR="00FA26A9">
          <w:rPr>
            <w:noProof/>
          </w:rPr>
          <w:t>13</w:t>
        </w:r>
      </w:fldSimple>
      <w:bookmarkEnd w:id="258"/>
      <w:r w:rsidR="00C44244">
        <w:t>: Ten-Year (2016-2025</w:t>
      </w:r>
      <w:r w:rsidRPr="00F6205B">
        <w:t>) Aggregate Savings for Technical and Cost-Effective Potential (MMBtu)</w:t>
      </w:r>
      <w:bookmarkEnd w:id="259"/>
      <w:bookmarkEnd w:id="260"/>
    </w:p>
    <w:p w14:paraId="3C5369EA" w14:textId="77777777" w:rsidR="00346A82" w:rsidRPr="00F6205B" w:rsidRDefault="00346A82" w:rsidP="00572BA6">
      <w:pPr>
        <w:pStyle w:val="Caption"/>
        <w:spacing w:before="0" w:after="120"/>
        <w:rPr>
          <w:b w:val="0"/>
          <w:bCs w:val="0"/>
          <w:sz w:val="18"/>
        </w:rPr>
      </w:pPr>
      <w:r w:rsidRPr="00F6205B">
        <w:rPr>
          <w:b w:val="0"/>
          <w:bCs w:val="0"/>
          <w:sz w:val="18"/>
        </w:rPr>
        <w:t>Base: all single-family homes (population-weighted)</w:t>
      </w:r>
    </w:p>
    <w:p w14:paraId="6483B824" w14:textId="132CF8D2" w:rsidR="00EF60B3" w:rsidRPr="00F6205B" w:rsidRDefault="00292954" w:rsidP="00572BA6">
      <w:pPr>
        <w:keepNext/>
        <w:spacing w:after="200"/>
        <w:jc w:val="center"/>
      </w:pPr>
      <w:r w:rsidRPr="00F6205B">
        <w:rPr>
          <w:noProof/>
          <w:lang w:bidi="ar-SA"/>
        </w:rPr>
        <w:drawing>
          <wp:inline distT="0" distB="0" distL="0" distR="0" wp14:anchorId="2352C03C" wp14:editId="6F14F3BC">
            <wp:extent cx="4334510" cy="3249295"/>
            <wp:effectExtent l="0" t="0" r="8890"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34510" cy="3249295"/>
                    </a:xfrm>
                    <a:prstGeom prst="rect">
                      <a:avLst/>
                    </a:prstGeom>
                    <a:noFill/>
                  </pic:spPr>
                </pic:pic>
              </a:graphicData>
            </a:graphic>
          </wp:inline>
        </w:drawing>
      </w:r>
    </w:p>
    <w:p w14:paraId="2C3C16B2" w14:textId="77777777" w:rsidR="00EF60B3" w:rsidRPr="00F6205B" w:rsidRDefault="00EF60B3" w:rsidP="00EF60B3">
      <w:pPr>
        <w:keepNext/>
        <w:spacing w:after="200"/>
      </w:pPr>
    </w:p>
    <w:p w14:paraId="6118EBC9" w14:textId="77777777" w:rsidR="00297B7C" w:rsidRDefault="00297B7C">
      <w:pPr>
        <w:spacing w:after="0" w:line="240" w:lineRule="auto"/>
      </w:pPr>
      <w:r>
        <w:br w:type="page"/>
      </w:r>
    </w:p>
    <w:p w14:paraId="183F676F" w14:textId="18827D98" w:rsidR="00EF60B3" w:rsidRPr="00F6205B" w:rsidRDefault="009C5143" w:rsidP="00A964F0">
      <w:r w:rsidRPr="00F6205B">
        <w:lastRenderedPageBreak/>
        <w:fldChar w:fldCharType="begin"/>
      </w:r>
      <w:r w:rsidRPr="00F6205B">
        <w:instrText xml:space="preserve"> REF _Ref439321466 \h </w:instrText>
      </w:r>
      <w:r w:rsidR="00F6205B">
        <w:instrText xml:space="preserve"> \* MERGEFORMAT </w:instrText>
      </w:r>
      <w:r w:rsidRPr="00F6205B">
        <w:fldChar w:fldCharType="separate"/>
      </w:r>
      <w:r w:rsidR="00FA26A9" w:rsidRPr="00F6205B">
        <w:t xml:space="preserve">Table </w:t>
      </w:r>
      <w:r w:rsidR="00FA26A9">
        <w:rPr>
          <w:noProof/>
        </w:rPr>
        <w:t>25</w:t>
      </w:r>
      <w:r w:rsidRPr="00F6205B">
        <w:fldChar w:fldCharType="end"/>
      </w:r>
      <w:r w:rsidRPr="00F6205B">
        <w:t xml:space="preserve"> </w:t>
      </w:r>
      <w:r w:rsidR="00B125F9">
        <w:t>show</w:t>
      </w:r>
      <w:r w:rsidR="00EF60B3" w:rsidRPr="00F6205B">
        <w:t xml:space="preserve">s cost-effective potential savings by fuel type. Upgrades that screened as cost-effective, </w:t>
      </w:r>
      <w:r w:rsidR="00B125F9">
        <w:t xml:space="preserve">with savings </w:t>
      </w:r>
      <w:r w:rsidR="00AC3B12" w:rsidRPr="00F6205B">
        <w:t>extrapolated</w:t>
      </w:r>
      <w:r w:rsidR="00EF60B3" w:rsidRPr="00F6205B">
        <w:t xml:space="preserve"> </w:t>
      </w:r>
      <w:r w:rsidR="00697B4B" w:rsidRPr="00F6205B">
        <w:t>over the ten-</w:t>
      </w:r>
      <w:r w:rsidR="00AC3B12" w:rsidRPr="00F6205B">
        <w:t>year period from</w:t>
      </w:r>
      <w:r w:rsidR="00697B4B" w:rsidRPr="00F6205B">
        <w:t xml:space="preserve"> 2016</w:t>
      </w:r>
      <w:r w:rsidR="00AC3B12" w:rsidRPr="00F6205B">
        <w:t xml:space="preserve"> to </w:t>
      </w:r>
      <w:r w:rsidR="00697B4B" w:rsidRPr="00F6205B">
        <w:t>2025</w:t>
      </w:r>
      <w:r w:rsidR="00EF60B3" w:rsidRPr="00F6205B">
        <w:t xml:space="preserve">, result in </w:t>
      </w:r>
      <w:r w:rsidR="008D0BEE" w:rsidRPr="00F6205B">
        <w:t xml:space="preserve">total ten-year </w:t>
      </w:r>
      <w:r w:rsidR="00EF60B3" w:rsidRPr="00F6205B">
        <w:t xml:space="preserve">savings of </w:t>
      </w:r>
      <w:r w:rsidR="00E61B05" w:rsidRPr="00F6205B">
        <w:t>24</w:t>
      </w:r>
      <w:r w:rsidR="008D0BEE" w:rsidRPr="00F6205B">
        <w:t xml:space="preserve">% </w:t>
      </w:r>
      <w:r w:rsidR="00B125F9">
        <w:t>relative to</w:t>
      </w:r>
      <w:r w:rsidR="008D0BEE" w:rsidRPr="00F6205B">
        <w:t xml:space="preserve"> </w:t>
      </w:r>
      <w:r w:rsidR="00EF60B3" w:rsidRPr="00F6205B">
        <w:t>baselin</w:t>
      </w:r>
      <w:r w:rsidR="008D0BEE" w:rsidRPr="00F6205B">
        <w:t>e consumption</w:t>
      </w:r>
      <w:r w:rsidR="00E61B05" w:rsidRPr="00F6205B">
        <w:t>,</w:t>
      </w:r>
      <w:r w:rsidR="008D0BEE" w:rsidRPr="00F6205B">
        <w:rPr>
          <w:rStyle w:val="FootnoteReference"/>
        </w:rPr>
        <w:footnoteReference w:id="69"/>
      </w:r>
      <w:r w:rsidR="00EF60B3" w:rsidRPr="00F6205B">
        <w:t xml:space="preserve"> </w:t>
      </w:r>
      <w:r w:rsidR="00E61B05" w:rsidRPr="00F6205B">
        <w:t>and 27% in the first year.</w:t>
      </w:r>
    </w:p>
    <w:p w14:paraId="536FCCB6" w14:textId="6523DCA5" w:rsidR="00EF60B3" w:rsidRPr="00F6205B" w:rsidRDefault="00E61B05" w:rsidP="00A964F0">
      <w:r w:rsidRPr="00F6205B">
        <w:t xml:space="preserve">Cost-effective oil and natural gas savings represent 29% and 28% of baseline consumption in the first year respectively, while propane savings account for 21% of first-year consumption. These proportions </w:t>
      </w:r>
      <w:r w:rsidR="00297B7C">
        <w:t>remain</w:t>
      </w:r>
      <w:r w:rsidR="00297B7C" w:rsidRPr="00F6205B">
        <w:t xml:space="preserve"> </w:t>
      </w:r>
      <w:r w:rsidRPr="00F6205B">
        <w:t>relatively the same over the ten-year period from 2016 to 2025, with gas and propane declining by two percentage points each and oil remaining at 29%.</w:t>
      </w:r>
    </w:p>
    <w:p w14:paraId="030D5596" w14:textId="221D0AE4" w:rsidR="00EF60B3" w:rsidRPr="00F6205B" w:rsidRDefault="00EF60B3" w:rsidP="00A964F0">
      <w:r w:rsidRPr="00F6205B">
        <w:t>Cost-effective el</w:t>
      </w:r>
      <w:r w:rsidR="00E61B05" w:rsidRPr="00F6205B">
        <w:t>ectric savings represent 21</w:t>
      </w:r>
      <w:r w:rsidRPr="00F6205B">
        <w:t>% of baseline consumption</w:t>
      </w:r>
      <w:r w:rsidR="00E61B05" w:rsidRPr="00F6205B">
        <w:t xml:space="preserve"> in the first year, but only 15% over ten years. This is due to the influence of changes in federal minimum efficiency standards for lighting and appliances, which negate a substantial proportion of the savings in the later years of the study window</w:t>
      </w:r>
      <w:r w:rsidRPr="00F6205B">
        <w:t>.</w:t>
      </w:r>
      <w:r w:rsidR="00E61B05" w:rsidRPr="00F6205B">
        <w:t xml:space="preserve"> This is</w:t>
      </w:r>
      <w:r w:rsidR="00EA7FE1" w:rsidRPr="00F6205B">
        <w:t xml:space="preserve"> particularly true for lighting in years after 2020, when EISA</w:t>
      </w:r>
      <w:r w:rsidR="006C2782">
        <w:rPr>
          <w:rStyle w:val="FootnoteReference"/>
        </w:rPr>
        <w:footnoteReference w:id="70"/>
      </w:r>
      <w:r w:rsidR="00EA7FE1" w:rsidRPr="00F6205B">
        <w:t xml:space="preserve"> standards </w:t>
      </w:r>
      <w:r w:rsidR="00B125F9">
        <w:t xml:space="preserve">are due to </w:t>
      </w:r>
      <w:r w:rsidR="00EA7FE1" w:rsidRPr="00F6205B">
        <w:t>increase.</w:t>
      </w:r>
    </w:p>
    <w:p w14:paraId="31990B73" w14:textId="77777777" w:rsidR="00EF60B3" w:rsidRPr="00F6205B" w:rsidRDefault="00EF60B3" w:rsidP="00EF60B3">
      <w:pPr>
        <w:keepNext/>
        <w:keepLines/>
        <w:spacing w:after="200"/>
      </w:pPr>
      <w:r w:rsidRPr="00F6205B">
        <w:br w:type="page"/>
      </w:r>
    </w:p>
    <w:p w14:paraId="5758F7D8" w14:textId="14398807" w:rsidR="00EF60B3" w:rsidRPr="00F6205B" w:rsidRDefault="00EF60B3" w:rsidP="004F23CF">
      <w:pPr>
        <w:pStyle w:val="Caption"/>
      </w:pPr>
      <w:bookmarkStart w:id="261" w:name="_Ref391635989"/>
      <w:bookmarkStart w:id="262" w:name="_Ref439321466"/>
      <w:bookmarkStart w:id="263" w:name="_Toc391887361"/>
      <w:bookmarkStart w:id="264" w:name="_Toc439931856"/>
      <w:r w:rsidRPr="00F6205B">
        <w:lastRenderedPageBreak/>
        <w:t>Table</w:t>
      </w:r>
      <w:bookmarkEnd w:id="261"/>
      <w:r w:rsidR="004F23CF" w:rsidRPr="00F6205B">
        <w:t xml:space="preserve"> </w:t>
      </w:r>
      <w:fldSimple w:instr=" SEQ Table \* ARABIC ">
        <w:r w:rsidR="00FA26A9">
          <w:rPr>
            <w:noProof/>
          </w:rPr>
          <w:t>25</w:t>
        </w:r>
      </w:fldSimple>
      <w:bookmarkEnd w:id="262"/>
      <w:r w:rsidRPr="00F6205B">
        <w:t xml:space="preserve">: Cost-Effective Potential Savings— Ten-Year </w:t>
      </w:r>
      <w:r w:rsidR="0023664A" w:rsidRPr="00F6205B">
        <w:t>Aggregate Savings (2016-2025</w:t>
      </w:r>
      <w:r w:rsidRPr="00F6205B">
        <w:t>)*</w:t>
      </w:r>
      <w:bookmarkEnd w:id="263"/>
      <w:bookmarkEnd w:id="264"/>
    </w:p>
    <w:p w14:paraId="102B368B" w14:textId="77777777" w:rsidR="00346A82" w:rsidRPr="00F6205B" w:rsidRDefault="00346A82" w:rsidP="00297B7C">
      <w:pPr>
        <w:pStyle w:val="Caption"/>
        <w:spacing w:before="0" w:after="120"/>
        <w:rPr>
          <w:b w:val="0"/>
          <w:bCs w:val="0"/>
          <w:sz w:val="18"/>
        </w:rPr>
      </w:pPr>
      <w:r w:rsidRPr="00F6205B">
        <w:rPr>
          <w:b w:val="0"/>
          <w:bCs w:val="0"/>
          <w:sz w:val="18"/>
        </w:rPr>
        <w:t>Base: all single-family homes (population-weighted)</w:t>
      </w:r>
    </w:p>
    <w:tbl>
      <w:tblPr>
        <w:tblStyle w:val="TableGrid"/>
        <w:tblW w:w="10302"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3573"/>
        <w:gridCol w:w="1099"/>
        <w:gridCol w:w="1099"/>
        <w:gridCol w:w="1099"/>
        <w:gridCol w:w="1144"/>
        <w:gridCol w:w="1144"/>
        <w:gridCol w:w="1144"/>
      </w:tblGrid>
      <w:tr w:rsidR="00E1589D" w:rsidRPr="00F6205B" w14:paraId="3A1E22B6" w14:textId="77777777" w:rsidTr="00BA0599">
        <w:trPr>
          <w:trHeight w:val="288"/>
          <w:jc w:val="center"/>
        </w:trPr>
        <w:tc>
          <w:tcPr>
            <w:tcW w:w="3573" w:type="dxa"/>
            <w:tcBorders>
              <w:top w:val="single" w:sz="4" w:space="0" w:color="auto"/>
              <w:left w:val="single" w:sz="4" w:space="0" w:color="auto"/>
              <w:bottom w:val="single" w:sz="4" w:space="0" w:color="auto"/>
              <w:right w:val="single" w:sz="4" w:space="0" w:color="000000" w:themeColor="text1"/>
            </w:tcBorders>
            <w:shd w:val="clear" w:color="auto" w:fill="0B4D2C" w:themeFill="background2" w:themeFillShade="BF"/>
            <w:vAlign w:val="center"/>
          </w:tcPr>
          <w:p w14:paraId="40B40536" w14:textId="77777777" w:rsidR="00E1589D" w:rsidRPr="00F6205B" w:rsidRDefault="00E1589D">
            <w:pPr>
              <w:keepNext/>
              <w:keepLines/>
              <w:spacing w:after="0"/>
              <w:contextualSpacing/>
              <w:rPr>
                <w:b/>
                <w:sz w:val="20"/>
                <w:szCs w:val="20"/>
              </w:rPr>
            </w:pPr>
          </w:p>
        </w:tc>
        <w:tc>
          <w:tcPr>
            <w:tcW w:w="1099" w:type="dxa"/>
            <w:tcBorders>
              <w:top w:val="single" w:sz="4" w:space="0" w:color="auto"/>
              <w:bottom w:val="single" w:sz="4" w:space="0" w:color="auto"/>
              <w:right w:val="single" w:sz="4" w:space="0" w:color="000000" w:themeColor="text1"/>
            </w:tcBorders>
            <w:shd w:val="clear" w:color="auto" w:fill="0B4D2C" w:themeFill="background2" w:themeFillShade="BF"/>
            <w:vAlign w:val="center"/>
          </w:tcPr>
          <w:p w14:paraId="5538C142" w14:textId="259AB7A1" w:rsidR="00E1589D" w:rsidRPr="00F6205B" w:rsidRDefault="00E1589D">
            <w:pPr>
              <w:keepNext/>
              <w:keepLines/>
              <w:spacing w:after="0"/>
              <w:contextualSpacing/>
              <w:jc w:val="center"/>
              <w:rPr>
                <w:b/>
                <w:sz w:val="20"/>
                <w:szCs w:val="20"/>
              </w:rPr>
            </w:pPr>
            <w:r w:rsidRPr="00F6205B">
              <w:rPr>
                <w:b/>
                <w:sz w:val="20"/>
                <w:szCs w:val="20"/>
              </w:rPr>
              <w:t>Fuel Oil (gal)</w:t>
            </w:r>
          </w:p>
        </w:tc>
        <w:tc>
          <w:tcPr>
            <w:tcW w:w="1099" w:type="dxa"/>
            <w:tcBorders>
              <w:top w:val="single" w:sz="4" w:space="0" w:color="auto"/>
              <w:bottom w:val="single" w:sz="4" w:space="0" w:color="auto"/>
              <w:right w:val="single" w:sz="4" w:space="0" w:color="000000" w:themeColor="text1"/>
            </w:tcBorders>
            <w:shd w:val="clear" w:color="auto" w:fill="0B4D2C" w:themeFill="background2" w:themeFillShade="BF"/>
            <w:vAlign w:val="center"/>
          </w:tcPr>
          <w:p w14:paraId="7D5AD63E" w14:textId="51ECA0E9" w:rsidR="00E1589D" w:rsidRPr="00F6205B" w:rsidRDefault="00E1589D">
            <w:pPr>
              <w:keepNext/>
              <w:keepLines/>
              <w:spacing w:after="0"/>
              <w:contextualSpacing/>
              <w:jc w:val="center"/>
              <w:rPr>
                <w:b/>
                <w:sz w:val="20"/>
                <w:szCs w:val="20"/>
              </w:rPr>
            </w:pPr>
            <w:r w:rsidRPr="00F6205B">
              <w:rPr>
                <w:b/>
                <w:sz w:val="20"/>
                <w:szCs w:val="20"/>
              </w:rPr>
              <w:t>Nat. Gas (ccf)</w:t>
            </w:r>
          </w:p>
        </w:tc>
        <w:tc>
          <w:tcPr>
            <w:tcW w:w="1099" w:type="dxa"/>
            <w:tcBorders>
              <w:top w:val="single" w:sz="4" w:space="0" w:color="auto"/>
              <w:bottom w:val="single" w:sz="4" w:space="0" w:color="auto"/>
              <w:right w:val="single" w:sz="4" w:space="0" w:color="000000" w:themeColor="text1"/>
            </w:tcBorders>
            <w:shd w:val="clear" w:color="auto" w:fill="0B4D2C" w:themeFill="background2" w:themeFillShade="BF"/>
            <w:vAlign w:val="center"/>
          </w:tcPr>
          <w:p w14:paraId="20D9FD7D" w14:textId="359AA943" w:rsidR="00E1589D" w:rsidRPr="00F6205B" w:rsidRDefault="00E1589D">
            <w:pPr>
              <w:keepNext/>
              <w:keepLines/>
              <w:spacing w:after="0"/>
              <w:contextualSpacing/>
              <w:jc w:val="center"/>
              <w:rPr>
                <w:b/>
                <w:sz w:val="20"/>
                <w:szCs w:val="20"/>
              </w:rPr>
            </w:pPr>
            <w:r w:rsidRPr="00F6205B">
              <w:rPr>
                <w:b/>
                <w:sz w:val="20"/>
                <w:szCs w:val="20"/>
              </w:rPr>
              <w:t>Propane (gal)</w:t>
            </w:r>
          </w:p>
        </w:tc>
        <w:tc>
          <w:tcPr>
            <w:tcW w:w="1144" w:type="dxa"/>
            <w:tcBorders>
              <w:top w:val="single" w:sz="4" w:space="0" w:color="auto"/>
              <w:bottom w:val="single" w:sz="4" w:space="0" w:color="auto"/>
              <w:right w:val="single" w:sz="4" w:space="0" w:color="000000" w:themeColor="text1"/>
            </w:tcBorders>
            <w:shd w:val="clear" w:color="auto" w:fill="0B4D2C" w:themeFill="background2" w:themeFillShade="BF"/>
            <w:vAlign w:val="center"/>
          </w:tcPr>
          <w:p w14:paraId="65DE6CB7" w14:textId="13FF2F9F" w:rsidR="00E1589D" w:rsidRPr="00F6205B" w:rsidRDefault="00E1589D">
            <w:pPr>
              <w:keepNext/>
              <w:keepLines/>
              <w:spacing w:after="0"/>
              <w:contextualSpacing/>
              <w:jc w:val="center"/>
              <w:rPr>
                <w:b/>
                <w:sz w:val="20"/>
                <w:szCs w:val="20"/>
              </w:rPr>
            </w:pPr>
            <w:r w:rsidRPr="00F6205B">
              <w:rPr>
                <w:b/>
                <w:sz w:val="20"/>
                <w:szCs w:val="20"/>
              </w:rPr>
              <w:t>Electric (kWh)</w:t>
            </w:r>
          </w:p>
        </w:tc>
        <w:tc>
          <w:tcPr>
            <w:tcW w:w="1144" w:type="dxa"/>
            <w:tcBorders>
              <w:top w:val="single" w:sz="4" w:space="0" w:color="auto"/>
              <w:bottom w:val="single" w:sz="4" w:space="0" w:color="auto"/>
              <w:right w:val="single" w:sz="4" w:space="0" w:color="000000" w:themeColor="text1"/>
            </w:tcBorders>
            <w:shd w:val="clear" w:color="auto" w:fill="0B4D2C" w:themeFill="background2" w:themeFillShade="BF"/>
            <w:vAlign w:val="center"/>
          </w:tcPr>
          <w:p w14:paraId="2EA6C837" w14:textId="4FF99AE2" w:rsidR="00E1589D" w:rsidRPr="00F6205B" w:rsidRDefault="00E1589D">
            <w:pPr>
              <w:keepNext/>
              <w:keepLines/>
              <w:spacing w:after="0"/>
              <w:contextualSpacing/>
              <w:jc w:val="center"/>
              <w:rPr>
                <w:b/>
                <w:sz w:val="20"/>
                <w:szCs w:val="20"/>
              </w:rPr>
            </w:pPr>
            <w:r w:rsidRPr="00F6205B">
              <w:rPr>
                <w:b/>
                <w:sz w:val="20"/>
                <w:szCs w:val="20"/>
              </w:rPr>
              <w:t>Fossil Fuels (MMBtu)</w:t>
            </w:r>
          </w:p>
        </w:tc>
        <w:tc>
          <w:tcPr>
            <w:tcW w:w="1144" w:type="dxa"/>
            <w:tcBorders>
              <w:top w:val="single" w:sz="4" w:space="0" w:color="auto"/>
              <w:left w:val="single" w:sz="4" w:space="0" w:color="000000" w:themeColor="text1"/>
              <w:bottom w:val="single" w:sz="4" w:space="0" w:color="auto"/>
              <w:right w:val="single" w:sz="4" w:space="0" w:color="auto"/>
            </w:tcBorders>
            <w:shd w:val="clear" w:color="auto" w:fill="0B4D2C" w:themeFill="background2" w:themeFillShade="BF"/>
            <w:vAlign w:val="center"/>
          </w:tcPr>
          <w:p w14:paraId="20FD8D30" w14:textId="32B0407D" w:rsidR="00E1589D" w:rsidRPr="00F6205B" w:rsidRDefault="00E1589D">
            <w:pPr>
              <w:keepNext/>
              <w:keepLines/>
              <w:spacing w:after="0"/>
              <w:contextualSpacing/>
              <w:jc w:val="center"/>
              <w:rPr>
                <w:b/>
                <w:sz w:val="20"/>
                <w:szCs w:val="20"/>
              </w:rPr>
            </w:pPr>
            <w:r w:rsidRPr="00F6205B">
              <w:rPr>
                <w:b/>
                <w:sz w:val="20"/>
                <w:szCs w:val="20"/>
              </w:rPr>
              <w:t>All Fuels (MMBtu)</w:t>
            </w:r>
          </w:p>
        </w:tc>
      </w:tr>
      <w:tr w:rsidR="00E1589D" w:rsidRPr="00F6205B" w14:paraId="0AD85C72" w14:textId="77777777" w:rsidTr="00BA0599">
        <w:trPr>
          <w:trHeight w:val="288"/>
          <w:jc w:val="center"/>
        </w:trPr>
        <w:tc>
          <w:tcPr>
            <w:tcW w:w="3573" w:type="dxa"/>
            <w:tcBorders>
              <w:top w:val="single" w:sz="4" w:space="0" w:color="auto"/>
              <w:left w:val="single" w:sz="4" w:space="0" w:color="auto"/>
              <w:right w:val="single" w:sz="4" w:space="0" w:color="000000" w:themeColor="text1"/>
            </w:tcBorders>
            <w:vAlign w:val="center"/>
          </w:tcPr>
          <w:p w14:paraId="31266367" w14:textId="045AA442" w:rsidR="00E1589D" w:rsidRPr="00F6205B" w:rsidRDefault="00E1589D" w:rsidP="00297B7C">
            <w:pPr>
              <w:keepNext/>
              <w:keepLines/>
              <w:spacing w:after="0"/>
              <w:contextualSpacing/>
              <w:rPr>
                <w:sz w:val="20"/>
                <w:szCs w:val="20"/>
              </w:rPr>
            </w:pPr>
            <w:r w:rsidRPr="00F6205B">
              <w:rPr>
                <w:sz w:val="20"/>
                <w:szCs w:val="20"/>
              </w:rPr>
              <w:t>Baseline annual consumption (2016)</w:t>
            </w:r>
          </w:p>
        </w:tc>
        <w:tc>
          <w:tcPr>
            <w:tcW w:w="1099" w:type="dxa"/>
            <w:tcBorders>
              <w:top w:val="single" w:sz="4" w:space="0" w:color="auto"/>
              <w:right w:val="single" w:sz="4" w:space="0" w:color="000000" w:themeColor="text1"/>
            </w:tcBorders>
            <w:vAlign w:val="center"/>
          </w:tcPr>
          <w:p w14:paraId="28C0449B" w14:textId="126191F6" w:rsidR="00E1589D" w:rsidRPr="00F6205B" w:rsidRDefault="00E1589D">
            <w:pPr>
              <w:keepNext/>
              <w:keepLines/>
              <w:tabs>
                <w:tab w:val="decimal" w:pos="579"/>
              </w:tabs>
              <w:spacing w:after="0"/>
              <w:contextualSpacing/>
              <w:rPr>
                <w:sz w:val="20"/>
                <w:szCs w:val="20"/>
              </w:rPr>
            </w:pPr>
            <w:r w:rsidRPr="00F6205B">
              <w:rPr>
                <w:sz w:val="20"/>
                <w:szCs w:val="20"/>
              </w:rPr>
              <w:t>526.6</w:t>
            </w:r>
          </w:p>
        </w:tc>
        <w:tc>
          <w:tcPr>
            <w:tcW w:w="1099" w:type="dxa"/>
            <w:tcBorders>
              <w:top w:val="single" w:sz="4" w:space="0" w:color="auto"/>
              <w:right w:val="single" w:sz="4" w:space="0" w:color="000000" w:themeColor="text1"/>
            </w:tcBorders>
            <w:vAlign w:val="center"/>
          </w:tcPr>
          <w:p w14:paraId="7314AE25" w14:textId="60DD46F2" w:rsidR="00E1589D" w:rsidRPr="00F6205B" w:rsidRDefault="00E1589D">
            <w:pPr>
              <w:keepNext/>
              <w:keepLines/>
              <w:tabs>
                <w:tab w:val="decimal" w:pos="575"/>
              </w:tabs>
              <w:spacing w:after="0"/>
              <w:contextualSpacing/>
              <w:rPr>
                <w:sz w:val="20"/>
                <w:szCs w:val="20"/>
              </w:rPr>
            </w:pPr>
            <w:r w:rsidRPr="00F6205B">
              <w:rPr>
                <w:sz w:val="20"/>
                <w:szCs w:val="20"/>
              </w:rPr>
              <w:t>326.8</w:t>
            </w:r>
          </w:p>
        </w:tc>
        <w:tc>
          <w:tcPr>
            <w:tcW w:w="1099" w:type="dxa"/>
            <w:tcBorders>
              <w:top w:val="single" w:sz="4" w:space="0" w:color="auto"/>
              <w:right w:val="single" w:sz="4" w:space="0" w:color="000000" w:themeColor="text1"/>
            </w:tcBorders>
            <w:vAlign w:val="center"/>
          </w:tcPr>
          <w:p w14:paraId="7B69B859" w14:textId="69129D9E" w:rsidR="00E1589D" w:rsidRPr="00F6205B" w:rsidRDefault="00E1589D">
            <w:pPr>
              <w:keepNext/>
              <w:keepLines/>
              <w:tabs>
                <w:tab w:val="decimal" w:pos="451"/>
              </w:tabs>
              <w:spacing w:after="0"/>
              <w:contextualSpacing/>
              <w:rPr>
                <w:sz w:val="20"/>
                <w:szCs w:val="20"/>
              </w:rPr>
            </w:pPr>
            <w:r w:rsidRPr="00F6205B">
              <w:rPr>
                <w:sz w:val="20"/>
                <w:szCs w:val="20"/>
              </w:rPr>
              <w:t>34.4</w:t>
            </w:r>
          </w:p>
        </w:tc>
        <w:tc>
          <w:tcPr>
            <w:tcW w:w="1144" w:type="dxa"/>
            <w:tcBorders>
              <w:top w:val="single" w:sz="4" w:space="0" w:color="auto"/>
              <w:right w:val="single" w:sz="4" w:space="0" w:color="000000" w:themeColor="text1"/>
            </w:tcBorders>
            <w:vAlign w:val="center"/>
          </w:tcPr>
          <w:p w14:paraId="21D238BA" w14:textId="4DFE84CA" w:rsidR="00E1589D" w:rsidRPr="00F6205B" w:rsidRDefault="00E1589D">
            <w:pPr>
              <w:keepNext/>
              <w:keepLines/>
              <w:tabs>
                <w:tab w:val="decimal" w:pos="702"/>
              </w:tabs>
              <w:spacing w:after="0"/>
              <w:contextualSpacing/>
              <w:rPr>
                <w:sz w:val="20"/>
                <w:szCs w:val="20"/>
              </w:rPr>
            </w:pPr>
            <w:r w:rsidRPr="00F6205B">
              <w:rPr>
                <w:sz w:val="20"/>
                <w:szCs w:val="20"/>
              </w:rPr>
              <w:t>12,047.2</w:t>
            </w:r>
          </w:p>
        </w:tc>
        <w:tc>
          <w:tcPr>
            <w:tcW w:w="1144" w:type="dxa"/>
            <w:tcBorders>
              <w:top w:val="single" w:sz="4" w:space="0" w:color="auto"/>
              <w:right w:val="single" w:sz="4" w:space="0" w:color="000000" w:themeColor="text1"/>
            </w:tcBorders>
            <w:vAlign w:val="center"/>
          </w:tcPr>
          <w:p w14:paraId="09264327" w14:textId="0385B61F" w:rsidR="00E1589D" w:rsidRPr="00F6205B" w:rsidRDefault="00BA0599">
            <w:pPr>
              <w:keepNext/>
              <w:keepLines/>
              <w:tabs>
                <w:tab w:val="decimal" w:pos="488"/>
              </w:tabs>
              <w:spacing w:after="0"/>
              <w:contextualSpacing/>
              <w:rPr>
                <w:sz w:val="20"/>
                <w:szCs w:val="20"/>
              </w:rPr>
            </w:pPr>
            <w:r w:rsidRPr="00F6205B">
              <w:rPr>
                <w:sz w:val="20"/>
                <w:szCs w:val="20"/>
              </w:rPr>
              <w:t>108.9</w:t>
            </w:r>
          </w:p>
        </w:tc>
        <w:tc>
          <w:tcPr>
            <w:tcW w:w="1144" w:type="dxa"/>
            <w:tcBorders>
              <w:top w:val="single" w:sz="4" w:space="0" w:color="auto"/>
              <w:left w:val="single" w:sz="4" w:space="0" w:color="000000" w:themeColor="text1"/>
              <w:right w:val="single" w:sz="4" w:space="0" w:color="auto"/>
            </w:tcBorders>
            <w:vAlign w:val="center"/>
          </w:tcPr>
          <w:p w14:paraId="18D6FDEE" w14:textId="4F5BA06D" w:rsidR="00E1589D" w:rsidRPr="00F6205B" w:rsidRDefault="00E1589D">
            <w:pPr>
              <w:keepNext/>
              <w:keepLines/>
              <w:tabs>
                <w:tab w:val="decimal" w:pos="488"/>
              </w:tabs>
              <w:spacing w:after="0"/>
              <w:contextualSpacing/>
              <w:rPr>
                <w:sz w:val="20"/>
                <w:szCs w:val="20"/>
              </w:rPr>
            </w:pPr>
            <w:r w:rsidRPr="00F6205B">
              <w:rPr>
                <w:sz w:val="20"/>
                <w:szCs w:val="20"/>
              </w:rPr>
              <w:t>150.0</w:t>
            </w:r>
          </w:p>
        </w:tc>
      </w:tr>
      <w:tr w:rsidR="00E1589D" w:rsidRPr="00F6205B" w14:paraId="11F6787F" w14:textId="77777777" w:rsidTr="00BA0599">
        <w:trPr>
          <w:trHeight w:val="288"/>
          <w:jc w:val="center"/>
        </w:trPr>
        <w:tc>
          <w:tcPr>
            <w:tcW w:w="3573" w:type="dxa"/>
            <w:tcBorders>
              <w:left w:val="single" w:sz="4" w:space="0" w:color="auto"/>
              <w:right w:val="single" w:sz="4" w:space="0" w:color="000000" w:themeColor="text1"/>
            </w:tcBorders>
            <w:vAlign w:val="center"/>
          </w:tcPr>
          <w:p w14:paraId="6704B287" w14:textId="1182F32F" w:rsidR="00E1589D" w:rsidRPr="00F6205B" w:rsidRDefault="00E1589D" w:rsidP="00297B7C">
            <w:pPr>
              <w:keepNext/>
              <w:keepLines/>
              <w:spacing w:after="0"/>
              <w:contextualSpacing/>
              <w:rPr>
                <w:sz w:val="20"/>
                <w:szCs w:val="20"/>
              </w:rPr>
            </w:pPr>
            <w:r w:rsidRPr="00F6205B">
              <w:rPr>
                <w:sz w:val="20"/>
                <w:szCs w:val="20"/>
              </w:rPr>
              <w:t>First year annual savings (2016)</w:t>
            </w:r>
          </w:p>
        </w:tc>
        <w:tc>
          <w:tcPr>
            <w:tcW w:w="1099" w:type="dxa"/>
            <w:tcBorders>
              <w:right w:val="single" w:sz="4" w:space="0" w:color="000000" w:themeColor="text1"/>
            </w:tcBorders>
            <w:vAlign w:val="center"/>
          </w:tcPr>
          <w:p w14:paraId="3A41C600" w14:textId="26376A22" w:rsidR="00E1589D" w:rsidRPr="00F6205B" w:rsidRDefault="00E1589D">
            <w:pPr>
              <w:keepNext/>
              <w:keepLines/>
              <w:tabs>
                <w:tab w:val="decimal" w:pos="579"/>
              </w:tabs>
              <w:spacing w:after="0"/>
              <w:contextualSpacing/>
              <w:rPr>
                <w:sz w:val="20"/>
                <w:szCs w:val="20"/>
              </w:rPr>
            </w:pPr>
            <w:r w:rsidRPr="00F6205B">
              <w:rPr>
                <w:sz w:val="20"/>
                <w:szCs w:val="20"/>
              </w:rPr>
              <w:t>155.1</w:t>
            </w:r>
          </w:p>
        </w:tc>
        <w:tc>
          <w:tcPr>
            <w:tcW w:w="1099" w:type="dxa"/>
            <w:tcBorders>
              <w:right w:val="single" w:sz="4" w:space="0" w:color="000000" w:themeColor="text1"/>
            </w:tcBorders>
            <w:vAlign w:val="center"/>
          </w:tcPr>
          <w:p w14:paraId="0855C97E" w14:textId="0F99E2A2" w:rsidR="00E1589D" w:rsidRPr="00F6205B" w:rsidRDefault="00E1589D">
            <w:pPr>
              <w:keepNext/>
              <w:keepLines/>
              <w:tabs>
                <w:tab w:val="decimal" w:pos="575"/>
              </w:tabs>
              <w:spacing w:after="0"/>
              <w:contextualSpacing/>
              <w:rPr>
                <w:sz w:val="20"/>
                <w:szCs w:val="20"/>
              </w:rPr>
            </w:pPr>
            <w:r w:rsidRPr="00F6205B">
              <w:rPr>
                <w:sz w:val="20"/>
                <w:szCs w:val="20"/>
              </w:rPr>
              <w:t>92.1</w:t>
            </w:r>
          </w:p>
        </w:tc>
        <w:tc>
          <w:tcPr>
            <w:tcW w:w="1099" w:type="dxa"/>
            <w:tcBorders>
              <w:right w:val="single" w:sz="4" w:space="0" w:color="000000" w:themeColor="text1"/>
            </w:tcBorders>
            <w:vAlign w:val="center"/>
          </w:tcPr>
          <w:p w14:paraId="5E1F91EE" w14:textId="75B58BF3" w:rsidR="00E1589D" w:rsidRPr="00F6205B" w:rsidRDefault="00E1589D">
            <w:pPr>
              <w:keepNext/>
              <w:keepLines/>
              <w:tabs>
                <w:tab w:val="decimal" w:pos="451"/>
              </w:tabs>
              <w:spacing w:after="0"/>
              <w:contextualSpacing/>
              <w:rPr>
                <w:sz w:val="20"/>
                <w:szCs w:val="20"/>
              </w:rPr>
            </w:pPr>
            <w:r w:rsidRPr="00F6205B">
              <w:rPr>
                <w:sz w:val="20"/>
                <w:szCs w:val="20"/>
              </w:rPr>
              <w:t>7.4</w:t>
            </w:r>
          </w:p>
        </w:tc>
        <w:tc>
          <w:tcPr>
            <w:tcW w:w="1144" w:type="dxa"/>
            <w:tcBorders>
              <w:right w:val="single" w:sz="4" w:space="0" w:color="000000" w:themeColor="text1"/>
            </w:tcBorders>
            <w:vAlign w:val="center"/>
          </w:tcPr>
          <w:p w14:paraId="7C2E4946" w14:textId="4E3897E4" w:rsidR="00E1589D" w:rsidRPr="00F6205B" w:rsidRDefault="00E1589D">
            <w:pPr>
              <w:keepNext/>
              <w:keepLines/>
              <w:tabs>
                <w:tab w:val="decimal" w:pos="702"/>
              </w:tabs>
              <w:spacing w:after="0"/>
              <w:contextualSpacing/>
              <w:rPr>
                <w:sz w:val="20"/>
                <w:szCs w:val="20"/>
              </w:rPr>
            </w:pPr>
            <w:r w:rsidRPr="00F6205B">
              <w:rPr>
                <w:sz w:val="20"/>
                <w:szCs w:val="20"/>
              </w:rPr>
              <w:t>2,582.0</w:t>
            </w:r>
          </w:p>
        </w:tc>
        <w:tc>
          <w:tcPr>
            <w:tcW w:w="1144" w:type="dxa"/>
            <w:tcBorders>
              <w:right w:val="single" w:sz="4" w:space="0" w:color="000000" w:themeColor="text1"/>
            </w:tcBorders>
            <w:vAlign w:val="center"/>
          </w:tcPr>
          <w:p w14:paraId="1D02C5BF" w14:textId="4905373C" w:rsidR="00E1589D" w:rsidRPr="00F6205B" w:rsidRDefault="00BA0599">
            <w:pPr>
              <w:keepNext/>
              <w:keepLines/>
              <w:tabs>
                <w:tab w:val="decimal" w:pos="488"/>
              </w:tabs>
              <w:spacing w:after="0"/>
              <w:contextualSpacing/>
              <w:rPr>
                <w:sz w:val="20"/>
                <w:szCs w:val="20"/>
              </w:rPr>
            </w:pPr>
            <w:r w:rsidRPr="00F6205B">
              <w:rPr>
                <w:sz w:val="20"/>
                <w:szCs w:val="20"/>
              </w:rPr>
              <w:t>31.4</w:t>
            </w:r>
          </w:p>
        </w:tc>
        <w:tc>
          <w:tcPr>
            <w:tcW w:w="1144" w:type="dxa"/>
            <w:tcBorders>
              <w:left w:val="single" w:sz="4" w:space="0" w:color="000000" w:themeColor="text1"/>
              <w:right w:val="single" w:sz="4" w:space="0" w:color="auto"/>
            </w:tcBorders>
            <w:vAlign w:val="center"/>
          </w:tcPr>
          <w:p w14:paraId="16BDFF43" w14:textId="1BEAE292" w:rsidR="00E1589D" w:rsidRPr="00F6205B" w:rsidRDefault="00E1589D">
            <w:pPr>
              <w:keepNext/>
              <w:keepLines/>
              <w:tabs>
                <w:tab w:val="decimal" w:pos="488"/>
              </w:tabs>
              <w:spacing w:after="0"/>
              <w:contextualSpacing/>
              <w:rPr>
                <w:sz w:val="20"/>
                <w:szCs w:val="20"/>
              </w:rPr>
            </w:pPr>
            <w:r w:rsidRPr="00F6205B">
              <w:rPr>
                <w:sz w:val="20"/>
                <w:szCs w:val="20"/>
              </w:rPr>
              <w:t>40.2</w:t>
            </w:r>
          </w:p>
        </w:tc>
      </w:tr>
      <w:tr w:rsidR="00E1589D" w:rsidRPr="00F6205B" w14:paraId="773A43E4" w14:textId="77777777" w:rsidTr="00BA0599">
        <w:trPr>
          <w:trHeight w:val="288"/>
          <w:jc w:val="center"/>
        </w:trPr>
        <w:tc>
          <w:tcPr>
            <w:tcW w:w="3573" w:type="dxa"/>
            <w:tcBorders>
              <w:left w:val="single" w:sz="4" w:space="0" w:color="auto"/>
              <w:right w:val="single" w:sz="4" w:space="0" w:color="000000" w:themeColor="text1"/>
            </w:tcBorders>
            <w:vAlign w:val="center"/>
          </w:tcPr>
          <w:p w14:paraId="0F2D43C9" w14:textId="77777777" w:rsidR="000E51BC" w:rsidRPr="00F6205B" w:rsidRDefault="00E1589D" w:rsidP="00297B7C">
            <w:pPr>
              <w:keepNext/>
              <w:keepLines/>
              <w:spacing w:after="0"/>
              <w:contextualSpacing/>
              <w:rPr>
                <w:i/>
                <w:sz w:val="20"/>
                <w:szCs w:val="20"/>
              </w:rPr>
            </w:pPr>
            <w:r w:rsidRPr="00F6205B">
              <w:rPr>
                <w:i/>
                <w:sz w:val="20"/>
                <w:szCs w:val="20"/>
              </w:rPr>
              <w:t xml:space="preserve">   Perce</w:t>
            </w:r>
            <w:r w:rsidR="000E51BC" w:rsidRPr="00F6205B">
              <w:rPr>
                <w:i/>
                <w:sz w:val="20"/>
                <w:szCs w:val="20"/>
              </w:rPr>
              <w:t>nt savings from baseline, first</w:t>
            </w:r>
          </w:p>
          <w:p w14:paraId="4A4F7454" w14:textId="670942ED" w:rsidR="00E1589D" w:rsidRPr="00F6205B" w:rsidRDefault="000E51BC">
            <w:pPr>
              <w:keepNext/>
              <w:keepLines/>
              <w:spacing w:after="0"/>
              <w:contextualSpacing/>
              <w:rPr>
                <w:i/>
                <w:sz w:val="20"/>
                <w:szCs w:val="20"/>
              </w:rPr>
            </w:pPr>
            <w:r w:rsidRPr="00F6205B">
              <w:rPr>
                <w:i/>
                <w:sz w:val="20"/>
                <w:szCs w:val="20"/>
              </w:rPr>
              <w:t xml:space="preserve">   </w:t>
            </w:r>
            <w:r w:rsidR="00E1589D" w:rsidRPr="00F6205B">
              <w:rPr>
                <w:i/>
                <w:sz w:val="20"/>
                <w:szCs w:val="20"/>
              </w:rPr>
              <w:t>year</w:t>
            </w:r>
          </w:p>
        </w:tc>
        <w:tc>
          <w:tcPr>
            <w:tcW w:w="1099" w:type="dxa"/>
            <w:tcBorders>
              <w:right w:val="single" w:sz="4" w:space="0" w:color="000000" w:themeColor="text1"/>
            </w:tcBorders>
            <w:vAlign w:val="center"/>
          </w:tcPr>
          <w:p w14:paraId="652E9BD8" w14:textId="43AF9C72" w:rsidR="00E1589D" w:rsidRPr="00F6205B" w:rsidRDefault="00E1589D">
            <w:pPr>
              <w:keepNext/>
              <w:keepLines/>
              <w:tabs>
                <w:tab w:val="decimal" w:pos="579"/>
              </w:tabs>
              <w:spacing w:after="0"/>
              <w:contextualSpacing/>
              <w:rPr>
                <w:i/>
                <w:sz w:val="20"/>
                <w:szCs w:val="20"/>
              </w:rPr>
            </w:pPr>
            <w:r w:rsidRPr="00F6205B">
              <w:rPr>
                <w:i/>
                <w:sz w:val="20"/>
                <w:szCs w:val="20"/>
              </w:rPr>
              <w:t>29%</w:t>
            </w:r>
          </w:p>
        </w:tc>
        <w:tc>
          <w:tcPr>
            <w:tcW w:w="1099" w:type="dxa"/>
            <w:tcBorders>
              <w:right w:val="single" w:sz="4" w:space="0" w:color="000000" w:themeColor="text1"/>
            </w:tcBorders>
            <w:vAlign w:val="center"/>
          </w:tcPr>
          <w:p w14:paraId="481DABCC" w14:textId="532F96F6" w:rsidR="00E1589D" w:rsidRPr="00F6205B" w:rsidRDefault="00E1589D">
            <w:pPr>
              <w:keepNext/>
              <w:keepLines/>
              <w:tabs>
                <w:tab w:val="decimal" w:pos="575"/>
              </w:tabs>
              <w:spacing w:after="0"/>
              <w:contextualSpacing/>
              <w:rPr>
                <w:i/>
                <w:sz w:val="20"/>
                <w:szCs w:val="20"/>
              </w:rPr>
            </w:pPr>
            <w:r w:rsidRPr="00F6205B">
              <w:rPr>
                <w:i/>
                <w:sz w:val="20"/>
                <w:szCs w:val="20"/>
              </w:rPr>
              <w:t>28%</w:t>
            </w:r>
          </w:p>
        </w:tc>
        <w:tc>
          <w:tcPr>
            <w:tcW w:w="1099" w:type="dxa"/>
            <w:tcBorders>
              <w:right w:val="single" w:sz="4" w:space="0" w:color="000000" w:themeColor="text1"/>
            </w:tcBorders>
            <w:vAlign w:val="center"/>
          </w:tcPr>
          <w:p w14:paraId="35549464" w14:textId="5FB68E8D" w:rsidR="00E1589D" w:rsidRPr="00F6205B" w:rsidRDefault="00E1589D">
            <w:pPr>
              <w:keepNext/>
              <w:keepLines/>
              <w:tabs>
                <w:tab w:val="decimal" w:pos="451"/>
              </w:tabs>
              <w:spacing w:after="0"/>
              <w:contextualSpacing/>
              <w:rPr>
                <w:i/>
                <w:sz w:val="20"/>
                <w:szCs w:val="20"/>
              </w:rPr>
            </w:pPr>
            <w:r w:rsidRPr="00F6205B">
              <w:rPr>
                <w:i/>
                <w:sz w:val="20"/>
                <w:szCs w:val="20"/>
              </w:rPr>
              <w:t>21%</w:t>
            </w:r>
          </w:p>
        </w:tc>
        <w:tc>
          <w:tcPr>
            <w:tcW w:w="1144" w:type="dxa"/>
            <w:tcBorders>
              <w:right w:val="single" w:sz="4" w:space="0" w:color="000000" w:themeColor="text1"/>
            </w:tcBorders>
            <w:vAlign w:val="center"/>
          </w:tcPr>
          <w:p w14:paraId="08CD8DA8" w14:textId="49E30916" w:rsidR="00E1589D" w:rsidRPr="00F6205B" w:rsidRDefault="00E1589D">
            <w:pPr>
              <w:keepNext/>
              <w:keepLines/>
              <w:tabs>
                <w:tab w:val="decimal" w:pos="702"/>
              </w:tabs>
              <w:spacing w:after="0"/>
              <w:contextualSpacing/>
              <w:rPr>
                <w:i/>
                <w:sz w:val="20"/>
                <w:szCs w:val="20"/>
              </w:rPr>
            </w:pPr>
            <w:r w:rsidRPr="00F6205B">
              <w:rPr>
                <w:i/>
                <w:sz w:val="20"/>
                <w:szCs w:val="20"/>
              </w:rPr>
              <w:t>21%</w:t>
            </w:r>
          </w:p>
        </w:tc>
        <w:tc>
          <w:tcPr>
            <w:tcW w:w="1144" w:type="dxa"/>
            <w:tcBorders>
              <w:right w:val="single" w:sz="4" w:space="0" w:color="000000" w:themeColor="text1"/>
            </w:tcBorders>
            <w:vAlign w:val="center"/>
          </w:tcPr>
          <w:p w14:paraId="6987409E" w14:textId="5AAEE493" w:rsidR="00E1589D" w:rsidRPr="00F6205B" w:rsidRDefault="00BA0599">
            <w:pPr>
              <w:keepNext/>
              <w:keepLines/>
              <w:tabs>
                <w:tab w:val="decimal" w:pos="488"/>
              </w:tabs>
              <w:spacing w:after="0"/>
              <w:contextualSpacing/>
              <w:rPr>
                <w:i/>
                <w:sz w:val="20"/>
                <w:szCs w:val="20"/>
              </w:rPr>
            </w:pPr>
            <w:r w:rsidRPr="00F6205B">
              <w:rPr>
                <w:i/>
                <w:sz w:val="20"/>
                <w:szCs w:val="20"/>
              </w:rPr>
              <w:t>29%</w:t>
            </w:r>
          </w:p>
        </w:tc>
        <w:tc>
          <w:tcPr>
            <w:tcW w:w="1144" w:type="dxa"/>
            <w:tcBorders>
              <w:left w:val="single" w:sz="4" w:space="0" w:color="000000" w:themeColor="text1"/>
              <w:right w:val="single" w:sz="4" w:space="0" w:color="auto"/>
            </w:tcBorders>
            <w:vAlign w:val="center"/>
          </w:tcPr>
          <w:p w14:paraId="50C02AE4" w14:textId="0E68E78A" w:rsidR="00E1589D" w:rsidRPr="00F6205B" w:rsidRDefault="00E1589D">
            <w:pPr>
              <w:keepNext/>
              <w:keepLines/>
              <w:tabs>
                <w:tab w:val="decimal" w:pos="488"/>
              </w:tabs>
              <w:spacing w:after="0"/>
              <w:contextualSpacing/>
              <w:rPr>
                <w:i/>
                <w:sz w:val="20"/>
                <w:szCs w:val="20"/>
              </w:rPr>
            </w:pPr>
            <w:r w:rsidRPr="00F6205B">
              <w:rPr>
                <w:i/>
                <w:sz w:val="20"/>
                <w:szCs w:val="20"/>
              </w:rPr>
              <w:t>27%</w:t>
            </w:r>
          </w:p>
        </w:tc>
      </w:tr>
      <w:tr w:rsidR="00E1589D" w:rsidRPr="00F6205B" w14:paraId="7D8D788B" w14:textId="77777777" w:rsidTr="00BA0599">
        <w:trPr>
          <w:trHeight w:val="288"/>
          <w:jc w:val="center"/>
        </w:trPr>
        <w:tc>
          <w:tcPr>
            <w:tcW w:w="3573" w:type="dxa"/>
            <w:tcBorders>
              <w:left w:val="single" w:sz="4" w:space="0" w:color="auto"/>
              <w:right w:val="single" w:sz="4" w:space="0" w:color="000000" w:themeColor="text1"/>
            </w:tcBorders>
            <w:shd w:val="clear" w:color="auto" w:fill="D9D9D9" w:themeFill="background1" w:themeFillShade="D9"/>
            <w:vAlign w:val="center"/>
          </w:tcPr>
          <w:p w14:paraId="1C553CB7" w14:textId="1F9970B4" w:rsidR="00E1589D" w:rsidRPr="00F6205B" w:rsidRDefault="00E1589D" w:rsidP="00297B7C">
            <w:pPr>
              <w:keepNext/>
              <w:keepLines/>
              <w:spacing w:after="0"/>
              <w:contextualSpacing/>
              <w:rPr>
                <w:i/>
                <w:sz w:val="20"/>
                <w:szCs w:val="20"/>
              </w:rPr>
            </w:pPr>
            <w:r w:rsidRPr="00F6205B">
              <w:rPr>
                <w:sz w:val="20"/>
                <w:szCs w:val="20"/>
              </w:rPr>
              <w:t>Baseline aggregate consumption (2016-2025)</w:t>
            </w:r>
          </w:p>
        </w:tc>
        <w:tc>
          <w:tcPr>
            <w:tcW w:w="1099" w:type="dxa"/>
            <w:tcBorders>
              <w:right w:val="single" w:sz="4" w:space="0" w:color="000000" w:themeColor="text1"/>
            </w:tcBorders>
            <w:shd w:val="clear" w:color="auto" w:fill="D9D9D9" w:themeFill="background1" w:themeFillShade="D9"/>
            <w:vAlign w:val="center"/>
          </w:tcPr>
          <w:p w14:paraId="0D06EE95" w14:textId="5C856A80" w:rsidR="00E1589D" w:rsidRPr="00F6205B" w:rsidRDefault="00E1589D">
            <w:pPr>
              <w:keepNext/>
              <w:keepLines/>
              <w:tabs>
                <w:tab w:val="decimal" w:pos="579"/>
              </w:tabs>
              <w:spacing w:after="0"/>
              <w:contextualSpacing/>
              <w:rPr>
                <w:i/>
                <w:sz w:val="20"/>
                <w:szCs w:val="20"/>
              </w:rPr>
            </w:pPr>
            <w:r w:rsidRPr="00F6205B">
              <w:rPr>
                <w:sz w:val="20"/>
                <w:szCs w:val="20"/>
              </w:rPr>
              <w:t>4,795.0</w:t>
            </w:r>
          </w:p>
        </w:tc>
        <w:tc>
          <w:tcPr>
            <w:tcW w:w="1099" w:type="dxa"/>
            <w:tcBorders>
              <w:right w:val="single" w:sz="4" w:space="0" w:color="000000" w:themeColor="text1"/>
            </w:tcBorders>
            <w:shd w:val="clear" w:color="auto" w:fill="D9D9D9" w:themeFill="background1" w:themeFillShade="D9"/>
            <w:vAlign w:val="center"/>
          </w:tcPr>
          <w:p w14:paraId="5DFB8326" w14:textId="0553AAC9" w:rsidR="00E1589D" w:rsidRPr="00F6205B" w:rsidRDefault="00E1589D">
            <w:pPr>
              <w:keepNext/>
              <w:keepLines/>
              <w:tabs>
                <w:tab w:val="decimal" w:pos="575"/>
              </w:tabs>
              <w:spacing w:after="0"/>
              <w:contextualSpacing/>
              <w:rPr>
                <w:i/>
                <w:sz w:val="20"/>
                <w:szCs w:val="20"/>
              </w:rPr>
            </w:pPr>
            <w:r w:rsidRPr="00F6205B">
              <w:rPr>
                <w:sz w:val="20"/>
                <w:szCs w:val="20"/>
              </w:rPr>
              <w:t>3,373.4</w:t>
            </w:r>
          </w:p>
        </w:tc>
        <w:tc>
          <w:tcPr>
            <w:tcW w:w="1099" w:type="dxa"/>
            <w:tcBorders>
              <w:right w:val="single" w:sz="4" w:space="0" w:color="000000" w:themeColor="text1"/>
            </w:tcBorders>
            <w:shd w:val="clear" w:color="auto" w:fill="D9D9D9" w:themeFill="background1" w:themeFillShade="D9"/>
            <w:vAlign w:val="center"/>
          </w:tcPr>
          <w:p w14:paraId="14E32B6A" w14:textId="75CBA547" w:rsidR="00E1589D" w:rsidRPr="00F6205B" w:rsidRDefault="00E1589D">
            <w:pPr>
              <w:keepNext/>
              <w:keepLines/>
              <w:tabs>
                <w:tab w:val="decimal" w:pos="451"/>
              </w:tabs>
              <w:spacing w:after="0"/>
              <w:contextualSpacing/>
              <w:rPr>
                <w:i/>
                <w:sz w:val="20"/>
                <w:szCs w:val="20"/>
              </w:rPr>
            </w:pPr>
            <w:r w:rsidRPr="00F6205B">
              <w:rPr>
                <w:sz w:val="20"/>
                <w:szCs w:val="20"/>
              </w:rPr>
              <w:t>350.3</w:t>
            </w:r>
          </w:p>
        </w:tc>
        <w:tc>
          <w:tcPr>
            <w:tcW w:w="1144" w:type="dxa"/>
            <w:tcBorders>
              <w:right w:val="single" w:sz="4" w:space="0" w:color="000000" w:themeColor="text1"/>
            </w:tcBorders>
            <w:shd w:val="clear" w:color="auto" w:fill="D9D9D9" w:themeFill="background1" w:themeFillShade="D9"/>
            <w:vAlign w:val="center"/>
          </w:tcPr>
          <w:p w14:paraId="6A05367B" w14:textId="209080D8" w:rsidR="00E1589D" w:rsidRPr="00F6205B" w:rsidRDefault="00E1589D">
            <w:pPr>
              <w:keepNext/>
              <w:keepLines/>
              <w:tabs>
                <w:tab w:val="decimal" w:pos="702"/>
              </w:tabs>
              <w:spacing w:after="0"/>
              <w:contextualSpacing/>
              <w:rPr>
                <w:i/>
                <w:sz w:val="20"/>
                <w:szCs w:val="20"/>
              </w:rPr>
            </w:pPr>
            <w:r w:rsidRPr="00F6205B">
              <w:rPr>
                <w:sz w:val="20"/>
                <w:szCs w:val="20"/>
              </w:rPr>
              <w:t>126,040.0</w:t>
            </w:r>
          </w:p>
        </w:tc>
        <w:tc>
          <w:tcPr>
            <w:tcW w:w="1144" w:type="dxa"/>
            <w:tcBorders>
              <w:right w:val="single" w:sz="4" w:space="0" w:color="000000" w:themeColor="text1"/>
            </w:tcBorders>
            <w:shd w:val="clear" w:color="auto" w:fill="D9D9D9" w:themeFill="background1" w:themeFillShade="D9"/>
            <w:vAlign w:val="center"/>
          </w:tcPr>
          <w:p w14:paraId="5D00B0DA" w14:textId="41D63E18" w:rsidR="00E1589D" w:rsidRPr="00F6205B" w:rsidRDefault="00BA0599">
            <w:pPr>
              <w:keepNext/>
              <w:keepLines/>
              <w:tabs>
                <w:tab w:val="decimal" w:pos="488"/>
              </w:tabs>
              <w:spacing w:after="0"/>
              <w:contextualSpacing/>
              <w:rPr>
                <w:sz w:val="20"/>
                <w:szCs w:val="20"/>
              </w:rPr>
            </w:pPr>
            <w:r w:rsidRPr="00F6205B">
              <w:rPr>
                <w:sz w:val="20"/>
                <w:szCs w:val="20"/>
              </w:rPr>
              <w:t>1,034.3</w:t>
            </w:r>
          </w:p>
        </w:tc>
        <w:tc>
          <w:tcPr>
            <w:tcW w:w="1144" w:type="dxa"/>
            <w:tcBorders>
              <w:left w:val="single" w:sz="4" w:space="0" w:color="000000" w:themeColor="text1"/>
              <w:right w:val="single" w:sz="4" w:space="0" w:color="auto"/>
            </w:tcBorders>
            <w:shd w:val="clear" w:color="auto" w:fill="D9D9D9" w:themeFill="background1" w:themeFillShade="D9"/>
            <w:vAlign w:val="center"/>
          </w:tcPr>
          <w:p w14:paraId="6507F6A1" w14:textId="04C6E30A" w:rsidR="00E1589D" w:rsidRPr="00F6205B" w:rsidRDefault="00E1589D">
            <w:pPr>
              <w:keepNext/>
              <w:keepLines/>
              <w:tabs>
                <w:tab w:val="decimal" w:pos="488"/>
              </w:tabs>
              <w:spacing w:after="0"/>
              <w:contextualSpacing/>
              <w:rPr>
                <w:sz w:val="20"/>
                <w:szCs w:val="20"/>
              </w:rPr>
            </w:pPr>
            <w:r w:rsidRPr="00F6205B">
              <w:rPr>
                <w:sz w:val="20"/>
                <w:szCs w:val="20"/>
              </w:rPr>
              <w:t>1,464.4</w:t>
            </w:r>
          </w:p>
        </w:tc>
      </w:tr>
      <w:tr w:rsidR="00E1589D" w:rsidRPr="00F6205B" w14:paraId="66B1BFCE" w14:textId="77777777" w:rsidTr="00BA0599">
        <w:trPr>
          <w:trHeight w:val="288"/>
          <w:jc w:val="center"/>
        </w:trPr>
        <w:tc>
          <w:tcPr>
            <w:tcW w:w="3573" w:type="dxa"/>
            <w:tcBorders>
              <w:left w:val="single" w:sz="4" w:space="0" w:color="auto"/>
              <w:right w:val="single" w:sz="4" w:space="0" w:color="000000" w:themeColor="text1"/>
            </w:tcBorders>
            <w:shd w:val="clear" w:color="auto" w:fill="D9D9D9" w:themeFill="background1" w:themeFillShade="D9"/>
            <w:vAlign w:val="center"/>
          </w:tcPr>
          <w:p w14:paraId="295F31BF" w14:textId="404452C9" w:rsidR="00E1589D" w:rsidRPr="00F6205B" w:rsidRDefault="00E1589D" w:rsidP="00297B7C">
            <w:pPr>
              <w:keepNext/>
              <w:keepLines/>
              <w:spacing w:after="0"/>
              <w:contextualSpacing/>
              <w:rPr>
                <w:sz w:val="20"/>
                <w:szCs w:val="20"/>
              </w:rPr>
            </w:pPr>
            <w:r w:rsidRPr="00F6205B">
              <w:rPr>
                <w:sz w:val="20"/>
                <w:szCs w:val="20"/>
              </w:rPr>
              <w:t>Ten-year aggregate savings (2016-2025)</w:t>
            </w:r>
          </w:p>
        </w:tc>
        <w:tc>
          <w:tcPr>
            <w:tcW w:w="1099" w:type="dxa"/>
            <w:tcBorders>
              <w:right w:val="single" w:sz="4" w:space="0" w:color="000000" w:themeColor="text1"/>
            </w:tcBorders>
            <w:shd w:val="clear" w:color="auto" w:fill="D9D9D9" w:themeFill="background1" w:themeFillShade="D9"/>
            <w:vAlign w:val="center"/>
          </w:tcPr>
          <w:p w14:paraId="440425EF" w14:textId="4E3CFF13" w:rsidR="00E1589D" w:rsidRPr="00F6205B" w:rsidRDefault="00E1589D">
            <w:pPr>
              <w:keepNext/>
              <w:keepLines/>
              <w:tabs>
                <w:tab w:val="decimal" w:pos="579"/>
              </w:tabs>
              <w:spacing w:after="0"/>
              <w:contextualSpacing/>
              <w:rPr>
                <w:sz w:val="20"/>
                <w:szCs w:val="20"/>
              </w:rPr>
            </w:pPr>
            <w:r w:rsidRPr="00F6205B">
              <w:rPr>
                <w:sz w:val="20"/>
                <w:szCs w:val="20"/>
              </w:rPr>
              <w:t>1,369.6</w:t>
            </w:r>
          </w:p>
        </w:tc>
        <w:tc>
          <w:tcPr>
            <w:tcW w:w="1099" w:type="dxa"/>
            <w:tcBorders>
              <w:right w:val="single" w:sz="4" w:space="0" w:color="000000" w:themeColor="text1"/>
            </w:tcBorders>
            <w:shd w:val="clear" w:color="auto" w:fill="D9D9D9" w:themeFill="background1" w:themeFillShade="D9"/>
            <w:vAlign w:val="center"/>
          </w:tcPr>
          <w:p w14:paraId="6E30087B" w14:textId="49DAC54F" w:rsidR="00E1589D" w:rsidRPr="00F6205B" w:rsidRDefault="00E1589D">
            <w:pPr>
              <w:keepNext/>
              <w:keepLines/>
              <w:tabs>
                <w:tab w:val="decimal" w:pos="575"/>
              </w:tabs>
              <w:spacing w:after="0"/>
              <w:contextualSpacing/>
              <w:rPr>
                <w:sz w:val="20"/>
                <w:szCs w:val="20"/>
              </w:rPr>
            </w:pPr>
            <w:r w:rsidRPr="00F6205B">
              <w:rPr>
                <w:sz w:val="20"/>
                <w:szCs w:val="20"/>
              </w:rPr>
              <w:t>880.0</w:t>
            </w:r>
          </w:p>
        </w:tc>
        <w:tc>
          <w:tcPr>
            <w:tcW w:w="1099" w:type="dxa"/>
            <w:tcBorders>
              <w:right w:val="single" w:sz="4" w:space="0" w:color="000000" w:themeColor="text1"/>
            </w:tcBorders>
            <w:shd w:val="clear" w:color="auto" w:fill="D9D9D9" w:themeFill="background1" w:themeFillShade="D9"/>
            <w:vAlign w:val="center"/>
          </w:tcPr>
          <w:p w14:paraId="43C23B8A" w14:textId="28EA85CA" w:rsidR="00E1589D" w:rsidRPr="00F6205B" w:rsidRDefault="00E1589D">
            <w:pPr>
              <w:keepNext/>
              <w:keepLines/>
              <w:tabs>
                <w:tab w:val="decimal" w:pos="451"/>
              </w:tabs>
              <w:spacing w:after="0"/>
              <w:contextualSpacing/>
              <w:rPr>
                <w:sz w:val="20"/>
                <w:szCs w:val="20"/>
              </w:rPr>
            </w:pPr>
            <w:r w:rsidRPr="00F6205B">
              <w:rPr>
                <w:sz w:val="20"/>
                <w:szCs w:val="20"/>
              </w:rPr>
              <w:t>68.1</w:t>
            </w:r>
          </w:p>
        </w:tc>
        <w:tc>
          <w:tcPr>
            <w:tcW w:w="1144" w:type="dxa"/>
            <w:tcBorders>
              <w:right w:val="single" w:sz="4" w:space="0" w:color="000000" w:themeColor="text1"/>
            </w:tcBorders>
            <w:shd w:val="clear" w:color="auto" w:fill="D9D9D9" w:themeFill="background1" w:themeFillShade="D9"/>
            <w:vAlign w:val="center"/>
          </w:tcPr>
          <w:p w14:paraId="0D72E37E" w14:textId="1C4C9EE0" w:rsidR="00E1589D" w:rsidRPr="00F6205B" w:rsidRDefault="00E1589D">
            <w:pPr>
              <w:keepNext/>
              <w:keepLines/>
              <w:tabs>
                <w:tab w:val="decimal" w:pos="702"/>
              </w:tabs>
              <w:spacing w:after="0"/>
              <w:contextualSpacing/>
              <w:rPr>
                <w:sz w:val="20"/>
                <w:szCs w:val="20"/>
              </w:rPr>
            </w:pPr>
            <w:r w:rsidRPr="00F6205B">
              <w:rPr>
                <w:sz w:val="20"/>
                <w:szCs w:val="20"/>
              </w:rPr>
              <w:t>18,399.2</w:t>
            </w:r>
          </w:p>
        </w:tc>
        <w:tc>
          <w:tcPr>
            <w:tcW w:w="1144" w:type="dxa"/>
            <w:tcBorders>
              <w:right w:val="single" w:sz="4" w:space="0" w:color="000000" w:themeColor="text1"/>
            </w:tcBorders>
            <w:shd w:val="clear" w:color="auto" w:fill="D9D9D9" w:themeFill="background1" w:themeFillShade="D9"/>
            <w:vAlign w:val="center"/>
          </w:tcPr>
          <w:p w14:paraId="14960305" w14:textId="29D82522" w:rsidR="00E1589D" w:rsidRPr="00F6205B" w:rsidRDefault="00BA0599">
            <w:pPr>
              <w:keepNext/>
              <w:keepLines/>
              <w:tabs>
                <w:tab w:val="decimal" w:pos="488"/>
              </w:tabs>
              <w:spacing w:after="0"/>
              <w:contextualSpacing/>
              <w:rPr>
                <w:sz w:val="20"/>
                <w:szCs w:val="20"/>
              </w:rPr>
            </w:pPr>
            <w:r w:rsidRPr="00F6205B">
              <w:rPr>
                <w:sz w:val="20"/>
                <w:szCs w:val="20"/>
              </w:rPr>
              <w:t>284.2</w:t>
            </w:r>
          </w:p>
        </w:tc>
        <w:tc>
          <w:tcPr>
            <w:tcW w:w="1144" w:type="dxa"/>
            <w:tcBorders>
              <w:left w:val="single" w:sz="4" w:space="0" w:color="000000" w:themeColor="text1"/>
              <w:right w:val="single" w:sz="4" w:space="0" w:color="auto"/>
            </w:tcBorders>
            <w:shd w:val="clear" w:color="auto" w:fill="D9D9D9" w:themeFill="background1" w:themeFillShade="D9"/>
            <w:vAlign w:val="center"/>
          </w:tcPr>
          <w:p w14:paraId="0B8E21C2" w14:textId="7E8D7A33" w:rsidR="00E1589D" w:rsidRPr="00F6205B" w:rsidRDefault="00E1589D">
            <w:pPr>
              <w:keepNext/>
              <w:keepLines/>
              <w:tabs>
                <w:tab w:val="decimal" w:pos="488"/>
              </w:tabs>
              <w:spacing w:after="0"/>
              <w:contextualSpacing/>
              <w:rPr>
                <w:sz w:val="20"/>
                <w:szCs w:val="20"/>
              </w:rPr>
            </w:pPr>
            <w:r w:rsidRPr="00F6205B">
              <w:rPr>
                <w:sz w:val="20"/>
                <w:szCs w:val="20"/>
              </w:rPr>
              <w:t>346.9</w:t>
            </w:r>
          </w:p>
        </w:tc>
      </w:tr>
      <w:tr w:rsidR="00E1589D" w:rsidRPr="00F6205B" w14:paraId="5F1C18A6" w14:textId="77777777" w:rsidTr="00BA0599">
        <w:trPr>
          <w:trHeight w:val="288"/>
          <w:jc w:val="center"/>
        </w:trPr>
        <w:tc>
          <w:tcPr>
            <w:tcW w:w="3573" w:type="dxa"/>
            <w:tcBorders>
              <w:top w:val="single" w:sz="4" w:space="0" w:color="000000" w:themeColor="text1"/>
              <w:left w:val="single" w:sz="4" w:space="0" w:color="auto"/>
              <w:bottom w:val="single" w:sz="4" w:space="0" w:color="auto"/>
              <w:right w:val="single" w:sz="4" w:space="0" w:color="000000" w:themeColor="text1"/>
            </w:tcBorders>
            <w:shd w:val="clear" w:color="auto" w:fill="D9D9D9" w:themeFill="background1" w:themeFillShade="D9"/>
            <w:vAlign w:val="center"/>
          </w:tcPr>
          <w:p w14:paraId="07DCD01C" w14:textId="77777777" w:rsidR="000E51BC" w:rsidRPr="00F6205B" w:rsidRDefault="00E1589D" w:rsidP="00297B7C">
            <w:pPr>
              <w:keepNext/>
              <w:keepLines/>
              <w:spacing w:after="0"/>
              <w:contextualSpacing/>
              <w:rPr>
                <w:i/>
                <w:sz w:val="20"/>
                <w:szCs w:val="20"/>
              </w:rPr>
            </w:pPr>
            <w:r w:rsidRPr="00F6205B">
              <w:rPr>
                <w:i/>
                <w:sz w:val="20"/>
                <w:szCs w:val="20"/>
              </w:rPr>
              <w:t xml:space="preserve">   Per</w:t>
            </w:r>
            <w:r w:rsidR="000E51BC" w:rsidRPr="00F6205B">
              <w:rPr>
                <w:i/>
                <w:sz w:val="20"/>
                <w:szCs w:val="20"/>
              </w:rPr>
              <w:t>cent savings from baseline, ten-</w:t>
            </w:r>
          </w:p>
          <w:p w14:paraId="4C1821BE" w14:textId="19EBC0B3" w:rsidR="00E1589D" w:rsidRPr="00F6205B" w:rsidRDefault="000E51BC">
            <w:pPr>
              <w:keepNext/>
              <w:keepLines/>
              <w:spacing w:after="0"/>
              <w:contextualSpacing/>
              <w:rPr>
                <w:i/>
                <w:sz w:val="20"/>
                <w:szCs w:val="20"/>
              </w:rPr>
            </w:pPr>
            <w:r w:rsidRPr="00F6205B">
              <w:rPr>
                <w:i/>
                <w:sz w:val="20"/>
                <w:szCs w:val="20"/>
              </w:rPr>
              <w:t xml:space="preserve">   </w:t>
            </w:r>
            <w:r w:rsidR="00E1589D" w:rsidRPr="00F6205B">
              <w:rPr>
                <w:i/>
                <w:sz w:val="20"/>
                <w:szCs w:val="20"/>
              </w:rPr>
              <w:t>year</w:t>
            </w:r>
          </w:p>
        </w:tc>
        <w:tc>
          <w:tcPr>
            <w:tcW w:w="1099" w:type="dxa"/>
            <w:tcBorders>
              <w:top w:val="single" w:sz="4" w:space="0" w:color="000000" w:themeColor="text1"/>
              <w:bottom w:val="single" w:sz="4" w:space="0" w:color="auto"/>
              <w:right w:val="single" w:sz="4" w:space="0" w:color="000000" w:themeColor="text1"/>
            </w:tcBorders>
            <w:shd w:val="clear" w:color="auto" w:fill="D9D9D9" w:themeFill="background1" w:themeFillShade="D9"/>
            <w:vAlign w:val="center"/>
          </w:tcPr>
          <w:p w14:paraId="54D3630B" w14:textId="325E14FE" w:rsidR="00E1589D" w:rsidRPr="00F6205B" w:rsidRDefault="00E1589D">
            <w:pPr>
              <w:keepNext/>
              <w:keepLines/>
              <w:tabs>
                <w:tab w:val="decimal" w:pos="579"/>
              </w:tabs>
              <w:contextualSpacing/>
              <w:rPr>
                <w:i/>
                <w:color w:val="000000"/>
                <w:sz w:val="20"/>
                <w:szCs w:val="20"/>
              </w:rPr>
            </w:pPr>
            <w:r w:rsidRPr="00F6205B">
              <w:rPr>
                <w:i/>
                <w:color w:val="000000"/>
                <w:sz w:val="20"/>
                <w:szCs w:val="20"/>
              </w:rPr>
              <w:t>29%</w:t>
            </w:r>
          </w:p>
        </w:tc>
        <w:tc>
          <w:tcPr>
            <w:tcW w:w="1099" w:type="dxa"/>
            <w:tcBorders>
              <w:top w:val="single" w:sz="4" w:space="0" w:color="000000" w:themeColor="text1"/>
              <w:bottom w:val="single" w:sz="4" w:space="0" w:color="auto"/>
              <w:right w:val="single" w:sz="4" w:space="0" w:color="000000" w:themeColor="text1"/>
            </w:tcBorders>
            <w:shd w:val="clear" w:color="auto" w:fill="D9D9D9" w:themeFill="background1" w:themeFillShade="D9"/>
            <w:vAlign w:val="center"/>
          </w:tcPr>
          <w:p w14:paraId="4C8B81D9" w14:textId="3B1F47DB" w:rsidR="00E1589D" w:rsidRPr="00F6205B" w:rsidRDefault="00E1589D">
            <w:pPr>
              <w:keepNext/>
              <w:keepLines/>
              <w:tabs>
                <w:tab w:val="decimal" w:pos="575"/>
              </w:tabs>
              <w:contextualSpacing/>
              <w:rPr>
                <w:i/>
                <w:color w:val="000000"/>
                <w:sz w:val="20"/>
                <w:szCs w:val="20"/>
              </w:rPr>
            </w:pPr>
            <w:r w:rsidRPr="00F6205B">
              <w:rPr>
                <w:i/>
                <w:color w:val="000000"/>
                <w:sz w:val="20"/>
                <w:szCs w:val="20"/>
              </w:rPr>
              <w:t>26%</w:t>
            </w:r>
          </w:p>
        </w:tc>
        <w:tc>
          <w:tcPr>
            <w:tcW w:w="1099" w:type="dxa"/>
            <w:tcBorders>
              <w:top w:val="single" w:sz="4" w:space="0" w:color="000000" w:themeColor="text1"/>
              <w:bottom w:val="single" w:sz="4" w:space="0" w:color="auto"/>
              <w:right w:val="single" w:sz="4" w:space="0" w:color="000000" w:themeColor="text1"/>
            </w:tcBorders>
            <w:shd w:val="clear" w:color="auto" w:fill="D9D9D9" w:themeFill="background1" w:themeFillShade="D9"/>
            <w:vAlign w:val="center"/>
          </w:tcPr>
          <w:p w14:paraId="1F014E68" w14:textId="23F50C2B" w:rsidR="00E1589D" w:rsidRPr="00F6205B" w:rsidRDefault="00E1589D">
            <w:pPr>
              <w:keepNext/>
              <w:keepLines/>
              <w:tabs>
                <w:tab w:val="decimal" w:pos="489"/>
              </w:tabs>
              <w:contextualSpacing/>
              <w:rPr>
                <w:i/>
                <w:color w:val="000000"/>
                <w:sz w:val="20"/>
                <w:szCs w:val="20"/>
              </w:rPr>
            </w:pPr>
            <w:r w:rsidRPr="00F6205B">
              <w:rPr>
                <w:i/>
                <w:color w:val="000000"/>
                <w:sz w:val="20"/>
                <w:szCs w:val="20"/>
              </w:rPr>
              <w:t>19%</w:t>
            </w:r>
          </w:p>
        </w:tc>
        <w:tc>
          <w:tcPr>
            <w:tcW w:w="1144" w:type="dxa"/>
            <w:tcBorders>
              <w:top w:val="single" w:sz="4" w:space="0" w:color="000000" w:themeColor="text1"/>
              <w:bottom w:val="single" w:sz="4" w:space="0" w:color="auto"/>
              <w:right w:val="single" w:sz="4" w:space="0" w:color="000000" w:themeColor="text1"/>
            </w:tcBorders>
            <w:shd w:val="clear" w:color="auto" w:fill="D9D9D9" w:themeFill="background1" w:themeFillShade="D9"/>
            <w:vAlign w:val="center"/>
          </w:tcPr>
          <w:p w14:paraId="1029A6D4" w14:textId="2FC3ACB0" w:rsidR="00E1589D" w:rsidRPr="00F6205B" w:rsidRDefault="00E1589D">
            <w:pPr>
              <w:keepNext/>
              <w:keepLines/>
              <w:tabs>
                <w:tab w:val="decimal" w:pos="702"/>
              </w:tabs>
              <w:contextualSpacing/>
              <w:rPr>
                <w:i/>
                <w:color w:val="000000"/>
                <w:sz w:val="20"/>
                <w:szCs w:val="20"/>
              </w:rPr>
            </w:pPr>
            <w:r w:rsidRPr="00F6205B">
              <w:rPr>
                <w:i/>
                <w:color w:val="000000"/>
                <w:sz w:val="20"/>
                <w:szCs w:val="20"/>
              </w:rPr>
              <w:t>15%</w:t>
            </w:r>
          </w:p>
        </w:tc>
        <w:tc>
          <w:tcPr>
            <w:tcW w:w="1144" w:type="dxa"/>
            <w:tcBorders>
              <w:top w:val="single" w:sz="4" w:space="0" w:color="000000" w:themeColor="text1"/>
              <w:bottom w:val="single" w:sz="4" w:space="0" w:color="auto"/>
              <w:right w:val="single" w:sz="4" w:space="0" w:color="000000" w:themeColor="text1"/>
            </w:tcBorders>
            <w:shd w:val="clear" w:color="auto" w:fill="D9D9D9" w:themeFill="background1" w:themeFillShade="D9"/>
            <w:vAlign w:val="center"/>
          </w:tcPr>
          <w:p w14:paraId="185F0AA4" w14:textId="000F59FE" w:rsidR="00E1589D" w:rsidRPr="00F6205B" w:rsidRDefault="00BA0599">
            <w:pPr>
              <w:keepNext/>
              <w:keepLines/>
              <w:tabs>
                <w:tab w:val="decimal" w:pos="489"/>
              </w:tabs>
              <w:contextualSpacing/>
              <w:rPr>
                <w:i/>
                <w:color w:val="000000"/>
                <w:sz w:val="20"/>
                <w:szCs w:val="20"/>
              </w:rPr>
            </w:pPr>
            <w:r w:rsidRPr="00F6205B">
              <w:rPr>
                <w:i/>
                <w:color w:val="000000"/>
                <w:sz w:val="20"/>
                <w:szCs w:val="20"/>
              </w:rPr>
              <w:t>27%</w:t>
            </w:r>
          </w:p>
        </w:tc>
        <w:tc>
          <w:tcPr>
            <w:tcW w:w="1144" w:type="dxa"/>
            <w:tcBorders>
              <w:top w:val="single" w:sz="4" w:space="0" w:color="000000" w:themeColor="text1"/>
              <w:left w:val="single" w:sz="4" w:space="0" w:color="000000" w:themeColor="text1"/>
              <w:bottom w:val="single" w:sz="4" w:space="0" w:color="auto"/>
              <w:right w:val="single" w:sz="4" w:space="0" w:color="auto"/>
            </w:tcBorders>
            <w:shd w:val="clear" w:color="auto" w:fill="D9D9D9" w:themeFill="background1" w:themeFillShade="D9"/>
            <w:vAlign w:val="center"/>
          </w:tcPr>
          <w:p w14:paraId="28F1CB97" w14:textId="59FEA078" w:rsidR="00E1589D" w:rsidRPr="00F6205B" w:rsidRDefault="00E1589D">
            <w:pPr>
              <w:keepNext/>
              <w:keepLines/>
              <w:tabs>
                <w:tab w:val="decimal" w:pos="489"/>
              </w:tabs>
              <w:contextualSpacing/>
              <w:rPr>
                <w:i/>
                <w:color w:val="000000"/>
                <w:sz w:val="20"/>
                <w:szCs w:val="20"/>
              </w:rPr>
            </w:pPr>
            <w:r w:rsidRPr="00F6205B">
              <w:rPr>
                <w:i/>
                <w:color w:val="000000"/>
                <w:sz w:val="20"/>
                <w:szCs w:val="20"/>
              </w:rPr>
              <w:t>24%</w:t>
            </w:r>
          </w:p>
        </w:tc>
      </w:tr>
    </w:tbl>
    <w:p w14:paraId="53EA8C5E" w14:textId="1D6771E9" w:rsidR="00EF60B3" w:rsidRPr="00F6205B" w:rsidRDefault="000E51BC" w:rsidP="00297B7C">
      <w:pPr>
        <w:keepNext/>
        <w:keepLines/>
        <w:tabs>
          <w:tab w:val="left" w:pos="1065"/>
        </w:tabs>
        <w:rPr>
          <w:sz w:val="18"/>
          <w:szCs w:val="18"/>
        </w:rPr>
      </w:pPr>
      <w:r w:rsidRPr="00F6205B">
        <w:rPr>
          <w:sz w:val="18"/>
          <w:szCs w:val="18"/>
        </w:rPr>
        <w:t xml:space="preserve">* </w:t>
      </w:r>
      <w:r w:rsidR="00EF60B3" w:rsidRPr="00F6205B">
        <w:rPr>
          <w:sz w:val="18"/>
          <w:szCs w:val="18"/>
        </w:rPr>
        <w:t>Savings are in millions of units.</w:t>
      </w:r>
    </w:p>
    <w:p w14:paraId="3E130E2C" w14:textId="4EAEBEF6" w:rsidR="006378F9" w:rsidRPr="00F6205B" w:rsidRDefault="0087066E" w:rsidP="002575E1">
      <w:pPr>
        <w:pStyle w:val="Normalaftertable"/>
      </w:pPr>
      <w:r>
        <w:fldChar w:fldCharType="begin"/>
      </w:r>
      <w:r>
        <w:instrText xml:space="preserve"> REF _Ref439690274 \h </w:instrText>
      </w:r>
      <w:r>
        <w:fldChar w:fldCharType="separate"/>
      </w:r>
      <w:r w:rsidR="00FA26A9" w:rsidRPr="00F6205B">
        <w:t xml:space="preserve">Figure </w:t>
      </w:r>
      <w:r w:rsidR="00FA26A9">
        <w:rPr>
          <w:noProof/>
        </w:rPr>
        <w:t>14</w:t>
      </w:r>
      <w:r>
        <w:fldChar w:fldCharType="end"/>
      </w:r>
      <w:r>
        <w:t xml:space="preserve"> </w:t>
      </w:r>
      <w:r w:rsidR="00EF60B3" w:rsidRPr="00F6205B">
        <w:t>shows the change in the proportion of cost-effective potential savings accounted for by each fuel type over the ten-year span from 20</w:t>
      </w:r>
      <w:r w:rsidR="008B5933" w:rsidRPr="00F6205B">
        <w:t>16 to 2025</w:t>
      </w:r>
      <w:r w:rsidR="001F3DEA" w:rsidRPr="00F6205B">
        <w:t>. Electric savings decline from 22% of the total to 15% during that window, due mostly to the impact of federal minimum efficiency standards for lighting, and to a lesser degree, appliances. Oil and natural gas savings both increase as a proportion of total cost-effective savings between 2016 and 2025, oil from 54% to 56%, and gas from 23% to 27%.</w:t>
      </w:r>
    </w:p>
    <w:p w14:paraId="55744673" w14:textId="41AB0C45" w:rsidR="005C6099" w:rsidRPr="00F6205B" w:rsidRDefault="005C6099" w:rsidP="00C1552E">
      <w:pPr>
        <w:pStyle w:val="Caption"/>
      </w:pPr>
      <w:bookmarkStart w:id="265" w:name="_Ref439690274"/>
      <w:bookmarkStart w:id="266" w:name="_Toc439931807"/>
      <w:r w:rsidRPr="00F6205B">
        <w:t xml:space="preserve">Figure </w:t>
      </w:r>
      <w:fldSimple w:instr=" SEQ Figure \* ARABIC ">
        <w:r w:rsidR="00FA26A9">
          <w:rPr>
            <w:noProof/>
          </w:rPr>
          <w:t>14</w:t>
        </w:r>
      </w:fldSimple>
      <w:bookmarkEnd w:id="265"/>
      <w:r w:rsidRPr="00F6205B">
        <w:t>: Fuel Type Percent of Cost-Effective Savings (MMBtu)</w:t>
      </w:r>
      <w:bookmarkEnd w:id="266"/>
    </w:p>
    <w:p w14:paraId="5AAE3B8A" w14:textId="77777777" w:rsidR="005C6099" w:rsidRPr="00F6205B" w:rsidRDefault="005C6099" w:rsidP="00C1552E">
      <w:pPr>
        <w:pStyle w:val="Caption"/>
        <w:spacing w:before="0" w:after="120"/>
        <w:rPr>
          <w:b w:val="0"/>
          <w:bCs w:val="0"/>
          <w:sz w:val="18"/>
        </w:rPr>
      </w:pPr>
      <w:r w:rsidRPr="00F6205B">
        <w:rPr>
          <w:b w:val="0"/>
          <w:bCs w:val="0"/>
          <w:sz w:val="18"/>
        </w:rPr>
        <w:t>Base: all single-family homes (population-weighted)</w:t>
      </w:r>
    </w:p>
    <w:p w14:paraId="2F360655" w14:textId="7EAD08CF" w:rsidR="00EF60B3" w:rsidRPr="00F6205B" w:rsidRDefault="006378F9" w:rsidP="00C1552E">
      <w:pPr>
        <w:jc w:val="center"/>
      </w:pPr>
      <w:r w:rsidRPr="00F6205B">
        <w:rPr>
          <w:noProof/>
          <w:lang w:bidi="ar-SA"/>
        </w:rPr>
        <w:drawing>
          <wp:inline distT="0" distB="0" distL="0" distR="0" wp14:anchorId="688AEE80" wp14:editId="11D7639E">
            <wp:extent cx="5541645" cy="3054350"/>
            <wp:effectExtent l="0" t="0" r="190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41645" cy="3054350"/>
                    </a:xfrm>
                    <a:prstGeom prst="rect">
                      <a:avLst/>
                    </a:prstGeom>
                    <a:noFill/>
                  </pic:spPr>
                </pic:pic>
              </a:graphicData>
            </a:graphic>
          </wp:inline>
        </w:drawing>
      </w:r>
    </w:p>
    <w:p w14:paraId="143DA127" w14:textId="77777777" w:rsidR="005C6099" w:rsidRPr="00F6205B" w:rsidRDefault="005C6099" w:rsidP="00EF60B3"/>
    <w:p w14:paraId="469DA792" w14:textId="04056AEB" w:rsidR="00EF60B3" w:rsidRPr="00F6205B" w:rsidRDefault="00EF60B3" w:rsidP="00EF60B3">
      <w:r w:rsidRPr="00F6205B">
        <w:lastRenderedPageBreak/>
        <w:t>Most cost-effective fossil-fuel savings occur in space heating, which is the end use responsible for most energy consumption overall in Connecticut and the primary way in which consumers use fossil fuels (</w:t>
      </w:r>
      <w:r w:rsidR="00AD52C1" w:rsidRPr="00F6205B">
        <w:fldChar w:fldCharType="begin"/>
      </w:r>
      <w:r w:rsidR="00AD52C1" w:rsidRPr="00F6205B">
        <w:instrText xml:space="preserve"> REF _Ref439322069 \h </w:instrText>
      </w:r>
      <w:r w:rsidR="00F6205B">
        <w:instrText xml:space="preserve"> \* MERGEFORMAT </w:instrText>
      </w:r>
      <w:r w:rsidR="00AD52C1" w:rsidRPr="00F6205B">
        <w:fldChar w:fldCharType="separate"/>
      </w:r>
      <w:r w:rsidR="00FA26A9" w:rsidRPr="00F6205B">
        <w:t xml:space="preserve">Table </w:t>
      </w:r>
      <w:r w:rsidR="00FA26A9">
        <w:rPr>
          <w:noProof/>
        </w:rPr>
        <w:t>26</w:t>
      </w:r>
      <w:r w:rsidR="00AD52C1" w:rsidRPr="00F6205B">
        <w:fldChar w:fldCharType="end"/>
      </w:r>
      <w:r w:rsidRPr="00F6205B">
        <w:t xml:space="preserve">). </w:t>
      </w:r>
      <w:r w:rsidR="00ED1EA7" w:rsidRPr="00F6205B">
        <w:t>Most</w:t>
      </w:r>
      <w:r w:rsidRPr="00F6205B">
        <w:t xml:space="preserve"> cost-eff</w:t>
      </w:r>
      <w:r w:rsidR="00ED1EA7" w:rsidRPr="00F6205B">
        <w:t>ective electric savings occur at the</w:t>
      </w:r>
      <w:r w:rsidRPr="00F6205B">
        <w:t xml:space="preserve"> lights and appliances </w:t>
      </w:r>
      <w:r w:rsidR="00ED1EA7" w:rsidRPr="00F6205B">
        <w:t xml:space="preserve">end use, </w:t>
      </w:r>
      <w:r w:rsidR="00297B7C">
        <w:t>though</w:t>
      </w:r>
      <w:r w:rsidR="00297B7C" w:rsidRPr="00F6205B">
        <w:t xml:space="preserve"> </w:t>
      </w:r>
      <w:r w:rsidR="00ED1EA7" w:rsidRPr="00F6205B">
        <w:t>a substantial amount also occurs in water heating</w:t>
      </w:r>
      <w:r w:rsidRPr="00F6205B">
        <w:t>.</w:t>
      </w:r>
    </w:p>
    <w:p w14:paraId="29326AD3" w14:textId="0230ECD6" w:rsidR="00EF60B3" w:rsidRPr="00F6205B" w:rsidRDefault="00EF60B3" w:rsidP="004F23CF">
      <w:pPr>
        <w:pStyle w:val="Caption"/>
      </w:pPr>
      <w:bookmarkStart w:id="267" w:name="_Ref391027017"/>
      <w:bookmarkStart w:id="268" w:name="_Ref439322069"/>
      <w:bookmarkStart w:id="269" w:name="_Toc391887362"/>
      <w:bookmarkStart w:id="270" w:name="_Toc439931857"/>
      <w:r w:rsidRPr="00F6205B">
        <w:t>Table</w:t>
      </w:r>
      <w:bookmarkEnd w:id="267"/>
      <w:r w:rsidR="004F23CF" w:rsidRPr="00F6205B">
        <w:t xml:space="preserve"> </w:t>
      </w:r>
      <w:fldSimple w:instr=" SEQ Table \* ARABIC ">
        <w:r w:rsidR="00FA26A9">
          <w:rPr>
            <w:noProof/>
          </w:rPr>
          <w:t>26</w:t>
        </w:r>
      </w:fldSimple>
      <w:bookmarkEnd w:id="268"/>
      <w:r w:rsidRPr="00F6205B">
        <w:t>: Cost-Effective Potential Savings by End Use—First Year</w:t>
      </w:r>
      <w:bookmarkEnd w:id="269"/>
      <w:bookmarkEnd w:id="270"/>
    </w:p>
    <w:p w14:paraId="77C7F203" w14:textId="77777777" w:rsidR="00346A82" w:rsidRPr="00F6205B" w:rsidRDefault="00346A82" w:rsidP="00346A82">
      <w:pPr>
        <w:pStyle w:val="Caption"/>
        <w:spacing w:before="0" w:after="120"/>
        <w:rPr>
          <w:b w:val="0"/>
          <w:bCs w:val="0"/>
          <w:sz w:val="18"/>
        </w:rPr>
      </w:pPr>
      <w:r w:rsidRPr="00F6205B">
        <w:rPr>
          <w:b w:val="0"/>
          <w:bCs w:val="0"/>
          <w:sz w:val="18"/>
        </w:rPr>
        <w:t>Base: all single-family homes (population-weighted)</w:t>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2069"/>
        <w:gridCol w:w="1187"/>
        <w:gridCol w:w="1102"/>
        <w:gridCol w:w="1103"/>
        <w:gridCol w:w="1102"/>
        <w:gridCol w:w="1103"/>
      </w:tblGrid>
      <w:tr w:rsidR="00521F25" w:rsidRPr="00F6205B" w14:paraId="1C0D8CCA" w14:textId="77777777" w:rsidTr="009B2F6D">
        <w:trPr>
          <w:trHeight w:val="288"/>
          <w:jc w:val="center"/>
        </w:trPr>
        <w:tc>
          <w:tcPr>
            <w:tcW w:w="2069" w:type="dxa"/>
            <w:tcBorders>
              <w:top w:val="single" w:sz="4" w:space="0" w:color="auto"/>
              <w:left w:val="single" w:sz="4" w:space="0" w:color="auto"/>
              <w:bottom w:val="single" w:sz="4" w:space="0" w:color="auto"/>
              <w:right w:val="single" w:sz="4" w:space="0" w:color="000000" w:themeColor="text1"/>
            </w:tcBorders>
            <w:shd w:val="clear" w:color="auto" w:fill="0B4D2C" w:themeFill="background2" w:themeFillShade="BF"/>
            <w:vAlign w:val="center"/>
          </w:tcPr>
          <w:p w14:paraId="39A3F452" w14:textId="77777777" w:rsidR="00521F25" w:rsidRPr="00F6205B" w:rsidRDefault="00521F25" w:rsidP="004F23CF">
            <w:pPr>
              <w:keepNext/>
              <w:keepLines/>
              <w:contextualSpacing/>
              <w:rPr>
                <w:b/>
                <w:sz w:val="20"/>
                <w:szCs w:val="20"/>
              </w:rPr>
            </w:pPr>
            <w:r w:rsidRPr="00F6205B">
              <w:rPr>
                <w:b/>
                <w:sz w:val="20"/>
                <w:szCs w:val="20"/>
              </w:rPr>
              <w:t>End Use</w:t>
            </w:r>
          </w:p>
        </w:tc>
        <w:tc>
          <w:tcPr>
            <w:tcW w:w="1187" w:type="dxa"/>
            <w:tcBorders>
              <w:top w:val="single" w:sz="4" w:space="0" w:color="auto"/>
              <w:bottom w:val="single" w:sz="4" w:space="0" w:color="auto"/>
            </w:tcBorders>
            <w:shd w:val="clear" w:color="auto" w:fill="0B4D2C" w:themeFill="background2" w:themeFillShade="BF"/>
            <w:vAlign w:val="center"/>
          </w:tcPr>
          <w:p w14:paraId="6DAFE754" w14:textId="134E1870" w:rsidR="00521F25" w:rsidRPr="00F6205B" w:rsidRDefault="00521F25" w:rsidP="00521F25">
            <w:pPr>
              <w:keepNext/>
              <w:keepLines/>
              <w:contextualSpacing/>
              <w:jc w:val="center"/>
              <w:rPr>
                <w:b/>
                <w:sz w:val="20"/>
                <w:szCs w:val="20"/>
              </w:rPr>
            </w:pPr>
            <w:r w:rsidRPr="00F6205B">
              <w:rPr>
                <w:b/>
                <w:sz w:val="20"/>
                <w:szCs w:val="20"/>
              </w:rPr>
              <w:t>End Use % of Total</w:t>
            </w:r>
          </w:p>
        </w:tc>
        <w:tc>
          <w:tcPr>
            <w:tcW w:w="1102" w:type="dxa"/>
            <w:tcBorders>
              <w:top w:val="single" w:sz="4" w:space="0" w:color="auto"/>
              <w:bottom w:val="single" w:sz="4" w:space="0" w:color="auto"/>
              <w:right w:val="single" w:sz="4" w:space="0" w:color="000000" w:themeColor="text1"/>
            </w:tcBorders>
            <w:shd w:val="clear" w:color="auto" w:fill="0B4D2C" w:themeFill="background2" w:themeFillShade="BF"/>
            <w:vAlign w:val="center"/>
          </w:tcPr>
          <w:p w14:paraId="61E0AE60" w14:textId="06FC1FF8" w:rsidR="00521F25" w:rsidRPr="00F6205B" w:rsidRDefault="009B2F6D" w:rsidP="00521F25">
            <w:pPr>
              <w:keepNext/>
              <w:keepLines/>
              <w:contextualSpacing/>
              <w:jc w:val="center"/>
              <w:rPr>
                <w:b/>
                <w:sz w:val="20"/>
                <w:szCs w:val="20"/>
              </w:rPr>
            </w:pPr>
            <w:r w:rsidRPr="00F6205B">
              <w:rPr>
                <w:b/>
                <w:sz w:val="20"/>
                <w:szCs w:val="20"/>
              </w:rPr>
              <w:t xml:space="preserve">Fuel </w:t>
            </w:r>
            <w:r w:rsidR="00521F25" w:rsidRPr="00F6205B">
              <w:rPr>
                <w:b/>
                <w:sz w:val="20"/>
                <w:szCs w:val="20"/>
              </w:rPr>
              <w:t>Oil (gal)</w:t>
            </w:r>
          </w:p>
        </w:tc>
        <w:tc>
          <w:tcPr>
            <w:tcW w:w="1103" w:type="dxa"/>
            <w:tcBorders>
              <w:top w:val="single" w:sz="4" w:space="0" w:color="auto"/>
              <w:bottom w:val="single" w:sz="4" w:space="0" w:color="auto"/>
              <w:right w:val="single" w:sz="4" w:space="0" w:color="000000" w:themeColor="text1"/>
            </w:tcBorders>
            <w:shd w:val="clear" w:color="auto" w:fill="0B4D2C" w:themeFill="background2" w:themeFillShade="BF"/>
            <w:vAlign w:val="center"/>
          </w:tcPr>
          <w:p w14:paraId="038E88BF" w14:textId="5045C339" w:rsidR="00521F25" w:rsidRPr="00F6205B" w:rsidRDefault="009B2F6D" w:rsidP="00521F25">
            <w:pPr>
              <w:keepNext/>
              <w:keepLines/>
              <w:contextualSpacing/>
              <w:jc w:val="center"/>
              <w:rPr>
                <w:b/>
                <w:sz w:val="20"/>
                <w:szCs w:val="20"/>
              </w:rPr>
            </w:pPr>
            <w:r w:rsidRPr="00F6205B">
              <w:rPr>
                <w:b/>
                <w:sz w:val="20"/>
                <w:szCs w:val="20"/>
              </w:rPr>
              <w:t xml:space="preserve">Nat. </w:t>
            </w:r>
            <w:r w:rsidR="00521F25" w:rsidRPr="00F6205B">
              <w:rPr>
                <w:b/>
                <w:sz w:val="20"/>
                <w:szCs w:val="20"/>
              </w:rPr>
              <w:t>Gas (ccf)</w:t>
            </w:r>
          </w:p>
        </w:tc>
        <w:tc>
          <w:tcPr>
            <w:tcW w:w="1102" w:type="dxa"/>
            <w:tcBorders>
              <w:top w:val="single" w:sz="4" w:space="0" w:color="auto"/>
              <w:bottom w:val="single" w:sz="4" w:space="0" w:color="auto"/>
              <w:right w:val="single" w:sz="4" w:space="0" w:color="000000" w:themeColor="text1"/>
            </w:tcBorders>
            <w:shd w:val="clear" w:color="auto" w:fill="0B4D2C" w:themeFill="background2" w:themeFillShade="BF"/>
            <w:vAlign w:val="center"/>
          </w:tcPr>
          <w:p w14:paraId="0E20C222" w14:textId="10F72012" w:rsidR="00521F25" w:rsidRPr="00F6205B" w:rsidRDefault="00521F25" w:rsidP="00521F25">
            <w:pPr>
              <w:keepNext/>
              <w:keepLines/>
              <w:contextualSpacing/>
              <w:jc w:val="center"/>
              <w:rPr>
                <w:b/>
                <w:sz w:val="20"/>
                <w:szCs w:val="20"/>
              </w:rPr>
            </w:pPr>
            <w:r w:rsidRPr="00F6205B">
              <w:rPr>
                <w:b/>
                <w:sz w:val="20"/>
                <w:szCs w:val="20"/>
              </w:rPr>
              <w:t>P</w:t>
            </w:r>
            <w:r w:rsidR="009B2F6D" w:rsidRPr="00F6205B">
              <w:rPr>
                <w:b/>
                <w:sz w:val="20"/>
                <w:szCs w:val="20"/>
              </w:rPr>
              <w:t>ropane</w:t>
            </w:r>
            <w:r w:rsidRPr="00F6205B">
              <w:rPr>
                <w:b/>
                <w:sz w:val="20"/>
                <w:szCs w:val="20"/>
              </w:rPr>
              <w:t xml:space="preserve"> (gal)</w:t>
            </w:r>
          </w:p>
        </w:tc>
        <w:tc>
          <w:tcPr>
            <w:tcW w:w="1103" w:type="dxa"/>
            <w:tcBorders>
              <w:top w:val="single" w:sz="4" w:space="0" w:color="auto"/>
              <w:left w:val="single" w:sz="4" w:space="0" w:color="000000" w:themeColor="text1"/>
              <w:bottom w:val="single" w:sz="4" w:space="0" w:color="auto"/>
              <w:right w:val="single" w:sz="4" w:space="0" w:color="auto"/>
            </w:tcBorders>
            <w:shd w:val="clear" w:color="auto" w:fill="0B4D2C" w:themeFill="background2" w:themeFillShade="BF"/>
            <w:vAlign w:val="center"/>
          </w:tcPr>
          <w:p w14:paraId="19C4556A" w14:textId="374D83B4" w:rsidR="00521F25" w:rsidRPr="00F6205B" w:rsidRDefault="00521F25" w:rsidP="00521F25">
            <w:pPr>
              <w:keepNext/>
              <w:keepLines/>
              <w:contextualSpacing/>
              <w:jc w:val="center"/>
              <w:rPr>
                <w:b/>
                <w:sz w:val="20"/>
                <w:szCs w:val="20"/>
              </w:rPr>
            </w:pPr>
            <w:r w:rsidRPr="00F6205B">
              <w:rPr>
                <w:b/>
                <w:sz w:val="20"/>
                <w:szCs w:val="20"/>
              </w:rPr>
              <w:t>Electric (kWh)</w:t>
            </w:r>
          </w:p>
        </w:tc>
      </w:tr>
      <w:tr w:rsidR="00521F25" w:rsidRPr="00F6205B" w14:paraId="6352D3E0" w14:textId="77777777" w:rsidTr="00AD52C1">
        <w:trPr>
          <w:trHeight w:val="288"/>
          <w:jc w:val="center"/>
        </w:trPr>
        <w:tc>
          <w:tcPr>
            <w:tcW w:w="2069" w:type="dxa"/>
            <w:tcBorders>
              <w:top w:val="single" w:sz="4" w:space="0" w:color="auto"/>
              <w:left w:val="single" w:sz="4" w:space="0" w:color="auto"/>
              <w:right w:val="single" w:sz="4" w:space="0" w:color="000000" w:themeColor="text1"/>
            </w:tcBorders>
            <w:vAlign w:val="center"/>
          </w:tcPr>
          <w:p w14:paraId="4EDEED96" w14:textId="77777777" w:rsidR="00521F25" w:rsidRPr="00F6205B" w:rsidRDefault="00521F25" w:rsidP="004F23CF">
            <w:pPr>
              <w:keepNext/>
              <w:keepLines/>
              <w:contextualSpacing/>
              <w:rPr>
                <w:sz w:val="20"/>
                <w:szCs w:val="20"/>
              </w:rPr>
            </w:pPr>
            <w:r w:rsidRPr="00F6205B">
              <w:rPr>
                <w:sz w:val="20"/>
                <w:szCs w:val="20"/>
              </w:rPr>
              <w:t>Heating</w:t>
            </w:r>
          </w:p>
        </w:tc>
        <w:tc>
          <w:tcPr>
            <w:tcW w:w="1187" w:type="dxa"/>
            <w:tcBorders>
              <w:top w:val="single" w:sz="4" w:space="0" w:color="auto"/>
            </w:tcBorders>
            <w:vAlign w:val="center"/>
          </w:tcPr>
          <w:p w14:paraId="15DDBBE7" w14:textId="56BB9357" w:rsidR="00521F25" w:rsidRPr="00F6205B" w:rsidRDefault="00AE10CC" w:rsidP="00521F25">
            <w:pPr>
              <w:keepNext/>
              <w:keepLines/>
              <w:tabs>
                <w:tab w:val="decimal" w:pos="358"/>
              </w:tabs>
              <w:contextualSpacing/>
              <w:jc w:val="center"/>
              <w:rPr>
                <w:sz w:val="20"/>
                <w:szCs w:val="20"/>
              </w:rPr>
            </w:pPr>
            <w:r w:rsidRPr="00F6205B">
              <w:rPr>
                <w:sz w:val="20"/>
                <w:szCs w:val="20"/>
              </w:rPr>
              <w:t>72%</w:t>
            </w:r>
          </w:p>
        </w:tc>
        <w:tc>
          <w:tcPr>
            <w:tcW w:w="1102" w:type="dxa"/>
            <w:tcBorders>
              <w:top w:val="single" w:sz="4" w:space="0" w:color="auto"/>
              <w:right w:val="single" w:sz="4" w:space="0" w:color="000000" w:themeColor="text1"/>
            </w:tcBorders>
            <w:vAlign w:val="center"/>
          </w:tcPr>
          <w:p w14:paraId="594D62EA" w14:textId="104A8505" w:rsidR="00521F25" w:rsidRPr="00F6205B" w:rsidRDefault="00521F25" w:rsidP="00521F25">
            <w:pPr>
              <w:keepNext/>
              <w:keepLines/>
              <w:tabs>
                <w:tab w:val="decimal" w:pos="358"/>
              </w:tabs>
              <w:contextualSpacing/>
              <w:jc w:val="center"/>
              <w:rPr>
                <w:sz w:val="20"/>
                <w:szCs w:val="20"/>
              </w:rPr>
            </w:pPr>
            <w:r w:rsidRPr="00F6205B">
              <w:rPr>
                <w:sz w:val="20"/>
                <w:szCs w:val="20"/>
              </w:rPr>
              <w:t>141.8</w:t>
            </w:r>
          </w:p>
        </w:tc>
        <w:tc>
          <w:tcPr>
            <w:tcW w:w="1103" w:type="dxa"/>
            <w:tcBorders>
              <w:top w:val="single" w:sz="4" w:space="0" w:color="auto"/>
              <w:right w:val="single" w:sz="4" w:space="0" w:color="000000" w:themeColor="text1"/>
            </w:tcBorders>
            <w:vAlign w:val="center"/>
          </w:tcPr>
          <w:p w14:paraId="08D89988" w14:textId="54F316A5" w:rsidR="00521F25" w:rsidRPr="00F6205B" w:rsidRDefault="00521F25" w:rsidP="00521F25">
            <w:pPr>
              <w:keepNext/>
              <w:keepLines/>
              <w:tabs>
                <w:tab w:val="decimal" w:pos="339"/>
              </w:tabs>
              <w:contextualSpacing/>
              <w:jc w:val="center"/>
              <w:rPr>
                <w:sz w:val="20"/>
                <w:szCs w:val="20"/>
              </w:rPr>
            </w:pPr>
            <w:r w:rsidRPr="00F6205B">
              <w:rPr>
                <w:sz w:val="20"/>
                <w:szCs w:val="20"/>
              </w:rPr>
              <w:t>83.3</w:t>
            </w:r>
          </w:p>
        </w:tc>
        <w:tc>
          <w:tcPr>
            <w:tcW w:w="1102" w:type="dxa"/>
            <w:tcBorders>
              <w:top w:val="single" w:sz="4" w:space="0" w:color="auto"/>
              <w:right w:val="single" w:sz="4" w:space="0" w:color="000000" w:themeColor="text1"/>
            </w:tcBorders>
            <w:vAlign w:val="center"/>
          </w:tcPr>
          <w:p w14:paraId="7886A6CF" w14:textId="4728CDC8" w:rsidR="00521F25" w:rsidRPr="00F6205B" w:rsidRDefault="00521F25" w:rsidP="00521F25">
            <w:pPr>
              <w:keepNext/>
              <w:keepLines/>
              <w:tabs>
                <w:tab w:val="decimal" w:pos="395"/>
              </w:tabs>
              <w:contextualSpacing/>
              <w:jc w:val="center"/>
              <w:rPr>
                <w:sz w:val="20"/>
                <w:szCs w:val="20"/>
              </w:rPr>
            </w:pPr>
            <w:r w:rsidRPr="00F6205B">
              <w:rPr>
                <w:sz w:val="20"/>
                <w:szCs w:val="20"/>
              </w:rPr>
              <w:t>5.8</w:t>
            </w:r>
          </w:p>
        </w:tc>
        <w:tc>
          <w:tcPr>
            <w:tcW w:w="1103" w:type="dxa"/>
            <w:tcBorders>
              <w:top w:val="single" w:sz="4" w:space="0" w:color="auto"/>
              <w:left w:val="single" w:sz="4" w:space="0" w:color="000000" w:themeColor="text1"/>
              <w:right w:val="single" w:sz="4" w:space="0" w:color="auto"/>
            </w:tcBorders>
            <w:vAlign w:val="center"/>
          </w:tcPr>
          <w:p w14:paraId="60BA3A13" w14:textId="03DDE210" w:rsidR="00521F25" w:rsidRPr="00F6205B" w:rsidRDefault="00521F25" w:rsidP="00521F25">
            <w:pPr>
              <w:keepNext/>
              <w:keepLines/>
              <w:tabs>
                <w:tab w:val="decimal" w:pos="631"/>
              </w:tabs>
              <w:contextualSpacing/>
              <w:jc w:val="center"/>
              <w:rPr>
                <w:sz w:val="20"/>
                <w:szCs w:val="20"/>
              </w:rPr>
            </w:pPr>
            <w:r w:rsidRPr="00F6205B">
              <w:rPr>
                <w:sz w:val="20"/>
                <w:szCs w:val="20"/>
              </w:rPr>
              <w:t>156.7</w:t>
            </w:r>
          </w:p>
        </w:tc>
      </w:tr>
      <w:tr w:rsidR="00521F25" w:rsidRPr="00F6205B" w14:paraId="4D6AF818" w14:textId="77777777" w:rsidTr="00AD52C1">
        <w:trPr>
          <w:trHeight w:val="288"/>
          <w:jc w:val="center"/>
        </w:trPr>
        <w:tc>
          <w:tcPr>
            <w:tcW w:w="2069" w:type="dxa"/>
            <w:tcBorders>
              <w:left w:val="single" w:sz="4" w:space="0" w:color="auto"/>
              <w:right w:val="single" w:sz="4" w:space="0" w:color="000000" w:themeColor="text1"/>
            </w:tcBorders>
            <w:vAlign w:val="center"/>
          </w:tcPr>
          <w:p w14:paraId="7B972491" w14:textId="77777777" w:rsidR="00521F25" w:rsidRPr="00F6205B" w:rsidRDefault="00521F25" w:rsidP="004F23CF">
            <w:pPr>
              <w:keepNext/>
              <w:keepLines/>
              <w:contextualSpacing/>
              <w:rPr>
                <w:sz w:val="20"/>
                <w:szCs w:val="20"/>
              </w:rPr>
            </w:pPr>
            <w:r w:rsidRPr="00F6205B">
              <w:rPr>
                <w:sz w:val="20"/>
                <w:szCs w:val="20"/>
              </w:rPr>
              <w:t>Cooling</w:t>
            </w:r>
          </w:p>
        </w:tc>
        <w:tc>
          <w:tcPr>
            <w:tcW w:w="1187" w:type="dxa"/>
            <w:vAlign w:val="center"/>
          </w:tcPr>
          <w:p w14:paraId="6705B701" w14:textId="26ECD2D2" w:rsidR="00521F25" w:rsidRPr="00F6205B" w:rsidRDefault="00AE10CC" w:rsidP="00521F25">
            <w:pPr>
              <w:keepNext/>
              <w:keepLines/>
              <w:tabs>
                <w:tab w:val="decimal" w:pos="358"/>
              </w:tabs>
              <w:contextualSpacing/>
              <w:jc w:val="center"/>
              <w:rPr>
                <w:sz w:val="20"/>
                <w:szCs w:val="20"/>
              </w:rPr>
            </w:pPr>
            <w:r w:rsidRPr="00F6205B">
              <w:rPr>
                <w:sz w:val="20"/>
                <w:szCs w:val="20"/>
              </w:rPr>
              <w:t>1%</w:t>
            </w:r>
          </w:p>
        </w:tc>
        <w:tc>
          <w:tcPr>
            <w:tcW w:w="1102" w:type="dxa"/>
            <w:tcBorders>
              <w:right w:val="single" w:sz="4" w:space="0" w:color="000000" w:themeColor="text1"/>
            </w:tcBorders>
            <w:vAlign w:val="center"/>
          </w:tcPr>
          <w:p w14:paraId="7062D9F7" w14:textId="767E5166" w:rsidR="00521F25" w:rsidRPr="00F6205B" w:rsidRDefault="00521F25" w:rsidP="00521F25">
            <w:pPr>
              <w:keepNext/>
              <w:keepLines/>
              <w:tabs>
                <w:tab w:val="decimal" w:pos="358"/>
              </w:tabs>
              <w:contextualSpacing/>
              <w:jc w:val="center"/>
              <w:rPr>
                <w:sz w:val="20"/>
                <w:szCs w:val="20"/>
              </w:rPr>
            </w:pPr>
            <w:r w:rsidRPr="00F6205B">
              <w:rPr>
                <w:sz w:val="20"/>
                <w:szCs w:val="20"/>
              </w:rPr>
              <w:t>--</w:t>
            </w:r>
          </w:p>
        </w:tc>
        <w:tc>
          <w:tcPr>
            <w:tcW w:w="1103" w:type="dxa"/>
            <w:tcBorders>
              <w:right w:val="single" w:sz="4" w:space="0" w:color="000000" w:themeColor="text1"/>
            </w:tcBorders>
            <w:vAlign w:val="center"/>
          </w:tcPr>
          <w:p w14:paraId="1B50CC59" w14:textId="5E876CD5" w:rsidR="00521F25" w:rsidRPr="00F6205B" w:rsidRDefault="00521F25" w:rsidP="00521F25">
            <w:pPr>
              <w:keepNext/>
              <w:keepLines/>
              <w:tabs>
                <w:tab w:val="decimal" w:pos="339"/>
              </w:tabs>
              <w:contextualSpacing/>
              <w:jc w:val="center"/>
              <w:rPr>
                <w:sz w:val="20"/>
                <w:szCs w:val="20"/>
              </w:rPr>
            </w:pPr>
            <w:r w:rsidRPr="00F6205B">
              <w:rPr>
                <w:sz w:val="20"/>
                <w:szCs w:val="20"/>
              </w:rPr>
              <w:t>--</w:t>
            </w:r>
          </w:p>
        </w:tc>
        <w:tc>
          <w:tcPr>
            <w:tcW w:w="1102" w:type="dxa"/>
            <w:tcBorders>
              <w:right w:val="single" w:sz="4" w:space="0" w:color="000000" w:themeColor="text1"/>
            </w:tcBorders>
            <w:vAlign w:val="center"/>
          </w:tcPr>
          <w:p w14:paraId="05BC304D" w14:textId="6BC1B348" w:rsidR="00521F25" w:rsidRPr="00F6205B" w:rsidRDefault="00521F25" w:rsidP="00521F25">
            <w:pPr>
              <w:keepNext/>
              <w:keepLines/>
              <w:tabs>
                <w:tab w:val="decimal" w:pos="395"/>
              </w:tabs>
              <w:contextualSpacing/>
              <w:jc w:val="center"/>
              <w:rPr>
                <w:sz w:val="20"/>
                <w:szCs w:val="20"/>
              </w:rPr>
            </w:pPr>
            <w:r w:rsidRPr="00F6205B">
              <w:rPr>
                <w:sz w:val="20"/>
                <w:szCs w:val="20"/>
              </w:rPr>
              <w:t>--</w:t>
            </w:r>
          </w:p>
        </w:tc>
        <w:tc>
          <w:tcPr>
            <w:tcW w:w="1103" w:type="dxa"/>
            <w:tcBorders>
              <w:left w:val="single" w:sz="4" w:space="0" w:color="000000" w:themeColor="text1"/>
              <w:right w:val="single" w:sz="4" w:space="0" w:color="auto"/>
            </w:tcBorders>
            <w:vAlign w:val="center"/>
          </w:tcPr>
          <w:p w14:paraId="1F95B5C5" w14:textId="36166260" w:rsidR="00521F25" w:rsidRPr="00F6205B" w:rsidRDefault="00521F25" w:rsidP="00521F25">
            <w:pPr>
              <w:keepNext/>
              <w:keepLines/>
              <w:tabs>
                <w:tab w:val="decimal" w:pos="631"/>
              </w:tabs>
              <w:contextualSpacing/>
              <w:jc w:val="center"/>
              <w:rPr>
                <w:sz w:val="20"/>
                <w:szCs w:val="20"/>
              </w:rPr>
            </w:pPr>
            <w:r w:rsidRPr="00F6205B">
              <w:rPr>
                <w:sz w:val="20"/>
                <w:szCs w:val="20"/>
              </w:rPr>
              <w:t>153.8</w:t>
            </w:r>
          </w:p>
        </w:tc>
      </w:tr>
      <w:tr w:rsidR="00521F25" w:rsidRPr="00F6205B" w14:paraId="5209DF4E" w14:textId="77777777" w:rsidTr="00AD52C1">
        <w:trPr>
          <w:trHeight w:val="288"/>
          <w:jc w:val="center"/>
        </w:trPr>
        <w:tc>
          <w:tcPr>
            <w:tcW w:w="2069" w:type="dxa"/>
            <w:tcBorders>
              <w:left w:val="single" w:sz="4" w:space="0" w:color="auto"/>
              <w:right w:val="single" w:sz="4" w:space="0" w:color="000000" w:themeColor="text1"/>
            </w:tcBorders>
            <w:vAlign w:val="center"/>
          </w:tcPr>
          <w:p w14:paraId="1BBC8D08" w14:textId="77777777" w:rsidR="00521F25" w:rsidRPr="00F6205B" w:rsidRDefault="00521F25" w:rsidP="004F23CF">
            <w:pPr>
              <w:keepNext/>
              <w:keepLines/>
              <w:contextualSpacing/>
              <w:rPr>
                <w:sz w:val="20"/>
                <w:szCs w:val="20"/>
              </w:rPr>
            </w:pPr>
            <w:r w:rsidRPr="00F6205B">
              <w:rPr>
                <w:sz w:val="20"/>
                <w:szCs w:val="20"/>
              </w:rPr>
              <w:t>Water heating</w:t>
            </w:r>
          </w:p>
        </w:tc>
        <w:tc>
          <w:tcPr>
            <w:tcW w:w="1187" w:type="dxa"/>
            <w:vAlign w:val="center"/>
          </w:tcPr>
          <w:p w14:paraId="04E0637A" w14:textId="5B0AC9E6" w:rsidR="00521F25" w:rsidRPr="00F6205B" w:rsidRDefault="00AE10CC" w:rsidP="00521F25">
            <w:pPr>
              <w:keepNext/>
              <w:keepLines/>
              <w:tabs>
                <w:tab w:val="decimal" w:pos="358"/>
              </w:tabs>
              <w:contextualSpacing/>
              <w:jc w:val="center"/>
              <w:rPr>
                <w:sz w:val="20"/>
                <w:szCs w:val="20"/>
              </w:rPr>
            </w:pPr>
            <w:r w:rsidRPr="00F6205B">
              <w:rPr>
                <w:sz w:val="20"/>
                <w:szCs w:val="20"/>
              </w:rPr>
              <w:t>10%</w:t>
            </w:r>
          </w:p>
        </w:tc>
        <w:tc>
          <w:tcPr>
            <w:tcW w:w="1102" w:type="dxa"/>
            <w:tcBorders>
              <w:right w:val="single" w:sz="4" w:space="0" w:color="000000" w:themeColor="text1"/>
            </w:tcBorders>
            <w:vAlign w:val="center"/>
          </w:tcPr>
          <w:p w14:paraId="2B7B3D5B" w14:textId="38C6472D" w:rsidR="00521F25" w:rsidRPr="00F6205B" w:rsidRDefault="00AE10CC" w:rsidP="00521F25">
            <w:pPr>
              <w:keepNext/>
              <w:keepLines/>
              <w:tabs>
                <w:tab w:val="decimal" w:pos="358"/>
              </w:tabs>
              <w:contextualSpacing/>
              <w:jc w:val="center"/>
              <w:rPr>
                <w:sz w:val="20"/>
                <w:szCs w:val="20"/>
              </w:rPr>
            </w:pPr>
            <w:r w:rsidRPr="00F6205B">
              <w:rPr>
                <w:sz w:val="20"/>
                <w:szCs w:val="20"/>
              </w:rPr>
              <w:t>13.</w:t>
            </w:r>
            <w:r w:rsidR="00521F25" w:rsidRPr="00F6205B">
              <w:rPr>
                <w:sz w:val="20"/>
                <w:szCs w:val="20"/>
              </w:rPr>
              <w:t>3</w:t>
            </w:r>
          </w:p>
        </w:tc>
        <w:tc>
          <w:tcPr>
            <w:tcW w:w="1103" w:type="dxa"/>
            <w:tcBorders>
              <w:right w:val="single" w:sz="4" w:space="0" w:color="000000" w:themeColor="text1"/>
            </w:tcBorders>
            <w:vAlign w:val="center"/>
          </w:tcPr>
          <w:p w14:paraId="31ED908B" w14:textId="7726312A" w:rsidR="00521F25" w:rsidRPr="00F6205B" w:rsidRDefault="00521F25" w:rsidP="00521F25">
            <w:pPr>
              <w:keepNext/>
              <w:keepLines/>
              <w:tabs>
                <w:tab w:val="decimal" w:pos="339"/>
              </w:tabs>
              <w:contextualSpacing/>
              <w:jc w:val="center"/>
              <w:rPr>
                <w:sz w:val="20"/>
                <w:szCs w:val="20"/>
              </w:rPr>
            </w:pPr>
            <w:r w:rsidRPr="00F6205B">
              <w:rPr>
                <w:sz w:val="20"/>
                <w:szCs w:val="20"/>
              </w:rPr>
              <w:t>8.8</w:t>
            </w:r>
          </w:p>
        </w:tc>
        <w:tc>
          <w:tcPr>
            <w:tcW w:w="1102" w:type="dxa"/>
            <w:tcBorders>
              <w:right w:val="single" w:sz="4" w:space="0" w:color="000000" w:themeColor="text1"/>
            </w:tcBorders>
            <w:vAlign w:val="center"/>
          </w:tcPr>
          <w:p w14:paraId="01CEFF17" w14:textId="69F44432" w:rsidR="00521F25" w:rsidRPr="00F6205B" w:rsidRDefault="00521F25" w:rsidP="00521F25">
            <w:pPr>
              <w:keepNext/>
              <w:keepLines/>
              <w:tabs>
                <w:tab w:val="decimal" w:pos="395"/>
              </w:tabs>
              <w:contextualSpacing/>
              <w:jc w:val="center"/>
              <w:rPr>
                <w:sz w:val="20"/>
                <w:szCs w:val="20"/>
              </w:rPr>
            </w:pPr>
            <w:r w:rsidRPr="00F6205B">
              <w:rPr>
                <w:sz w:val="20"/>
                <w:szCs w:val="20"/>
              </w:rPr>
              <w:t>1.6</w:t>
            </w:r>
          </w:p>
        </w:tc>
        <w:tc>
          <w:tcPr>
            <w:tcW w:w="1103" w:type="dxa"/>
            <w:tcBorders>
              <w:left w:val="single" w:sz="4" w:space="0" w:color="000000" w:themeColor="text1"/>
              <w:right w:val="single" w:sz="4" w:space="0" w:color="auto"/>
            </w:tcBorders>
            <w:vAlign w:val="center"/>
          </w:tcPr>
          <w:p w14:paraId="7D1CB99E" w14:textId="3E4347B3" w:rsidR="00521F25" w:rsidRPr="00F6205B" w:rsidRDefault="00521F25" w:rsidP="00521F25">
            <w:pPr>
              <w:keepNext/>
              <w:keepLines/>
              <w:tabs>
                <w:tab w:val="decimal" w:pos="631"/>
              </w:tabs>
              <w:contextualSpacing/>
              <w:jc w:val="center"/>
              <w:rPr>
                <w:sz w:val="20"/>
                <w:szCs w:val="20"/>
              </w:rPr>
            </w:pPr>
            <w:r w:rsidRPr="00F6205B">
              <w:rPr>
                <w:sz w:val="20"/>
                <w:szCs w:val="20"/>
              </w:rPr>
              <w:t>290.8</w:t>
            </w:r>
          </w:p>
        </w:tc>
      </w:tr>
      <w:tr w:rsidR="00521F25" w:rsidRPr="00F6205B" w14:paraId="53FA7ED7" w14:textId="77777777" w:rsidTr="00AD52C1">
        <w:trPr>
          <w:trHeight w:val="288"/>
          <w:jc w:val="center"/>
        </w:trPr>
        <w:tc>
          <w:tcPr>
            <w:tcW w:w="2069" w:type="dxa"/>
            <w:tcBorders>
              <w:left w:val="single" w:sz="4" w:space="0" w:color="auto"/>
              <w:bottom w:val="single" w:sz="4" w:space="0" w:color="000000" w:themeColor="text1"/>
              <w:right w:val="single" w:sz="4" w:space="0" w:color="000000" w:themeColor="text1"/>
            </w:tcBorders>
            <w:vAlign w:val="center"/>
          </w:tcPr>
          <w:p w14:paraId="5FC89C4F" w14:textId="77777777" w:rsidR="00521F25" w:rsidRPr="00F6205B" w:rsidRDefault="00521F25" w:rsidP="004F23CF">
            <w:pPr>
              <w:keepNext/>
              <w:keepLines/>
              <w:contextualSpacing/>
              <w:rPr>
                <w:sz w:val="20"/>
                <w:szCs w:val="20"/>
              </w:rPr>
            </w:pPr>
            <w:r w:rsidRPr="00F6205B">
              <w:rPr>
                <w:sz w:val="20"/>
                <w:szCs w:val="20"/>
              </w:rPr>
              <w:t>Lights &amp; appliances</w:t>
            </w:r>
          </w:p>
        </w:tc>
        <w:tc>
          <w:tcPr>
            <w:tcW w:w="1187" w:type="dxa"/>
            <w:tcBorders>
              <w:bottom w:val="single" w:sz="4" w:space="0" w:color="000000" w:themeColor="text1"/>
            </w:tcBorders>
            <w:vAlign w:val="center"/>
          </w:tcPr>
          <w:p w14:paraId="67276279" w14:textId="52AB4FF8" w:rsidR="00521F25" w:rsidRPr="00F6205B" w:rsidRDefault="00AE10CC" w:rsidP="00521F25">
            <w:pPr>
              <w:keepNext/>
              <w:keepLines/>
              <w:tabs>
                <w:tab w:val="decimal" w:pos="358"/>
              </w:tabs>
              <w:contextualSpacing/>
              <w:jc w:val="center"/>
              <w:rPr>
                <w:sz w:val="20"/>
                <w:szCs w:val="20"/>
              </w:rPr>
            </w:pPr>
            <w:r w:rsidRPr="00F6205B">
              <w:rPr>
                <w:sz w:val="20"/>
                <w:szCs w:val="20"/>
              </w:rPr>
              <w:t>17%</w:t>
            </w:r>
          </w:p>
        </w:tc>
        <w:tc>
          <w:tcPr>
            <w:tcW w:w="1102" w:type="dxa"/>
            <w:tcBorders>
              <w:bottom w:val="single" w:sz="4" w:space="0" w:color="000000" w:themeColor="text1"/>
              <w:right w:val="single" w:sz="4" w:space="0" w:color="000000" w:themeColor="text1"/>
            </w:tcBorders>
            <w:vAlign w:val="center"/>
          </w:tcPr>
          <w:p w14:paraId="2E216EE6" w14:textId="2F54E6CF" w:rsidR="00521F25" w:rsidRPr="00F6205B" w:rsidRDefault="00521F25" w:rsidP="00521F25">
            <w:pPr>
              <w:keepNext/>
              <w:keepLines/>
              <w:tabs>
                <w:tab w:val="decimal" w:pos="358"/>
              </w:tabs>
              <w:contextualSpacing/>
              <w:jc w:val="center"/>
              <w:rPr>
                <w:sz w:val="20"/>
                <w:szCs w:val="20"/>
              </w:rPr>
            </w:pPr>
            <w:r w:rsidRPr="00F6205B">
              <w:rPr>
                <w:sz w:val="20"/>
                <w:szCs w:val="20"/>
              </w:rPr>
              <w:t>--</w:t>
            </w:r>
          </w:p>
        </w:tc>
        <w:tc>
          <w:tcPr>
            <w:tcW w:w="1103" w:type="dxa"/>
            <w:tcBorders>
              <w:bottom w:val="single" w:sz="4" w:space="0" w:color="000000" w:themeColor="text1"/>
              <w:right w:val="single" w:sz="4" w:space="0" w:color="000000" w:themeColor="text1"/>
            </w:tcBorders>
            <w:vAlign w:val="center"/>
          </w:tcPr>
          <w:p w14:paraId="53A82C1E" w14:textId="66EF8F0C" w:rsidR="00521F25" w:rsidRPr="00F6205B" w:rsidRDefault="00521F25" w:rsidP="00521F25">
            <w:pPr>
              <w:keepNext/>
              <w:keepLines/>
              <w:tabs>
                <w:tab w:val="decimal" w:pos="339"/>
              </w:tabs>
              <w:contextualSpacing/>
              <w:jc w:val="center"/>
              <w:rPr>
                <w:sz w:val="20"/>
                <w:szCs w:val="20"/>
              </w:rPr>
            </w:pPr>
            <w:r w:rsidRPr="00F6205B">
              <w:rPr>
                <w:sz w:val="20"/>
                <w:szCs w:val="20"/>
              </w:rPr>
              <w:t>--</w:t>
            </w:r>
          </w:p>
        </w:tc>
        <w:tc>
          <w:tcPr>
            <w:tcW w:w="1102" w:type="dxa"/>
            <w:tcBorders>
              <w:bottom w:val="single" w:sz="4" w:space="0" w:color="000000" w:themeColor="text1"/>
              <w:right w:val="single" w:sz="4" w:space="0" w:color="000000" w:themeColor="text1"/>
            </w:tcBorders>
            <w:vAlign w:val="center"/>
          </w:tcPr>
          <w:p w14:paraId="75B16E6F" w14:textId="24438F68" w:rsidR="00521F25" w:rsidRPr="00F6205B" w:rsidRDefault="00521F25" w:rsidP="00521F25">
            <w:pPr>
              <w:keepNext/>
              <w:keepLines/>
              <w:tabs>
                <w:tab w:val="decimal" w:pos="395"/>
              </w:tabs>
              <w:contextualSpacing/>
              <w:jc w:val="center"/>
              <w:rPr>
                <w:sz w:val="20"/>
                <w:szCs w:val="20"/>
              </w:rPr>
            </w:pPr>
            <w:r w:rsidRPr="00F6205B">
              <w:rPr>
                <w:sz w:val="20"/>
                <w:szCs w:val="20"/>
              </w:rPr>
              <w:t>--</w:t>
            </w:r>
          </w:p>
        </w:tc>
        <w:tc>
          <w:tcPr>
            <w:tcW w:w="1103" w:type="dxa"/>
            <w:tcBorders>
              <w:left w:val="single" w:sz="4" w:space="0" w:color="000000" w:themeColor="text1"/>
              <w:bottom w:val="single" w:sz="4" w:space="0" w:color="000000" w:themeColor="text1"/>
              <w:right w:val="single" w:sz="4" w:space="0" w:color="auto"/>
            </w:tcBorders>
            <w:vAlign w:val="center"/>
          </w:tcPr>
          <w:p w14:paraId="32E69BF9" w14:textId="6410BC50" w:rsidR="00521F25" w:rsidRPr="00F6205B" w:rsidRDefault="00521F25" w:rsidP="00521F25">
            <w:pPr>
              <w:keepNext/>
              <w:keepLines/>
              <w:tabs>
                <w:tab w:val="decimal" w:pos="631"/>
              </w:tabs>
              <w:contextualSpacing/>
              <w:jc w:val="center"/>
              <w:rPr>
                <w:sz w:val="20"/>
                <w:szCs w:val="20"/>
              </w:rPr>
            </w:pPr>
            <w:r w:rsidRPr="00F6205B">
              <w:rPr>
                <w:sz w:val="20"/>
                <w:szCs w:val="20"/>
              </w:rPr>
              <w:t>1,980.7</w:t>
            </w:r>
          </w:p>
        </w:tc>
      </w:tr>
      <w:tr w:rsidR="00521F25" w:rsidRPr="00F6205B" w14:paraId="0A522C1A" w14:textId="77777777" w:rsidTr="00AD52C1">
        <w:trPr>
          <w:trHeight w:val="288"/>
          <w:jc w:val="center"/>
        </w:trPr>
        <w:tc>
          <w:tcPr>
            <w:tcW w:w="2069" w:type="dxa"/>
            <w:tcBorders>
              <w:top w:val="single" w:sz="4" w:space="0" w:color="000000" w:themeColor="text1"/>
              <w:left w:val="single" w:sz="4" w:space="0" w:color="auto"/>
              <w:bottom w:val="single" w:sz="4" w:space="0" w:color="auto"/>
              <w:right w:val="single" w:sz="4" w:space="0" w:color="000000" w:themeColor="text1"/>
            </w:tcBorders>
            <w:vAlign w:val="center"/>
          </w:tcPr>
          <w:p w14:paraId="4BE0E0B6" w14:textId="77777777" w:rsidR="00521F25" w:rsidRPr="00F6205B" w:rsidRDefault="00521F25" w:rsidP="004F23CF">
            <w:pPr>
              <w:keepNext/>
              <w:keepLines/>
              <w:contextualSpacing/>
              <w:rPr>
                <w:i/>
                <w:sz w:val="20"/>
                <w:szCs w:val="20"/>
              </w:rPr>
            </w:pPr>
            <w:r w:rsidRPr="00F6205B">
              <w:rPr>
                <w:i/>
                <w:sz w:val="20"/>
                <w:szCs w:val="20"/>
              </w:rPr>
              <w:t>Total</w:t>
            </w:r>
          </w:p>
        </w:tc>
        <w:tc>
          <w:tcPr>
            <w:tcW w:w="1187" w:type="dxa"/>
            <w:tcBorders>
              <w:top w:val="single" w:sz="4" w:space="0" w:color="000000" w:themeColor="text1"/>
              <w:bottom w:val="single" w:sz="4" w:space="0" w:color="auto"/>
            </w:tcBorders>
            <w:vAlign w:val="center"/>
          </w:tcPr>
          <w:p w14:paraId="3EF73924" w14:textId="42398755" w:rsidR="00521F25" w:rsidRPr="00F6205B" w:rsidRDefault="00AE10CC" w:rsidP="00521F25">
            <w:pPr>
              <w:keepNext/>
              <w:keepLines/>
              <w:tabs>
                <w:tab w:val="decimal" w:pos="358"/>
              </w:tabs>
              <w:contextualSpacing/>
              <w:jc w:val="center"/>
              <w:rPr>
                <w:i/>
                <w:sz w:val="20"/>
                <w:szCs w:val="20"/>
              </w:rPr>
            </w:pPr>
            <w:r w:rsidRPr="00F6205B">
              <w:rPr>
                <w:i/>
                <w:sz w:val="20"/>
                <w:szCs w:val="20"/>
              </w:rPr>
              <w:t>100%</w:t>
            </w:r>
          </w:p>
        </w:tc>
        <w:tc>
          <w:tcPr>
            <w:tcW w:w="1102" w:type="dxa"/>
            <w:tcBorders>
              <w:top w:val="single" w:sz="4" w:space="0" w:color="000000" w:themeColor="text1"/>
              <w:bottom w:val="single" w:sz="4" w:space="0" w:color="auto"/>
              <w:right w:val="single" w:sz="4" w:space="0" w:color="000000" w:themeColor="text1"/>
            </w:tcBorders>
            <w:vAlign w:val="center"/>
          </w:tcPr>
          <w:p w14:paraId="0D198175" w14:textId="6CF99C8A" w:rsidR="00521F25" w:rsidRPr="00F6205B" w:rsidRDefault="00521F25" w:rsidP="00521F25">
            <w:pPr>
              <w:keepNext/>
              <w:keepLines/>
              <w:tabs>
                <w:tab w:val="decimal" w:pos="358"/>
              </w:tabs>
              <w:contextualSpacing/>
              <w:jc w:val="center"/>
              <w:rPr>
                <w:i/>
                <w:sz w:val="20"/>
                <w:szCs w:val="20"/>
              </w:rPr>
            </w:pPr>
            <w:r w:rsidRPr="00F6205B">
              <w:rPr>
                <w:i/>
                <w:sz w:val="20"/>
                <w:szCs w:val="20"/>
              </w:rPr>
              <w:t>155.1</w:t>
            </w:r>
          </w:p>
        </w:tc>
        <w:tc>
          <w:tcPr>
            <w:tcW w:w="1103" w:type="dxa"/>
            <w:tcBorders>
              <w:top w:val="single" w:sz="4" w:space="0" w:color="000000" w:themeColor="text1"/>
              <w:bottom w:val="single" w:sz="4" w:space="0" w:color="auto"/>
              <w:right w:val="single" w:sz="4" w:space="0" w:color="000000" w:themeColor="text1"/>
            </w:tcBorders>
            <w:vAlign w:val="center"/>
          </w:tcPr>
          <w:p w14:paraId="26882917" w14:textId="4073CD0F" w:rsidR="00521F25" w:rsidRPr="00F6205B" w:rsidRDefault="00521F25" w:rsidP="00521F25">
            <w:pPr>
              <w:keepNext/>
              <w:keepLines/>
              <w:tabs>
                <w:tab w:val="decimal" w:pos="339"/>
              </w:tabs>
              <w:contextualSpacing/>
              <w:jc w:val="center"/>
              <w:rPr>
                <w:i/>
                <w:sz w:val="20"/>
                <w:szCs w:val="20"/>
              </w:rPr>
            </w:pPr>
            <w:r w:rsidRPr="00F6205B">
              <w:rPr>
                <w:i/>
                <w:sz w:val="20"/>
                <w:szCs w:val="20"/>
              </w:rPr>
              <w:t>92.1</w:t>
            </w:r>
          </w:p>
        </w:tc>
        <w:tc>
          <w:tcPr>
            <w:tcW w:w="1102" w:type="dxa"/>
            <w:tcBorders>
              <w:top w:val="single" w:sz="4" w:space="0" w:color="000000" w:themeColor="text1"/>
              <w:bottom w:val="single" w:sz="4" w:space="0" w:color="auto"/>
              <w:right w:val="single" w:sz="4" w:space="0" w:color="000000" w:themeColor="text1"/>
            </w:tcBorders>
            <w:vAlign w:val="center"/>
          </w:tcPr>
          <w:p w14:paraId="509D2B0D" w14:textId="0E667396" w:rsidR="00521F25" w:rsidRPr="00F6205B" w:rsidRDefault="00521F25" w:rsidP="00521F25">
            <w:pPr>
              <w:keepNext/>
              <w:keepLines/>
              <w:tabs>
                <w:tab w:val="decimal" w:pos="395"/>
              </w:tabs>
              <w:contextualSpacing/>
              <w:jc w:val="center"/>
              <w:rPr>
                <w:i/>
                <w:sz w:val="20"/>
                <w:szCs w:val="20"/>
              </w:rPr>
            </w:pPr>
            <w:r w:rsidRPr="00F6205B">
              <w:rPr>
                <w:i/>
                <w:sz w:val="20"/>
                <w:szCs w:val="20"/>
              </w:rPr>
              <w:t>7.4</w:t>
            </w:r>
          </w:p>
        </w:tc>
        <w:tc>
          <w:tcPr>
            <w:tcW w:w="1103" w:type="dxa"/>
            <w:tcBorders>
              <w:top w:val="single" w:sz="4" w:space="0" w:color="000000" w:themeColor="text1"/>
              <w:left w:val="single" w:sz="4" w:space="0" w:color="000000" w:themeColor="text1"/>
              <w:bottom w:val="single" w:sz="4" w:space="0" w:color="auto"/>
              <w:right w:val="single" w:sz="4" w:space="0" w:color="auto"/>
            </w:tcBorders>
            <w:vAlign w:val="center"/>
          </w:tcPr>
          <w:p w14:paraId="38896771" w14:textId="3C8B96B6" w:rsidR="00521F25" w:rsidRPr="00F6205B" w:rsidRDefault="00521F25" w:rsidP="00521F25">
            <w:pPr>
              <w:keepNext/>
              <w:keepLines/>
              <w:tabs>
                <w:tab w:val="decimal" w:pos="631"/>
              </w:tabs>
              <w:contextualSpacing/>
              <w:jc w:val="center"/>
              <w:rPr>
                <w:i/>
                <w:sz w:val="20"/>
                <w:szCs w:val="20"/>
              </w:rPr>
            </w:pPr>
            <w:r w:rsidRPr="00F6205B">
              <w:rPr>
                <w:i/>
                <w:sz w:val="20"/>
                <w:szCs w:val="20"/>
              </w:rPr>
              <w:t>2,582.0</w:t>
            </w:r>
          </w:p>
        </w:tc>
      </w:tr>
    </w:tbl>
    <w:p w14:paraId="0D7290F4" w14:textId="77777777" w:rsidR="00EF60B3" w:rsidRPr="00F6205B" w:rsidRDefault="00EF60B3" w:rsidP="00EF60B3"/>
    <w:p w14:paraId="7F2F9A42" w14:textId="117F4898" w:rsidR="00EF60B3" w:rsidRPr="00F6205B" w:rsidRDefault="00EF60B3" w:rsidP="00EF60B3">
      <w:r w:rsidRPr="00F6205B">
        <w:t>As a percentage of</w:t>
      </w:r>
      <w:r w:rsidR="00B125F9">
        <w:t xml:space="preserve"> overall cost-effective savings—rende</w:t>
      </w:r>
      <w:r w:rsidRPr="00F6205B">
        <w:t>red in MMBtu</w:t>
      </w:r>
      <w:r w:rsidR="00B125F9">
        <w:t xml:space="preserve"> to facilitate direct comparison—</w:t>
      </w:r>
      <w:r w:rsidRPr="00F6205B">
        <w:t>fuel oil is the most sub</w:t>
      </w:r>
      <w:r w:rsidR="00B125F9">
        <w:t xml:space="preserve">stantial contributor to savings, at </w:t>
      </w:r>
      <w:r w:rsidR="006C2782">
        <w:t>54</w:t>
      </w:r>
      <w:r w:rsidRPr="00F6205B">
        <w:t>% of all cost-effective savings (</w:t>
      </w:r>
      <w:r w:rsidR="006539D2" w:rsidRPr="00F6205B">
        <w:fldChar w:fldCharType="begin"/>
      </w:r>
      <w:r w:rsidR="006539D2" w:rsidRPr="00F6205B">
        <w:instrText xml:space="preserve"> REF _Ref439322356 \h </w:instrText>
      </w:r>
      <w:r w:rsidR="00F6205B">
        <w:instrText xml:space="preserve"> \* MERGEFORMAT </w:instrText>
      </w:r>
      <w:r w:rsidR="006539D2" w:rsidRPr="00F6205B">
        <w:fldChar w:fldCharType="separate"/>
      </w:r>
      <w:r w:rsidR="00FA26A9" w:rsidRPr="00F6205B">
        <w:t xml:space="preserve">Table </w:t>
      </w:r>
      <w:r w:rsidR="00FA26A9">
        <w:rPr>
          <w:noProof/>
        </w:rPr>
        <w:t>27</w:t>
      </w:r>
      <w:r w:rsidR="006539D2" w:rsidRPr="00F6205B">
        <w:fldChar w:fldCharType="end"/>
      </w:r>
      <w:r w:rsidRPr="00F6205B">
        <w:t xml:space="preserve">). </w:t>
      </w:r>
      <w:r w:rsidR="006C2782">
        <w:t>About half</w:t>
      </w:r>
      <w:r w:rsidRPr="00F6205B">
        <w:t xml:space="preserve"> (</w:t>
      </w:r>
      <w:r w:rsidR="006C2782">
        <w:t>49</w:t>
      </w:r>
      <w:r w:rsidRPr="00F6205B">
        <w:t>%) of all cost-effective savings are attributable to fuel oil at the heat</w:t>
      </w:r>
      <w:r w:rsidR="00B125F9">
        <w:t>ing end use alone.</w:t>
      </w:r>
    </w:p>
    <w:p w14:paraId="603DC9F7" w14:textId="60D585AE" w:rsidR="00EF60B3" w:rsidRPr="00F6205B" w:rsidRDefault="00EF60B3" w:rsidP="004F23CF">
      <w:pPr>
        <w:pStyle w:val="Caption"/>
      </w:pPr>
      <w:bookmarkStart w:id="271" w:name="_Ref391026993"/>
      <w:bookmarkStart w:id="272" w:name="_Ref439322356"/>
      <w:bookmarkStart w:id="273" w:name="_Toc391887363"/>
      <w:bookmarkStart w:id="274" w:name="_Toc439931858"/>
      <w:r w:rsidRPr="00F6205B">
        <w:t>Table</w:t>
      </w:r>
      <w:bookmarkEnd w:id="271"/>
      <w:r w:rsidR="004F23CF" w:rsidRPr="00F6205B">
        <w:t xml:space="preserve"> </w:t>
      </w:r>
      <w:fldSimple w:instr=" SEQ Table \* ARABIC ">
        <w:r w:rsidR="00FA26A9">
          <w:rPr>
            <w:noProof/>
          </w:rPr>
          <w:t>27</w:t>
        </w:r>
      </w:fldSimple>
      <w:bookmarkEnd w:id="272"/>
      <w:r w:rsidRPr="00F6205B">
        <w:t xml:space="preserve">: Cost-Effective Savings Potential by End Use </w:t>
      </w:r>
      <w:r w:rsidR="00E77EBD" w:rsidRPr="00F6205B">
        <w:t>as a</w:t>
      </w:r>
      <w:r w:rsidRPr="00F6205B">
        <w:t xml:space="preserve"> Percentage of Overall Savings in MMBtu —First Year</w:t>
      </w:r>
      <w:bookmarkEnd w:id="273"/>
      <w:bookmarkEnd w:id="274"/>
    </w:p>
    <w:p w14:paraId="65312993" w14:textId="77777777" w:rsidR="00346A82" w:rsidRPr="00F6205B" w:rsidRDefault="00346A82" w:rsidP="00346A82">
      <w:pPr>
        <w:pStyle w:val="Caption"/>
        <w:spacing w:before="0" w:after="120"/>
        <w:rPr>
          <w:b w:val="0"/>
          <w:bCs w:val="0"/>
          <w:sz w:val="18"/>
        </w:rPr>
      </w:pPr>
      <w:r w:rsidRPr="00F6205B">
        <w:rPr>
          <w:b w:val="0"/>
          <w:bCs w:val="0"/>
          <w:sz w:val="18"/>
        </w:rPr>
        <w:t>Base: all single-family homes (population-weighted)</w:t>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1965"/>
        <w:gridCol w:w="1099"/>
        <w:gridCol w:w="1099"/>
        <w:gridCol w:w="1099"/>
        <w:gridCol w:w="1099"/>
        <w:gridCol w:w="1159"/>
      </w:tblGrid>
      <w:tr w:rsidR="005D6FBB" w:rsidRPr="00F6205B" w14:paraId="7E1FD6B6" w14:textId="77777777" w:rsidTr="0030261F">
        <w:trPr>
          <w:trHeight w:val="288"/>
          <w:jc w:val="center"/>
        </w:trPr>
        <w:tc>
          <w:tcPr>
            <w:tcW w:w="1965" w:type="dxa"/>
            <w:tcBorders>
              <w:top w:val="single" w:sz="4" w:space="0" w:color="auto"/>
              <w:left w:val="single" w:sz="4" w:space="0" w:color="auto"/>
              <w:bottom w:val="single" w:sz="4" w:space="0" w:color="auto"/>
              <w:right w:val="single" w:sz="4" w:space="0" w:color="000000" w:themeColor="text1"/>
            </w:tcBorders>
            <w:shd w:val="clear" w:color="auto" w:fill="0B4D2C" w:themeFill="background2" w:themeFillShade="BF"/>
            <w:vAlign w:val="center"/>
          </w:tcPr>
          <w:p w14:paraId="08FE40D1" w14:textId="77777777" w:rsidR="005D6FBB" w:rsidRPr="00F6205B" w:rsidRDefault="005D6FBB" w:rsidP="004F23CF">
            <w:pPr>
              <w:keepNext/>
              <w:keepLines/>
              <w:spacing w:after="0"/>
              <w:contextualSpacing/>
              <w:rPr>
                <w:b/>
                <w:sz w:val="20"/>
                <w:szCs w:val="20"/>
              </w:rPr>
            </w:pPr>
            <w:r w:rsidRPr="00F6205B">
              <w:rPr>
                <w:b/>
                <w:sz w:val="20"/>
                <w:szCs w:val="20"/>
              </w:rPr>
              <w:t>End Use</w:t>
            </w:r>
          </w:p>
        </w:tc>
        <w:tc>
          <w:tcPr>
            <w:tcW w:w="1099" w:type="dxa"/>
            <w:tcBorders>
              <w:top w:val="single" w:sz="4" w:space="0" w:color="auto"/>
              <w:bottom w:val="single" w:sz="4" w:space="0" w:color="auto"/>
            </w:tcBorders>
            <w:shd w:val="clear" w:color="auto" w:fill="0B4D2C" w:themeFill="background2" w:themeFillShade="BF"/>
            <w:vAlign w:val="center"/>
          </w:tcPr>
          <w:p w14:paraId="505FAF8A" w14:textId="2E04C7E2" w:rsidR="005D6FBB" w:rsidRPr="00F6205B" w:rsidRDefault="005D6FBB" w:rsidP="004F23CF">
            <w:pPr>
              <w:keepNext/>
              <w:keepLines/>
              <w:spacing w:after="0"/>
              <w:contextualSpacing/>
              <w:jc w:val="center"/>
              <w:rPr>
                <w:b/>
                <w:sz w:val="20"/>
                <w:szCs w:val="20"/>
              </w:rPr>
            </w:pPr>
            <w:r w:rsidRPr="00F6205B">
              <w:rPr>
                <w:b/>
                <w:sz w:val="20"/>
                <w:szCs w:val="20"/>
              </w:rPr>
              <w:t>End Use Percent</w:t>
            </w:r>
          </w:p>
        </w:tc>
        <w:tc>
          <w:tcPr>
            <w:tcW w:w="1099" w:type="dxa"/>
            <w:tcBorders>
              <w:top w:val="single" w:sz="4" w:space="0" w:color="auto"/>
              <w:bottom w:val="single" w:sz="4" w:space="0" w:color="auto"/>
              <w:right w:val="single" w:sz="4" w:space="0" w:color="000000" w:themeColor="text1"/>
            </w:tcBorders>
            <w:shd w:val="clear" w:color="auto" w:fill="0B4D2C" w:themeFill="background2" w:themeFillShade="BF"/>
            <w:vAlign w:val="center"/>
          </w:tcPr>
          <w:p w14:paraId="1D094973" w14:textId="2C3C9BE0" w:rsidR="005D6FBB" w:rsidRPr="00F6205B" w:rsidRDefault="0030261F" w:rsidP="004F23CF">
            <w:pPr>
              <w:keepNext/>
              <w:keepLines/>
              <w:spacing w:after="0"/>
              <w:contextualSpacing/>
              <w:jc w:val="center"/>
              <w:rPr>
                <w:b/>
                <w:sz w:val="20"/>
                <w:szCs w:val="20"/>
              </w:rPr>
            </w:pPr>
            <w:r w:rsidRPr="00F6205B">
              <w:rPr>
                <w:b/>
                <w:sz w:val="20"/>
                <w:szCs w:val="20"/>
              </w:rPr>
              <w:t xml:space="preserve">Fuel </w:t>
            </w:r>
            <w:r w:rsidR="005D6FBB" w:rsidRPr="00F6205B">
              <w:rPr>
                <w:b/>
                <w:sz w:val="20"/>
                <w:szCs w:val="20"/>
              </w:rPr>
              <w:t>Oil</w:t>
            </w:r>
          </w:p>
        </w:tc>
        <w:tc>
          <w:tcPr>
            <w:tcW w:w="1099" w:type="dxa"/>
            <w:tcBorders>
              <w:top w:val="single" w:sz="4" w:space="0" w:color="auto"/>
              <w:bottom w:val="single" w:sz="4" w:space="0" w:color="auto"/>
              <w:right w:val="single" w:sz="4" w:space="0" w:color="000000" w:themeColor="text1"/>
            </w:tcBorders>
            <w:shd w:val="clear" w:color="auto" w:fill="0B4D2C" w:themeFill="background2" w:themeFillShade="BF"/>
            <w:vAlign w:val="center"/>
          </w:tcPr>
          <w:p w14:paraId="08538B1C" w14:textId="0909C607" w:rsidR="005D6FBB" w:rsidRPr="00F6205B" w:rsidRDefault="0030261F" w:rsidP="004F23CF">
            <w:pPr>
              <w:keepNext/>
              <w:keepLines/>
              <w:spacing w:after="0"/>
              <w:contextualSpacing/>
              <w:jc w:val="center"/>
              <w:rPr>
                <w:b/>
                <w:sz w:val="20"/>
                <w:szCs w:val="20"/>
              </w:rPr>
            </w:pPr>
            <w:r w:rsidRPr="00F6205B">
              <w:rPr>
                <w:b/>
                <w:sz w:val="20"/>
                <w:szCs w:val="20"/>
              </w:rPr>
              <w:t>Natural Gas</w:t>
            </w:r>
          </w:p>
        </w:tc>
        <w:tc>
          <w:tcPr>
            <w:tcW w:w="1099" w:type="dxa"/>
            <w:tcBorders>
              <w:top w:val="single" w:sz="4" w:space="0" w:color="auto"/>
              <w:bottom w:val="single" w:sz="4" w:space="0" w:color="auto"/>
              <w:right w:val="single" w:sz="4" w:space="0" w:color="000000" w:themeColor="text1"/>
            </w:tcBorders>
            <w:shd w:val="clear" w:color="auto" w:fill="0B4D2C" w:themeFill="background2" w:themeFillShade="BF"/>
            <w:vAlign w:val="center"/>
          </w:tcPr>
          <w:p w14:paraId="080C6BD8" w14:textId="565E244A" w:rsidR="005D6FBB" w:rsidRPr="00F6205B" w:rsidRDefault="0030261F" w:rsidP="004F23CF">
            <w:pPr>
              <w:keepNext/>
              <w:keepLines/>
              <w:spacing w:after="0"/>
              <w:contextualSpacing/>
              <w:jc w:val="center"/>
              <w:rPr>
                <w:b/>
                <w:sz w:val="20"/>
                <w:szCs w:val="20"/>
              </w:rPr>
            </w:pPr>
            <w:r w:rsidRPr="00F6205B">
              <w:rPr>
                <w:b/>
                <w:sz w:val="20"/>
                <w:szCs w:val="20"/>
              </w:rPr>
              <w:t>Propane</w:t>
            </w:r>
          </w:p>
        </w:tc>
        <w:tc>
          <w:tcPr>
            <w:tcW w:w="1159" w:type="dxa"/>
            <w:tcBorders>
              <w:top w:val="single" w:sz="4" w:space="0" w:color="auto"/>
              <w:left w:val="single" w:sz="4" w:space="0" w:color="000000" w:themeColor="text1"/>
              <w:bottom w:val="single" w:sz="4" w:space="0" w:color="auto"/>
              <w:right w:val="single" w:sz="4" w:space="0" w:color="auto"/>
            </w:tcBorders>
            <w:shd w:val="clear" w:color="auto" w:fill="0B4D2C" w:themeFill="background2" w:themeFillShade="BF"/>
            <w:vAlign w:val="center"/>
          </w:tcPr>
          <w:p w14:paraId="5F91F98F" w14:textId="4098518C" w:rsidR="005D6FBB" w:rsidRPr="00F6205B" w:rsidRDefault="005D6FBB" w:rsidP="004F23CF">
            <w:pPr>
              <w:keepNext/>
              <w:keepLines/>
              <w:spacing w:after="0"/>
              <w:contextualSpacing/>
              <w:jc w:val="center"/>
              <w:rPr>
                <w:b/>
                <w:sz w:val="20"/>
                <w:szCs w:val="20"/>
              </w:rPr>
            </w:pPr>
            <w:r w:rsidRPr="00F6205B">
              <w:rPr>
                <w:b/>
                <w:sz w:val="20"/>
                <w:szCs w:val="20"/>
              </w:rPr>
              <w:t>Electric</w:t>
            </w:r>
          </w:p>
        </w:tc>
      </w:tr>
      <w:tr w:rsidR="005D6FBB" w:rsidRPr="00F6205B" w14:paraId="2D4E4D6A" w14:textId="77777777" w:rsidTr="009B2F6D">
        <w:trPr>
          <w:trHeight w:val="288"/>
          <w:jc w:val="center"/>
        </w:trPr>
        <w:tc>
          <w:tcPr>
            <w:tcW w:w="1965" w:type="dxa"/>
            <w:tcBorders>
              <w:top w:val="single" w:sz="4" w:space="0" w:color="auto"/>
              <w:left w:val="single" w:sz="4" w:space="0" w:color="auto"/>
              <w:right w:val="single" w:sz="4" w:space="0" w:color="000000" w:themeColor="text1"/>
            </w:tcBorders>
            <w:vAlign w:val="center"/>
          </w:tcPr>
          <w:p w14:paraId="267CF64F" w14:textId="77777777" w:rsidR="005D6FBB" w:rsidRPr="00F6205B" w:rsidRDefault="005D6FBB" w:rsidP="004F23CF">
            <w:pPr>
              <w:keepNext/>
              <w:keepLines/>
              <w:spacing w:after="0"/>
              <w:contextualSpacing/>
              <w:rPr>
                <w:sz w:val="20"/>
                <w:szCs w:val="20"/>
              </w:rPr>
            </w:pPr>
            <w:r w:rsidRPr="00F6205B">
              <w:rPr>
                <w:sz w:val="20"/>
                <w:szCs w:val="20"/>
              </w:rPr>
              <w:t>Heating</w:t>
            </w:r>
          </w:p>
        </w:tc>
        <w:tc>
          <w:tcPr>
            <w:tcW w:w="1099" w:type="dxa"/>
            <w:tcBorders>
              <w:top w:val="single" w:sz="4" w:space="0" w:color="auto"/>
            </w:tcBorders>
            <w:vAlign w:val="center"/>
          </w:tcPr>
          <w:p w14:paraId="3FE03E16" w14:textId="0D48720D" w:rsidR="005D6FBB" w:rsidRPr="00F6205B" w:rsidRDefault="005D6FBB" w:rsidP="004F23CF">
            <w:pPr>
              <w:keepNext/>
              <w:keepLines/>
              <w:tabs>
                <w:tab w:val="decimal" w:pos="358"/>
              </w:tabs>
              <w:spacing w:after="0"/>
              <w:contextualSpacing/>
              <w:jc w:val="center"/>
              <w:rPr>
                <w:sz w:val="20"/>
                <w:szCs w:val="20"/>
              </w:rPr>
            </w:pPr>
            <w:r w:rsidRPr="00F6205B">
              <w:rPr>
                <w:sz w:val="20"/>
                <w:szCs w:val="20"/>
              </w:rPr>
              <w:t>72%</w:t>
            </w:r>
          </w:p>
        </w:tc>
        <w:tc>
          <w:tcPr>
            <w:tcW w:w="1099" w:type="dxa"/>
            <w:tcBorders>
              <w:top w:val="single" w:sz="4" w:space="0" w:color="auto"/>
              <w:right w:val="single" w:sz="4" w:space="0" w:color="000000" w:themeColor="text1"/>
            </w:tcBorders>
            <w:vAlign w:val="center"/>
          </w:tcPr>
          <w:p w14:paraId="230207A6" w14:textId="01DE1535" w:rsidR="005D6FBB" w:rsidRPr="00F6205B" w:rsidRDefault="005D6FBB" w:rsidP="004F23CF">
            <w:pPr>
              <w:keepNext/>
              <w:keepLines/>
              <w:tabs>
                <w:tab w:val="decimal" w:pos="358"/>
              </w:tabs>
              <w:spacing w:after="0"/>
              <w:contextualSpacing/>
              <w:jc w:val="center"/>
              <w:rPr>
                <w:sz w:val="20"/>
                <w:szCs w:val="20"/>
              </w:rPr>
            </w:pPr>
            <w:r w:rsidRPr="00F6205B">
              <w:rPr>
                <w:sz w:val="20"/>
                <w:szCs w:val="20"/>
              </w:rPr>
              <w:t>49%</w:t>
            </w:r>
          </w:p>
        </w:tc>
        <w:tc>
          <w:tcPr>
            <w:tcW w:w="1099" w:type="dxa"/>
            <w:tcBorders>
              <w:top w:val="single" w:sz="4" w:space="0" w:color="auto"/>
              <w:right w:val="single" w:sz="4" w:space="0" w:color="000000" w:themeColor="text1"/>
            </w:tcBorders>
            <w:vAlign w:val="center"/>
          </w:tcPr>
          <w:p w14:paraId="1FEC21B4" w14:textId="0F5D6297" w:rsidR="005D6FBB" w:rsidRPr="00F6205B" w:rsidRDefault="005D6FBB" w:rsidP="004F23CF">
            <w:pPr>
              <w:keepNext/>
              <w:keepLines/>
              <w:tabs>
                <w:tab w:val="decimal" w:pos="339"/>
              </w:tabs>
              <w:spacing w:after="0"/>
              <w:contextualSpacing/>
              <w:jc w:val="center"/>
              <w:rPr>
                <w:sz w:val="20"/>
                <w:szCs w:val="20"/>
              </w:rPr>
            </w:pPr>
            <w:r w:rsidRPr="00F6205B">
              <w:rPr>
                <w:sz w:val="20"/>
                <w:szCs w:val="20"/>
              </w:rPr>
              <w:t>21%</w:t>
            </w:r>
          </w:p>
        </w:tc>
        <w:tc>
          <w:tcPr>
            <w:tcW w:w="1099" w:type="dxa"/>
            <w:tcBorders>
              <w:top w:val="single" w:sz="4" w:space="0" w:color="auto"/>
              <w:right w:val="single" w:sz="4" w:space="0" w:color="000000" w:themeColor="text1"/>
            </w:tcBorders>
            <w:vAlign w:val="center"/>
          </w:tcPr>
          <w:p w14:paraId="40D5CB49" w14:textId="26236ED3" w:rsidR="005D6FBB" w:rsidRPr="00F6205B" w:rsidRDefault="005D6FBB" w:rsidP="004F23CF">
            <w:pPr>
              <w:keepNext/>
              <w:keepLines/>
              <w:tabs>
                <w:tab w:val="decimal" w:pos="395"/>
              </w:tabs>
              <w:spacing w:after="0"/>
              <w:contextualSpacing/>
              <w:jc w:val="center"/>
              <w:rPr>
                <w:sz w:val="20"/>
                <w:szCs w:val="20"/>
              </w:rPr>
            </w:pPr>
            <w:r w:rsidRPr="00F6205B">
              <w:rPr>
                <w:sz w:val="20"/>
                <w:szCs w:val="20"/>
              </w:rPr>
              <w:t>1%</w:t>
            </w:r>
          </w:p>
        </w:tc>
        <w:tc>
          <w:tcPr>
            <w:tcW w:w="1159" w:type="dxa"/>
            <w:tcBorders>
              <w:top w:val="single" w:sz="4" w:space="0" w:color="auto"/>
              <w:left w:val="single" w:sz="4" w:space="0" w:color="000000" w:themeColor="text1"/>
              <w:right w:val="single" w:sz="4" w:space="0" w:color="auto"/>
            </w:tcBorders>
            <w:vAlign w:val="center"/>
          </w:tcPr>
          <w:p w14:paraId="64E481A4" w14:textId="23A63B42" w:rsidR="005D6FBB" w:rsidRPr="00F6205B" w:rsidRDefault="005D6FBB" w:rsidP="004F23CF">
            <w:pPr>
              <w:keepNext/>
              <w:keepLines/>
              <w:tabs>
                <w:tab w:val="decimal" w:pos="361"/>
              </w:tabs>
              <w:spacing w:after="0"/>
              <w:contextualSpacing/>
              <w:jc w:val="center"/>
              <w:rPr>
                <w:sz w:val="20"/>
                <w:szCs w:val="20"/>
              </w:rPr>
            </w:pPr>
            <w:r w:rsidRPr="00F6205B">
              <w:rPr>
                <w:sz w:val="20"/>
                <w:szCs w:val="20"/>
              </w:rPr>
              <w:t>1%</w:t>
            </w:r>
          </w:p>
        </w:tc>
      </w:tr>
      <w:tr w:rsidR="005D6FBB" w:rsidRPr="00F6205B" w14:paraId="5DC442DF" w14:textId="77777777" w:rsidTr="009B2F6D">
        <w:trPr>
          <w:trHeight w:val="288"/>
          <w:jc w:val="center"/>
        </w:trPr>
        <w:tc>
          <w:tcPr>
            <w:tcW w:w="1965" w:type="dxa"/>
            <w:tcBorders>
              <w:left w:val="single" w:sz="4" w:space="0" w:color="auto"/>
              <w:right w:val="single" w:sz="4" w:space="0" w:color="000000" w:themeColor="text1"/>
            </w:tcBorders>
            <w:vAlign w:val="center"/>
          </w:tcPr>
          <w:p w14:paraId="2FFCB75F" w14:textId="77777777" w:rsidR="005D6FBB" w:rsidRPr="00F6205B" w:rsidRDefault="005D6FBB" w:rsidP="004F23CF">
            <w:pPr>
              <w:keepNext/>
              <w:keepLines/>
              <w:spacing w:after="0"/>
              <w:contextualSpacing/>
              <w:rPr>
                <w:sz w:val="20"/>
                <w:szCs w:val="20"/>
              </w:rPr>
            </w:pPr>
            <w:r w:rsidRPr="00F6205B">
              <w:rPr>
                <w:sz w:val="20"/>
                <w:szCs w:val="20"/>
              </w:rPr>
              <w:t>Cooling</w:t>
            </w:r>
          </w:p>
        </w:tc>
        <w:tc>
          <w:tcPr>
            <w:tcW w:w="1099" w:type="dxa"/>
            <w:vAlign w:val="center"/>
          </w:tcPr>
          <w:p w14:paraId="4DDD41DA" w14:textId="180174D8" w:rsidR="005D6FBB" w:rsidRPr="00F6205B" w:rsidRDefault="005D6FBB" w:rsidP="004F23CF">
            <w:pPr>
              <w:keepNext/>
              <w:keepLines/>
              <w:tabs>
                <w:tab w:val="decimal" w:pos="358"/>
              </w:tabs>
              <w:spacing w:after="0"/>
              <w:contextualSpacing/>
              <w:jc w:val="center"/>
              <w:rPr>
                <w:sz w:val="20"/>
                <w:szCs w:val="20"/>
              </w:rPr>
            </w:pPr>
            <w:r w:rsidRPr="00F6205B">
              <w:rPr>
                <w:sz w:val="20"/>
                <w:szCs w:val="20"/>
              </w:rPr>
              <w:t>1%</w:t>
            </w:r>
          </w:p>
        </w:tc>
        <w:tc>
          <w:tcPr>
            <w:tcW w:w="1099" w:type="dxa"/>
            <w:tcBorders>
              <w:right w:val="single" w:sz="4" w:space="0" w:color="000000" w:themeColor="text1"/>
            </w:tcBorders>
            <w:vAlign w:val="center"/>
          </w:tcPr>
          <w:p w14:paraId="0D138584" w14:textId="18BAB5CD" w:rsidR="005D6FBB" w:rsidRPr="00F6205B" w:rsidRDefault="005D6FBB" w:rsidP="004F23CF">
            <w:pPr>
              <w:keepNext/>
              <w:keepLines/>
              <w:tabs>
                <w:tab w:val="decimal" w:pos="358"/>
              </w:tabs>
              <w:spacing w:after="0"/>
              <w:contextualSpacing/>
              <w:jc w:val="center"/>
              <w:rPr>
                <w:sz w:val="20"/>
                <w:szCs w:val="20"/>
              </w:rPr>
            </w:pPr>
            <w:r w:rsidRPr="00F6205B">
              <w:rPr>
                <w:sz w:val="20"/>
                <w:szCs w:val="20"/>
              </w:rPr>
              <w:t>--</w:t>
            </w:r>
          </w:p>
        </w:tc>
        <w:tc>
          <w:tcPr>
            <w:tcW w:w="1099" w:type="dxa"/>
            <w:tcBorders>
              <w:right w:val="single" w:sz="4" w:space="0" w:color="000000" w:themeColor="text1"/>
            </w:tcBorders>
            <w:vAlign w:val="center"/>
          </w:tcPr>
          <w:p w14:paraId="40F5CFCD" w14:textId="77777777" w:rsidR="005D6FBB" w:rsidRPr="00F6205B" w:rsidRDefault="005D6FBB" w:rsidP="004F23CF">
            <w:pPr>
              <w:keepNext/>
              <w:keepLines/>
              <w:tabs>
                <w:tab w:val="decimal" w:pos="339"/>
              </w:tabs>
              <w:spacing w:after="0"/>
              <w:contextualSpacing/>
              <w:jc w:val="center"/>
              <w:rPr>
                <w:sz w:val="20"/>
                <w:szCs w:val="20"/>
              </w:rPr>
            </w:pPr>
            <w:r w:rsidRPr="00F6205B">
              <w:rPr>
                <w:sz w:val="20"/>
                <w:szCs w:val="20"/>
              </w:rPr>
              <w:t>--</w:t>
            </w:r>
          </w:p>
        </w:tc>
        <w:tc>
          <w:tcPr>
            <w:tcW w:w="1099" w:type="dxa"/>
            <w:tcBorders>
              <w:right w:val="single" w:sz="4" w:space="0" w:color="000000" w:themeColor="text1"/>
            </w:tcBorders>
            <w:vAlign w:val="center"/>
          </w:tcPr>
          <w:p w14:paraId="3131C3D0" w14:textId="77777777" w:rsidR="005D6FBB" w:rsidRPr="00F6205B" w:rsidRDefault="005D6FBB" w:rsidP="004F23CF">
            <w:pPr>
              <w:keepNext/>
              <w:keepLines/>
              <w:tabs>
                <w:tab w:val="decimal" w:pos="395"/>
              </w:tabs>
              <w:spacing w:after="0"/>
              <w:contextualSpacing/>
              <w:jc w:val="center"/>
              <w:rPr>
                <w:sz w:val="20"/>
                <w:szCs w:val="20"/>
              </w:rPr>
            </w:pPr>
            <w:r w:rsidRPr="00F6205B">
              <w:rPr>
                <w:sz w:val="20"/>
                <w:szCs w:val="20"/>
              </w:rPr>
              <w:t>--</w:t>
            </w:r>
          </w:p>
        </w:tc>
        <w:tc>
          <w:tcPr>
            <w:tcW w:w="1159" w:type="dxa"/>
            <w:tcBorders>
              <w:left w:val="single" w:sz="4" w:space="0" w:color="000000" w:themeColor="text1"/>
              <w:right w:val="single" w:sz="4" w:space="0" w:color="auto"/>
            </w:tcBorders>
            <w:vAlign w:val="center"/>
          </w:tcPr>
          <w:p w14:paraId="5D31E252" w14:textId="208C230D" w:rsidR="005D6FBB" w:rsidRPr="00F6205B" w:rsidRDefault="005D6FBB" w:rsidP="004F23CF">
            <w:pPr>
              <w:keepNext/>
              <w:keepLines/>
              <w:tabs>
                <w:tab w:val="decimal" w:pos="361"/>
              </w:tabs>
              <w:spacing w:after="0"/>
              <w:contextualSpacing/>
              <w:jc w:val="center"/>
              <w:rPr>
                <w:sz w:val="20"/>
                <w:szCs w:val="20"/>
              </w:rPr>
            </w:pPr>
            <w:r w:rsidRPr="00F6205B">
              <w:rPr>
                <w:sz w:val="20"/>
                <w:szCs w:val="20"/>
              </w:rPr>
              <w:t>1%</w:t>
            </w:r>
          </w:p>
        </w:tc>
      </w:tr>
      <w:tr w:rsidR="005D6FBB" w:rsidRPr="00F6205B" w14:paraId="3E6167C8" w14:textId="77777777" w:rsidTr="009B2F6D">
        <w:trPr>
          <w:trHeight w:val="288"/>
          <w:jc w:val="center"/>
        </w:trPr>
        <w:tc>
          <w:tcPr>
            <w:tcW w:w="1965" w:type="dxa"/>
            <w:tcBorders>
              <w:left w:val="single" w:sz="4" w:space="0" w:color="auto"/>
              <w:right w:val="single" w:sz="4" w:space="0" w:color="000000" w:themeColor="text1"/>
            </w:tcBorders>
            <w:vAlign w:val="center"/>
          </w:tcPr>
          <w:p w14:paraId="4D46521B" w14:textId="77777777" w:rsidR="005D6FBB" w:rsidRPr="00F6205B" w:rsidRDefault="005D6FBB" w:rsidP="004F23CF">
            <w:pPr>
              <w:keepNext/>
              <w:keepLines/>
              <w:spacing w:after="0"/>
              <w:contextualSpacing/>
              <w:rPr>
                <w:sz w:val="20"/>
                <w:szCs w:val="20"/>
              </w:rPr>
            </w:pPr>
            <w:r w:rsidRPr="00F6205B">
              <w:rPr>
                <w:sz w:val="20"/>
                <w:szCs w:val="20"/>
              </w:rPr>
              <w:t>Water heating</w:t>
            </w:r>
          </w:p>
        </w:tc>
        <w:tc>
          <w:tcPr>
            <w:tcW w:w="1099" w:type="dxa"/>
            <w:vAlign w:val="center"/>
          </w:tcPr>
          <w:p w14:paraId="39B6A62A" w14:textId="53871678" w:rsidR="005D6FBB" w:rsidRPr="00F6205B" w:rsidRDefault="005D6FBB" w:rsidP="004F23CF">
            <w:pPr>
              <w:keepNext/>
              <w:keepLines/>
              <w:tabs>
                <w:tab w:val="decimal" w:pos="358"/>
              </w:tabs>
              <w:spacing w:after="0"/>
              <w:contextualSpacing/>
              <w:jc w:val="center"/>
              <w:rPr>
                <w:sz w:val="20"/>
                <w:szCs w:val="20"/>
              </w:rPr>
            </w:pPr>
            <w:r w:rsidRPr="00F6205B">
              <w:rPr>
                <w:sz w:val="20"/>
                <w:szCs w:val="20"/>
              </w:rPr>
              <w:t>10%</w:t>
            </w:r>
          </w:p>
        </w:tc>
        <w:tc>
          <w:tcPr>
            <w:tcW w:w="1099" w:type="dxa"/>
            <w:tcBorders>
              <w:right w:val="single" w:sz="4" w:space="0" w:color="000000" w:themeColor="text1"/>
            </w:tcBorders>
            <w:vAlign w:val="center"/>
          </w:tcPr>
          <w:p w14:paraId="1DC8C1A2" w14:textId="3C3433DE" w:rsidR="005D6FBB" w:rsidRPr="00F6205B" w:rsidRDefault="005D6FBB" w:rsidP="004F23CF">
            <w:pPr>
              <w:keepNext/>
              <w:keepLines/>
              <w:tabs>
                <w:tab w:val="decimal" w:pos="358"/>
              </w:tabs>
              <w:spacing w:after="0"/>
              <w:contextualSpacing/>
              <w:jc w:val="center"/>
              <w:rPr>
                <w:sz w:val="20"/>
                <w:szCs w:val="20"/>
              </w:rPr>
            </w:pPr>
            <w:r w:rsidRPr="00F6205B">
              <w:rPr>
                <w:sz w:val="20"/>
                <w:szCs w:val="20"/>
              </w:rPr>
              <w:t>5%</w:t>
            </w:r>
          </w:p>
        </w:tc>
        <w:tc>
          <w:tcPr>
            <w:tcW w:w="1099" w:type="dxa"/>
            <w:tcBorders>
              <w:right w:val="single" w:sz="4" w:space="0" w:color="000000" w:themeColor="text1"/>
            </w:tcBorders>
            <w:vAlign w:val="center"/>
          </w:tcPr>
          <w:p w14:paraId="39B925F0" w14:textId="36B2D0CD" w:rsidR="005D6FBB" w:rsidRPr="00F6205B" w:rsidRDefault="005D6FBB" w:rsidP="004F23CF">
            <w:pPr>
              <w:keepNext/>
              <w:keepLines/>
              <w:tabs>
                <w:tab w:val="decimal" w:pos="339"/>
              </w:tabs>
              <w:spacing w:after="0"/>
              <w:contextualSpacing/>
              <w:jc w:val="center"/>
              <w:rPr>
                <w:sz w:val="20"/>
                <w:szCs w:val="20"/>
              </w:rPr>
            </w:pPr>
            <w:r w:rsidRPr="00F6205B">
              <w:rPr>
                <w:sz w:val="20"/>
                <w:szCs w:val="20"/>
              </w:rPr>
              <w:t>2%</w:t>
            </w:r>
          </w:p>
        </w:tc>
        <w:tc>
          <w:tcPr>
            <w:tcW w:w="1099" w:type="dxa"/>
            <w:tcBorders>
              <w:right w:val="single" w:sz="4" w:space="0" w:color="000000" w:themeColor="text1"/>
            </w:tcBorders>
            <w:vAlign w:val="center"/>
          </w:tcPr>
          <w:p w14:paraId="0EF149F9" w14:textId="77DBD53D" w:rsidR="005D6FBB" w:rsidRPr="00F6205B" w:rsidRDefault="005D6FBB" w:rsidP="004F23CF">
            <w:pPr>
              <w:keepNext/>
              <w:keepLines/>
              <w:tabs>
                <w:tab w:val="decimal" w:pos="395"/>
              </w:tabs>
              <w:spacing w:after="0"/>
              <w:contextualSpacing/>
              <w:jc w:val="center"/>
              <w:rPr>
                <w:sz w:val="20"/>
                <w:szCs w:val="20"/>
              </w:rPr>
            </w:pPr>
            <w:r w:rsidRPr="00F6205B">
              <w:rPr>
                <w:sz w:val="20"/>
                <w:szCs w:val="20"/>
              </w:rPr>
              <w:t>&lt; 1%</w:t>
            </w:r>
          </w:p>
        </w:tc>
        <w:tc>
          <w:tcPr>
            <w:tcW w:w="1159" w:type="dxa"/>
            <w:tcBorders>
              <w:left w:val="single" w:sz="4" w:space="0" w:color="000000" w:themeColor="text1"/>
              <w:right w:val="single" w:sz="4" w:space="0" w:color="auto"/>
            </w:tcBorders>
            <w:vAlign w:val="center"/>
          </w:tcPr>
          <w:p w14:paraId="59AF8A81" w14:textId="5B43C6BC" w:rsidR="005D6FBB" w:rsidRPr="00F6205B" w:rsidRDefault="005D6FBB" w:rsidP="004F23CF">
            <w:pPr>
              <w:keepNext/>
              <w:keepLines/>
              <w:tabs>
                <w:tab w:val="decimal" w:pos="361"/>
              </w:tabs>
              <w:spacing w:after="0"/>
              <w:contextualSpacing/>
              <w:jc w:val="center"/>
              <w:rPr>
                <w:sz w:val="20"/>
                <w:szCs w:val="20"/>
              </w:rPr>
            </w:pPr>
            <w:r w:rsidRPr="00F6205B">
              <w:rPr>
                <w:sz w:val="20"/>
                <w:szCs w:val="20"/>
              </w:rPr>
              <w:t>2%</w:t>
            </w:r>
          </w:p>
        </w:tc>
      </w:tr>
      <w:tr w:rsidR="005D6FBB" w:rsidRPr="00F6205B" w14:paraId="476164EF" w14:textId="77777777" w:rsidTr="009B2F6D">
        <w:trPr>
          <w:trHeight w:val="288"/>
          <w:jc w:val="center"/>
        </w:trPr>
        <w:tc>
          <w:tcPr>
            <w:tcW w:w="1965" w:type="dxa"/>
            <w:tcBorders>
              <w:left w:val="single" w:sz="4" w:space="0" w:color="auto"/>
              <w:right w:val="single" w:sz="4" w:space="0" w:color="000000" w:themeColor="text1"/>
            </w:tcBorders>
            <w:vAlign w:val="center"/>
          </w:tcPr>
          <w:p w14:paraId="39D7333B" w14:textId="77777777" w:rsidR="005D6FBB" w:rsidRPr="00F6205B" w:rsidRDefault="005D6FBB" w:rsidP="004F23CF">
            <w:pPr>
              <w:keepNext/>
              <w:keepLines/>
              <w:spacing w:after="0"/>
              <w:contextualSpacing/>
              <w:rPr>
                <w:sz w:val="20"/>
                <w:szCs w:val="20"/>
              </w:rPr>
            </w:pPr>
            <w:r w:rsidRPr="00F6205B">
              <w:rPr>
                <w:sz w:val="20"/>
                <w:szCs w:val="20"/>
              </w:rPr>
              <w:t>Lights &amp; appliances</w:t>
            </w:r>
          </w:p>
        </w:tc>
        <w:tc>
          <w:tcPr>
            <w:tcW w:w="1099" w:type="dxa"/>
            <w:vAlign w:val="center"/>
          </w:tcPr>
          <w:p w14:paraId="48267E09" w14:textId="31CB116E" w:rsidR="005D6FBB" w:rsidRPr="00F6205B" w:rsidRDefault="005D6FBB" w:rsidP="004F23CF">
            <w:pPr>
              <w:keepNext/>
              <w:keepLines/>
              <w:tabs>
                <w:tab w:val="decimal" w:pos="358"/>
              </w:tabs>
              <w:spacing w:after="0"/>
              <w:contextualSpacing/>
              <w:jc w:val="center"/>
              <w:rPr>
                <w:sz w:val="20"/>
                <w:szCs w:val="20"/>
              </w:rPr>
            </w:pPr>
            <w:r w:rsidRPr="00F6205B">
              <w:rPr>
                <w:sz w:val="20"/>
                <w:szCs w:val="20"/>
              </w:rPr>
              <w:t>17%</w:t>
            </w:r>
          </w:p>
        </w:tc>
        <w:tc>
          <w:tcPr>
            <w:tcW w:w="1099" w:type="dxa"/>
            <w:tcBorders>
              <w:right w:val="single" w:sz="4" w:space="0" w:color="000000" w:themeColor="text1"/>
            </w:tcBorders>
            <w:vAlign w:val="center"/>
          </w:tcPr>
          <w:p w14:paraId="0FD53488" w14:textId="2F115CEB" w:rsidR="005D6FBB" w:rsidRPr="00F6205B" w:rsidRDefault="005D6FBB" w:rsidP="004F23CF">
            <w:pPr>
              <w:keepNext/>
              <w:keepLines/>
              <w:tabs>
                <w:tab w:val="decimal" w:pos="358"/>
              </w:tabs>
              <w:spacing w:after="0"/>
              <w:contextualSpacing/>
              <w:jc w:val="center"/>
              <w:rPr>
                <w:sz w:val="20"/>
                <w:szCs w:val="20"/>
              </w:rPr>
            </w:pPr>
            <w:r w:rsidRPr="00F6205B">
              <w:rPr>
                <w:sz w:val="20"/>
                <w:szCs w:val="20"/>
              </w:rPr>
              <w:t>--</w:t>
            </w:r>
          </w:p>
        </w:tc>
        <w:tc>
          <w:tcPr>
            <w:tcW w:w="1099" w:type="dxa"/>
            <w:tcBorders>
              <w:right w:val="single" w:sz="4" w:space="0" w:color="000000" w:themeColor="text1"/>
            </w:tcBorders>
            <w:vAlign w:val="center"/>
          </w:tcPr>
          <w:p w14:paraId="014CED92" w14:textId="77777777" w:rsidR="005D6FBB" w:rsidRPr="00F6205B" w:rsidRDefault="005D6FBB" w:rsidP="004F23CF">
            <w:pPr>
              <w:keepNext/>
              <w:keepLines/>
              <w:tabs>
                <w:tab w:val="decimal" w:pos="339"/>
              </w:tabs>
              <w:spacing w:after="0"/>
              <w:contextualSpacing/>
              <w:jc w:val="center"/>
              <w:rPr>
                <w:sz w:val="20"/>
                <w:szCs w:val="20"/>
              </w:rPr>
            </w:pPr>
            <w:r w:rsidRPr="00F6205B">
              <w:rPr>
                <w:sz w:val="20"/>
                <w:szCs w:val="20"/>
              </w:rPr>
              <w:t>--</w:t>
            </w:r>
          </w:p>
        </w:tc>
        <w:tc>
          <w:tcPr>
            <w:tcW w:w="1099" w:type="dxa"/>
            <w:tcBorders>
              <w:right w:val="single" w:sz="4" w:space="0" w:color="000000" w:themeColor="text1"/>
            </w:tcBorders>
            <w:vAlign w:val="center"/>
          </w:tcPr>
          <w:p w14:paraId="7F42BB4C" w14:textId="77777777" w:rsidR="005D6FBB" w:rsidRPr="00F6205B" w:rsidRDefault="005D6FBB" w:rsidP="004F23CF">
            <w:pPr>
              <w:keepNext/>
              <w:keepLines/>
              <w:tabs>
                <w:tab w:val="decimal" w:pos="395"/>
              </w:tabs>
              <w:spacing w:after="0"/>
              <w:contextualSpacing/>
              <w:jc w:val="center"/>
              <w:rPr>
                <w:sz w:val="20"/>
                <w:szCs w:val="20"/>
              </w:rPr>
            </w:pPr>
            <w:r w:rsidRPr="00F6205B">
              <w:rPr>
                <w:sz w:val="20"/>
                <w:szCs w:val="20"/>
              </w:rPr>
              <w:t>--</w:t>
            </w:r>
          </w:p>
        </w:tc>
        <w:tc>
          <w:tcPr>
            <w:tcW w:w="1159" w:type="dxa"/>
            <w:tcBorders>
              <w:left w:val="single" w:sz="4" w:space="0" w:color="000000" w:themeColor="text1"/>
              <w:right w:val="single" w:sz="4" w:space="0" w:color="auto"/>
            </w:tcBorders>
            <w:vAlign w:val="center"/>
          </w:tcPr>
          <w:p w14:paraId="3E185AD5" w14:textId="3D7CBDA3" w:rsidR="005D6FBB" w:rsidRPr="00F6205B" w:rsidRDefault="005D6FBB" w:rsidP="004F23CF">
            <w:pPr>
              <w:keepNext/>
              <w:keepLines/>
              <w:tabs>
                <w:tab w:val="decimal" w:pos="361"/>
              </w:tabs>
              <w:spacing w:after="0"/>
              <w:contextualSpacing/>
              <w:jc w:val="center"/>
              <w:rPr>
                <w:sz w:val="20"/>
                <w:szCs w:val="20"/>
              </w:rPr>
            </w:pPr>
            <w:r w:rsidRPr="00F6205B">
              <w:rPr>
                <w:sz w:val="20"/>
                <w:szCs w:val="20"/>
              </w:rPr>
              <w:t>17%</w:t>
            </w:r>
          </w:p>
        </w:tc>
      </w:tr>
      <w:tr w:rsidR="005D6FBB" w:rsidRPr="00F6205B" w14:paraId="18D2573B" w14:textId="77777777" w:rsidTr="009B2F6D">
        <w:trPr>
          <w:trHeight w:val="288"/>
          <w:jc w:val="center"/>
        </w:trPr>
        <w:tc>
          <w:tcPr>
            <w:tcW w:w="1965" w:type="dxa"/>
            <w:tcBorders>
              <w:top w:val="single" w:sz="4" w:space="0" w:color="000000" w:themeColor="text1"/>
              <w:left w:val="single" w:sz="4" w:space="0" w:color="auto"/>
              <w:bottom w:val="single" w:sz="4" w:space="0" w:color="auto"/>
              <w:right w:val="single" w:sz="4" w:space="0" w:color="000000" w:themeColor="text1"/>
            </w:tcBorders>
            <w:vAlign w:val="center"/>
          </w:tcPr>
          <w:p w14:paraId="7E6A1091" w14:textId="0D4C1859" w:rsidR="005D6FBB" w:rsidRPr="00F6205B" w:rsidRDefault="005D6FBB" w:rsidP="004F23CF">
            <w:pPr>
              <w:keepNext/>
              <w:keepLines/>
              <w:spacing w:after="0"/>
              <w:contextualSpacing/>
              <w:rPr>
                <w:b/>
                <w:sz w:val="20"/>
                <w:szCs w:val="20"/>
              </w:rPr>
            </w:pPr>
            <w:r w:rsidRPr="00F6205B">
              <w:rPr>
                <w:b/>
                <w:sz w:val="20"/>
                <w:szCs w:val="20"/>
              </w:rPr>
              <w:t>Fuel type percent</w:t>
            </w:r>
          </w:p>
        </w:tc>
        <w:tc>
          <w:tcPr>
            <w:tcW w:w="1099" w:type="dxa"/>
            <w:tcBorders>
              <w:top w:val="single" w:sz="4" w:space="0" w:color="000000" w:themeColor="text1"/>
              <w:bottom w:val="single" w:sz="4" w:space="0" w:color="auto"/>
            </w:tcBorders>
            <w:vAlign w:val="center"/>
          </w:tcPr>
          <w:p w14:paraId="1CCE4712" w14:textId="2C1CC762" w:rsidR="005D6FBB" w:rsidRPr="00F6205B" w:rsidRDefault="005D6FBB" w:rsidP="004F23CF">
            <w:pPr>
              <w:keepNext/>
              <w:keepLines/>
              <w:tabs>
                <w:tab w:val="decimal" w:pos="358"/>
              </w:tabs>
              <w:spacing w:after="0"/>
              <w:contextualSpacing/>
              <w:jc w:val="center"/>
              <w:rPr>
                <w:b/>
                <w:sz w:val="20"/>
                <w:szCs w:val="20"/>
              </w:rPr>
            </w:pPr>
            <w:r w:rsidRPr="00F6205B">
              <w:rPr>
                <w:b/>
                <w:sz w:val="20"/>
                <w:szCs w:val="20"/>
              </w:rPr>
              <w:t>100%</w:t>
            </w:r>
          </w:p>
        </w:tc>
        <w:tc>
          <w:tcPr>
            <w:tcW w:w="1099" w:type="dxa"/>
            <w:tcBorders>
              <w:top w:val="single" w:sz="4" w:space="0" w:color="000000" w:themeColor="text1"/>
              <w:bottom w:val="single" w:sz="4" w:space="0" w:color="auto"/>
              <w:right w:val="single" w:sz="4" w:space="0" w:color="000000" w:themeColor="text1"/>
            </w:tcBorders>
            <w:vAlign w:val="center"/>
          </w:tcPr>
          <w:p w14:paraId="460A9285" w14:textId="07BDF0DF" w:rsidR="005D6FBB" w:rsidRPr="00F6205B" w:rsidRDefault="005D6FBB" w:rsidP="004F23CF">
            <w:pPr>
              <w:keepNext/>
              <w:keepLines/>
              <w:tabs>
                <w:tab w:val="decimal" w:pos="358"/>
              </w:tabs>
              <w:spacing w:after="0"/>
              <w:contextualSpacing/>
              <w:jc w:val="center"/>
              <w:rPr>
                <w:b/>
                <w:sz w:val="20"/>
                <w:szCs w:val="20"/>
              </w:rPr>
            </w:pPr>
            <w:r w:rsidRPr="00F6205B">
              <w:rPr>
                <w:b/>
                <w:sz w:val="20"/>
                <w:szCs w:val="20"/>
              </w:rPr>
              <w:t>54%</w:t>
            </w:r>
          </w:p>
        </w:tc>
        <w:tc>
          <w:tcPr>
            <w:tcW w:w="1099" w:type="dxa"/>
            <w:tcBorders>
              <w:top w:val="single" w:sz="4" w:space="0" w:color="000000" w:themeColor="text1"/>
              <w:bottom w:val="single" w:sz="4" w:space="0" w:color="auto"/>
              <w:right w:val="single" w:sz="4" w:space="0" w:color="000000" w:themeColor="text1"/>
            </w:tcBorders>
            <w:vAlign w:val="center"/>
          </w:tcPr>
          <w:p w14:paraId="1EA3DE4C" w14:textId="62927AB7" w:rsidR="005D6FBB" w:rsidRPr="00F6205B" w:rsidRDefault="005D6FBB" w:rsidP="004F23CF">
            <w:pPr>
              <w:keepNext/>
              <w:keepLines/>
              <w:tabs>
                <w:tab w:val="decimal" w:pos="339"/>
              </w:tabs>
              <w:spacing w:after="0"/>
              <w:contextualSpacing/>
              <w:jc w:val="center"/>
              <w:rPr>
                <w:b/>
                <w:sz w:val="20"/>
                <w:szCs w:val="20"/>
              </w:rPr>
            </w:pPr>
            <w:r w:rsidRPr="00F6205B">
              <w:rPr>
                <w:b/>
                <w:sz w:val="20"/>
                <w:szCs w:val="20"/>
              </w:rPr>
              <w:t>23%</w:t>
            </w:r>
          </w:p>
        </w:tc>
        <w:tc>
          <w:tcPr>
            <w:tcW w:w="1099" w:type="dxa"/>
            <w:tcBorders>
              <w:top w:val="single" w:sz="4" w:space="0" w:color="000000" w:themeColor="text1"/>
              <w:bottom w:val="single" w:sz="4" w:space="0" w:color="auto"/>
              <w:right w:val="single" w:sz="4" w:space="0" w:color="000000" w:themeColor="text1"/>
            </w:tcBorders>
            <w:vAlign w:val="center"/>
          </w:tcPr>
          <w:p w14:paraId="0F93C541" w14:textId="4CEAC89E" w:rsidR="005D6FBB" w:rsidRPr="00F6205B" w:rsidRDefault="005D6FBB" w:rsidP="004F23CF">
            <w:pPr>
              <w:keepNext/>
              <w:keepLines/>
              <w:tabs>
                <w:tab w:val="decimal" w:pos="395"/>
              </w:tabs>
              <w:spacing w:after="0"/>
              <w:contextualSpacing/>
              <w:jc w:val="center"/>
              <w:rPr>
                <w:b/>
                <w:sz w:val="20"/>
                <w:szCs w:val="20"/>
              </w:rPr>
            </w:pPr>
            <w:r w:rsidRPr="00F6205B">
              <w:rPr>
                <w:b/>
                <w:sz w:val="20"/>
                <w:szCs w:val="20"/>
              </w:rPr>
              <w:t>2%</w:t>
            </w:r>
          </w:p>
        </w:tc>
        <w:tc>
          <w:tcPr>
            <w:tcW w:w="1159" w:type="dxa"/>
            <w:tcBorders>
              <w:top w:val="single" w:sz="4" w:space="0" w:color="000000" w:themeColor="text1"/>
              <w:left w:val="single" w:sz="4" w:space="0" w:color="000000" w:themeColor="text1"/>
              <w:bottom w:val="single" w:sz="4" w:space="0" w:color="auto"/>
              <w:right w:val="single" w:sz="4" w:space="0" w:color="auto"/>
            </w:tcBorders>
            <w:vAlign w:val="center"/>
          </w:tcPr>
          <w:p w14:paraId="33031892" w14:textId="6DA5E337" w:rsidR="005D6FBB" w:rsidRPr="00F6205B" w:rsidRDefault="005D6FBB" w:rsidP="004F23CF">
            <w:pPr>
              <w:keepNext/>
              <w:keepLines/>
              <w:tabs>
                <w:tab w:val="decimal" w:pos="361"/>
              </w:tabs>
              <w:spacing w:after="0"/>
              <w:contextualSpacing/>
              <w:jc w:val="center"/>
              <w:rPr>
                <w:b/>
                <w:sz w:val="20"/>
                <w:szCs w:val="20"/>
              </w:rPr>
            </w:pPr>
            <w:r w:rsidRPr="00F6205B">
              <w:rPr>
                <w:b/>
                <w:sz w:val="20"/>
                <w:szCs w:val="20"/>
              </w:rPr>
              <w:t>22%</w:t>
            </w:r>
          </w:p>
        </w:tc>
      </w:tr>
    </w:tbl>
    <w:p w14:paraId="58694321" w14:textId="77777777" w:rsidR="00EF60B3" w:rsidRPr="00F6205B" w:rsidRDefault="00EF60B3" w:rsidP="00EF60B3"/>
    <w:p w14:paraId="59413AE1" w14:textId="093D1C63" w:rsidR="00EF60B3" w:rsidRPr="00F6205B" w:rsidRDefault="006539D2" w:rsidP="00EF60B3">
      <w:pPr>
        <w:keepNext/>
      </w:pPr>
      <w:r w:rsidRPr="00F6205B">
        <w:lastRenderedPageBreak/>
        <w:fldChar w:fldCharType="begin"/>
      </w:r>
      <w:r w:rsidRPr="00F6205B">
        <w:instrText xml:space="preserve"> REF _Ref439322369 \h </w:instrText>
      </w:r>
      <w:r w:rsidR="00F6205B">
        <w:instrText xml:space="preserve"> \* MERGEFORMAT </w:instrText>
      </w:r>
      <w:r w:rsidRPr="00F6205B">
        <w:fldChar w:fldCharType="separate"/>
      </w:r>
      <w:r w:rsidR="00FA26A9" w:rsidRPr="00F6205B">
        <w:t xml:space="preserve">Figure </w:t>
      </w:r>
      <w:r w:rsidR="00FA26A9">
        <w:rPr>
          <w:noProof/>
        </w:rPr>
        <w:t>15</w:t>
      </w:r>
      <w:r w:rsidRPr="00F6205B">
        <w:fldChar w:fldCharType="end"/>
      </w:r>
      <w:r w:rsidRPr="00F6205B">
        <w:t xml:space="preserve"> </w:t>
      </w:r>
      <w:r w:rsidR="00B97ABD" w:rsidRPr="00F6205B">
        <w:t>presents</w:t>
      </w:r>
      <w:r w:rsidR="00EF60B3" w:rsidRPr="00F6205B">
        <w:t xml:space="preserve"> information from </w:t>
      </w:r>
      <w:r w:rsidRPr="00F6205B">
        <w:fldChar w:fldCharType="begin"/>
      </w:r>
      <w:r w:rsidRPr="00F6205B">
        <w:instrText xml:space="preserve"> REF _Ref439322356 \h </w:instrText>
      </w:r>
      <w:r w:rsidR="00F6205B">
        <w:instrText xml:space="preserve"> \* MERGEFORMAT </w:instrText>
      </w:r>
      <w:r w:rsidRPr="00F6205B">
        <w:fldChar w:fldCharType="separate"/>
      </w:r>
      <w:r w:rsidR="00FA26A9" w:rsidRPr="00F6205B">
        <w:t xml:space="preserve">Table </w:t>
      </w:r>
      <w:r w:rsidR="00FA26A9">
        <w:rPr>
          <w:noProof/>
        </w:rPr>
        <w:t>27</w:t>
      </w:r>
      <w:r w:rsidRPr="00F6205B">
        <w:fldChar w:fldCharType="end"/>
      </w:r>
      <w:r w:rsidRPr="00F6205B">
        <w:t xml:space="preserve"> </w:t>
      </w:r>
      <w:r w:rsidR="00414CEF" w:rsidRPr="00F6205B">
        <w:t>in</w:t>
      </w:r>
      <w:r w:rsidR="00EF60B3" w:rsidRPr="00F6205B">
        <w:t xml:space="preserve"> pie chart</w:t>
      </w:r>
      <w:r w:rsidR="00414CEF" w:rsidRPr="00F6205B">
        <w:t>s</w:t>
      </w:r>
      <w:r w:rsidR="00EF60B3" w:rsidRPr="00F6205B">
        <w:t>.</w:t>
      </w:r>
    </w:p>
    <w:p w14:paraId="367CA72D" w14:textId="1AE03A22" w:rsidR="00EF60B3" w:rsidRPr="00F6205B" w:rsidRDefault="00EF60B3" w:rsidP="004F23CF">
      <w:pPr>
        <w:pStyle w:val="Caption"/>
      </w:pPr>
      <w:bookmarkStart w:id="275" w:name="_Ref391028698"/>
      <w:bookmarkStart w:id="276" w:name="_Ref439322369"/>
      <w:bookmarkStart w:id="277" w:name="_Toc391887401"/>
      <w:bookmarkStart w:id="278" w:name="_Toc439931808"/>
      <w:r w:rsidRPr="00F6205B">
        <w:t>Figure</w:t>
      </w:r>
      <w:bookmarkEnd w:id="275"/>
      <w:r w:rsidR="004F23CF" w:rsidRPr="00F6205B">
        <w:t xml:space="preserve"> </w:t>
      </w:r>
      <w:fldSimple w:instr=" SEQ Figure \* ARABIC ">
        <w:r w:rsidR="00FA26A9">
          <w:rPr>
            <w:noProof/>
          </w:rPr>
          <w:t>15</w:t>
        </w:r>
      </w:fldSimple>
      <w:bookmarkEnd w:id="276"/>
      <w:r w:rsidRPr="00F6205B">
        <w:t>: Cost-Effective Potential Savings by End Use</w:t>
      </w:r>
      <w:bookmarkEnd w:id="277"/>
      <w:r w:rsidR="009D1AE6" w:rsidRPr="00F6205B">
        <w:t xml:space="preserve"> &amp; Fuel Type</w:t>
      </w:r>
      <w:bookmarkEnd w:id="278"/>
    </w:p>
    <w:p w14:paraId="2EF5FB39" w14:textId="77777777" w:rsidR="00346A82" w:rsidRPr="00F6205B" w:rsidRDefault="00346A82" w:rsidP="00346A82">
      <w:pPr>
        <w:pStyle w:val="Caption"/>
        <w:spacing w:before="0" w:after="120"/>
        <w:rPr>
          <w:b w:val="0"/>
          <w:bCs w:val="0"/>
          <w:sz w:val="18"/>
        </w:rPr>
      </w:pPr>
      <w:r w:rsidRPr="00F6205B">
        <w:rPr>
          <w:b w:val="0"/>
          <w:bCs w:val="0"/>
          <w:sz w:val="18"/>
        </w:rPr>
        <w:t>Base: all single-family homes (population-weighted)</w:t>
      </w:r>
    </w:p>
    <w:p w14:paraId="3F151AD4" w14:textId="6D3E7876" w:rsidR="00EF60B3" w:rsidRPr="00F6205B" w:rsidRDefault="0072616B" w:rsidP="00EF60B3">
      <w:pPr>
        <w:jc w:val="center"/>
      </w:pPr>
      <w:r w:rsidRPr="00F6205B">
        <w:rPr>
          <w:noProof/>
          <w:lang w:bidi="ar-SA"/>
        </w:rPr>
        <w:drawing>
          <wp:inline distT="0" distB="0" distL="0" distR="0" wp14:anchorId="502A2BE9" wp14:editId="0F1562AB">
            <wp:extent cx="3700780" cy="27559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00780" cy="2755900"/>
                    </a:xfrm>
                    <a:prstGeom prst="rect">
                      <a:avLst/>
                    </a:prstGeom>
                    <a:noFill/>
                  </pic:spPr>
                </pic:pic>
              </a:graphicData>
            </a:graphic>
          </wp:inline>
        </w:drawing>
      </w:r>
      <w:r w:rsidR="00251E36" w:rsidRPr="00F6205B">
        <w:rPr>
          <w:noProof/>
          <w:lang w:bidi="ar-SA"/>
        </w:rPr>
        <w:t xml:space="preserve"> </w:t>
      </w:r>
      <w:r w:rsidR="0095797C" w:rsidRPr="00F6205B">
        <w:rPr>
          <w:noProof/>
          <w:lang w:bidi="ar-SA"/>
        </w:rPr>
        <w:drawing>
          <wp:inline distT="0" distB="0" distL="0" distR="0" wp14:anchorId="1F104AD9" wp14:editId="4276EB6D">
            <wp:extent cx="3700780" cy="27559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00780" cy="2755900"/>
                    </a:xfrm>
                    <a:prstGeom prst="rect">
                      <a:avLst/>
                    </a:prstGeom>
                    <a:noFill/>
                  </pic:spPr>
                </pic:pic>
              </a:graphicData>
            </a:graphic>
          </wp:inline>
        </w:drawing>
      </w:r>
    </w:p>
    <w:p w14:paraId="27B3173A" w14:textId="77777777" w:rsidR="00EF60B3" w:rsidRPr="00F6205B" w:rsidRDefault="00EF60B3" w:rsidP="00EF60B3"/>
    <w:p w14:paraId="0896BE2E" w14:textId="77777777" w:rsidR="00D25E0C" w:rsidRDefault="00D25E0C">
      <w:pPr>
        <w:spacing w:after="0" w:line="240" w:lineRule="auto"/>
      </w:pPr>
      <w:r>
        <w:br w:type="page"/>
      </w:r>
    </w:p>
    <w:p w14:paraId="1C8EC83D" w14:textId="44225CB5" w:rsidR="00EF60B3" w:rsidRPr="00F6205B" w:rsidRDefault="00D80044" w:rsidP="00EF60B3">
      <w:pPr>
        <w:keepNext/>
      </w:pPr>
      <w:r w:rsidRPr="00F6205B">
        <w:lastRenderedPageBreak/>
        <w:fldChar w:fldCharType="begin"/>
      </w:r>
      <w:r w:rsidRPr="00F6205B">
        <w:instrText xml:space="preserve"> REF _Ref439322895 \h </w:instrText>
      </w:r>
      <w:r w:rsidR="00F6205B">
        <w:instrText xml:space="preserve"> \* MERGEFORMAT </w:instrText>
      </w:r>
      <w:r w:rsidRPr="00F6205B">
        <w:fldChar w:fldCharType="separate"/>
      </w:r>
      <w:r w:rsidR="00FA26A9" w:rsidRPr="00F6205B">
        <w:t xml:space="preserve">Table </w:t>
      </w:r>
      <w:r w:rsidR="00FA26A9">
        <w:rPr>
          <w:noProof/>
        </w:rPr>
        <w:t>28</w:t>
      </w:r>
      <w:r w:rsidRPr="00F6205B">
        <w:fldChar w:fldCharType="end"/>
      </w:r>
      <w:r w:rsidRPr="00F6205B">
        <w:t xml:space="preserve"> </w:t>
      </w:r>
      <w:r w:rsidR="00EF60B3" w:rsidRPr="00F6205B">
        <w:t xml:space="preserve">details the share of </w:t>
      </w:r>
      <w:r w:rsidR="00D32687">
        <w:t xml:space="preserve">annual </w:t>
      </w:r>
      <w:r w:rsidR="00EF60B3" w:rsidRPr="00F6205B">
        <w:t>cost-effective savings potential accounted for by each fuel type and compares it to its share of baseline consumption. The relative savings opport</w:t>
      </w:r>
      <w:r w:rsidR="00C61503" w:rsidRPr="00F6205B">
        <w:t>unity in fuel oil is more substantial than for other fuels</w:t>
      </w:r>
      <w:r w:rsidR="00EF60B3" w:rsidRPr="00F6205B">
        <w:t xml:space="preserve">—while oil only accounts for 49% of baseline consumption </w:t>
      </w:r>
      <w:r w:rsidR="00C61503" w:rsidRPr="00F6205B">
        <w:t>(</w:t>
      </w:r>
      <w:r w:rsidR="00EF60B3" w:rsidRPr="00F6205B">
        <w:t>measu</w:t>
      </w:r>
      <w:r w:rsidR="00127A55" w:rsidRPr="00F6205B">
        <w:t>red in MMBtu</w:t>
      </w:r>
      <w:r w:rsidR="00C61503" w:rsidRPr="00F6205B">
        <w:t>)</w:t>
      </w:r>
      <w:r w:rsidR="00127A55" w:rsidRPr="00F6205B">
        <w:t>, it accounts for 54</w:t>
      </w:r>
      <w:r w:rsidR="00EF60B3" w:rsidRPr="00F6205B">
        <w:t xml:space="preserve">% of cost-effective potential savings. </w:t>
      </w:r>
      <w:r w:rsidR="00D25E0C">
        <w:t>In contrast, e</w:t>
      </w:r>
      <w:r w:rsidR="00127A55" w:rsidRPr="00F6205B">
        <w:t xml:space="preserve">lectricity accounts for a greater share of baseline consumption </w:t>
      </w:r>
      <w:r w:rsidR="00D25E0C">
        <w:t xml:space="preserve">(27%) </w:t>
      </w:r>
      <w:r w:rsidR="00127A55" w:rsidRPr="00F6205B">
        <w:t>than cost-effective savings</w:t>
      </w:r>
      <w:r w:rsidR="00D25E0C">
        <w:t xml:space="preserve"> (22%)</w:t>
      </w:r>
      <w:r w:rsidR="00EF60B3" w:rsidRPr="00F6205B">
        <w:t>.</w:t>
      </w:r>
      <w:r w:rsidRPr="00F6205B">
        <w:t xml:space="preserve"> </w:t>
      </w:r>
    </w:p>
    <w:p w14:paraId="2CA4A088" w14:textId="75922571" w:rsidR="00EF60B3" w:rsidRPr="00F6205B" w:rsidRDefault="00EF60B3" w:rsidP="004F23CF">
      <w:pPr>
        <w:pStyle w:val="Caption"/>
      </w:pPr>
      <w:bookmarkStart w:id="279" w:name="_Ref391027112"/>
      <w:bookmarkStart w:id="280" w:name="_Ref439322895"/>
      <w:bookmarkStart w:id="281" w:name="_Toc391887364"/>
      <w:bookmarkStart w:id="282" w:name="_Toc439931859"/>
      <w:r w:rsidRPr="00F6205B">
        <w:t>Table</w:t>
      </w:r>
      <w:bookmarkEnd w:id="279"/>
      <w:r w:rsidR="004F23CF" w:rsidRPr="00F6205B">
        <w:t xml:space="preserve"> </w:t>
      </w:r>
      <w:fldSimple w:instr=" SEQ Table \* ARABIC ">
        <w:r w:rsidR="00FA26A9">
          <w:rPr>
            <w:noProof/>
          </w:rPr>
          <w:t>28</w:t>
        </w:r>
      </w:fldSimple>
      <w:bookmarkEnd w:id="280"/>
      <w:r w:rsidRPr="00F6205B">
        <w:t>: Fuel Type Share of Baseline Consumption and Cost-Effective Savings Potential</w:t>
      </w:r>
      <w:bookmarkEnd w:id="281"/>
      <w:bookmarkEnd w:id="282"/>
    </w:p>
    <w:p w14:paraId="7184CD59" w14:textId="77777777" w:rsidR="00346A82" w:rsidRPr="00F6205B" w:rsidRDefault="00346A82" w:rsidP="00346A82">
      <w:pPr>
        <w:pStyle w:val="Caption"/>
        <w:spacing w:before="0" w:after="120"/>
        <w:rPr>
          <w:b w:val="0"/>
          <w:bCs w:val="0"/>
          <w:sz w:val="18"/>
        </w:rPr>
      </w:pPr>
      <w:r w:rsidRPr="00F6205B">
        <w:rPr>
          <w:b w:val="0"/>
          <w:bCs w:val="0"/>
          <w:sz w:val="18"/>
        </w:rPr>
        <w:t>Base: all single-family homes (population-weighted)</w:t>
      </w:r>
    </w:p>
    <w:tbl>
      <w:tblPr>
        <w:tblW w:w="4956"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52"/>
        <w:gridCol w:w="1652"/>
        <w:gridCol w:w="1652"/>
      </w:tblGrid>
      <w:tr w:rsidR="00EF60B3" w:rsidRPr="00F6205B" w14:paraId="4A888ED6" w14:textId="77777777" w:rsidTr="00DC3233">
        <w:trPr>
          <w:trHeight w:val="288"/>
          <w:jc w:val="center"/>
        </w:trPr>
        <w:tc>
          <w:tcPr>
            <w:tcW w:w="1652" w:type="dxa"/>
            <w:tcBorders>
              <w:top w:val="single" w:sz="4" w:space="0" w:color="auto"/>
              <w:left w:val="single" w:sz="4" w:space="0" w:color="auto"/>
              <w:right w:val="single" w:sz="4" w:space="0" w:color="000000" w:themeColor="text1"/>
            </w:tcBorders>
            <w:shd w:val="clear" w:color="auto" w:fill="0B4D2C" w:themeFill="background2" w:themeFillShade="BF"/>
            <w:vAlign w:val="center"/>
          </w:tcPr>
          <w:p w14:paraId="5994B0DB" w14:textId="77777777" w:rsidR="00EF60B3" w:rsidRPr="00F6205B" w:rsidRDefault="00EF60B3" w:rsidP="004F23CF">
            <w:pPr>
              <w:keepNext/>
              <w:keepLines/>
              <w:spacing w:after="0" w:line="240" w:lineRule="auto"/>
              <w:contextualSpacing/>
              <w:rPr>
                <w:b/>
                <w:sz w:val="20"/>
                <w:szCs w:val="20"/>
              </w:rPr>
            </w:pPr>
            <w:r w:rsidRPr="00F6205B">
              <w:rPr>
                <w:b/>
                <w:sz w:val="20"/>
                <w:szCs w:val="20"/>
              </w:rPr>
              <w:t>Fuel Type</w:t>
            </w:r>
          </w:p>
        </w:tc>
        <w:tc>
          <w:tcPr>
            <w:tcW w:w="1652" w:type="dxa"/>
            <w:tcBorders>
              <w:top w:val="single" w:sz="4" w:space="0" w:color="auto"/>
              <w:left w:val="single" w:sz="4" w:space="0" w:color="000000" w:themeColor="text1"/>
              <w:right w:val="single" w:sz="4" w:space="0" w:color="000000" w:themeColor="text1"/>
            </w:tcBorders>
            <w:shd w:val="clear" w:color="auto" w:fill="0B4D2C" w:themeFill="background2" w:themeFillShade="BF"/>
            <w:vAlign w:val="center"/>
          </w:tcPr>
          <w:p w14:paraId="38519ACD" w14:textId="01EB1580" w:rsidR="00EF60B3" w:rsidRPr="00F6205B" w:rsidRDefault="0033580A" w:rsidP="0033580A">
            <w:pPr>
              <w:keepNext/>
              <w:keepLines/>
              <w:spacing w:after="0" w:line="240" w:lineRule="auto"/>
              <w:contextualSpacing/>
              <w:jc w:val="center"/>
              <w:rPr>
                <w:b/>
                <w:sz w:val="20"/>
                <w:szCs w:val="20"/>
              </w:rPr>
            </w:pPr>
            <w:r w:rsidRPr="00F6205B">
              <w:rPr>
                <w:b/>
                <w:sz w:val="20"/>
                <w:szCs w:val="20"/>
              </w:rPr>
              <w:t>Share of Baseline</w:t>
            </w:r>
          </w:p>
        </w:tc>
        <w:tc>
          <w:tcPr>
            <w:tcW w:w="1652" w:type="dxa"/>
            <w:tcBorders>
              <w:top w:val="single" w:sz="4" w:space="0" w:color="auto"/>
              <w:left w:val="single" w:sz="4" w:space="0" w:color="000000" w:themeColor="text1"/>
              <w:bottom w:val="single" w:sz="4" w:space="0" w:color="000000" w:themeColor="text1"/>
              <w:right w:val="single" w:sz="4" w:space="0" w:color="auto"/>
            </w:tcBorders>
            <w:shd w:val="clear" w:color="auto" w:fill="0B4D2C" w:themeFill="background2" w:themeFillShade="BF"/>
            <w:vAlign w:val="center"/>
          </w:tcPr>
          <w:p w14:paraId="2DAC6AC3" w14:textId="480F018E" w:rsidR="00EF60B3" w:rsidRPr="00F6205B" w:rsidRDefault="00EF60B3" w:rsidP="0033580A">
            <w:pPr>
              <w:keepNext/>
              <w:keepLines/>
              <w:spacing w:after="0" w:line="240" w:lineRule="auto"/>
              <w:contextualSpacing/>
              <w:jc w:val="center"/>
              <w:rPr>
                <w:b/>
                <w:sz w:val="20"/>
                <w:szCs w:val="20"/>
              </w:rPr>
            </w:pPr>
            <w:r w:rsidRPr="00F6205B">
              <w:rPr>
                <w:b/>
                <w:sz w:val="20"/>
                <w:szCs w:val="20"/>
              </w:rPr>
              <w:t>Share of Savings Potential</w:t>
            </w:r>
          </w:p>
        </w:tc>
      </w:tr>
      <w:tr w:rsidR="00EF60B3" w:rsidRPr="00F6205B" w14:paraId="2568F3EB" w14:textId="77777777" w:rsidTr="00DC3233">
        <w:trPr>
          <w:trHeight w:val="288"/>
          <w:jc w:val="center"/>
        </w:trPr>
        <w:tc>
          <w:tcPr>
            <w:tcW w:w="1652"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3DC72F8" w14:textId="77777777" w:rsidR="00EF60B3" w:rsidRPr="00F6205B" w:rsidRDefault="00EF60B3" w:rsidP="00DC3233">
            <w:pPr>
              <w:keepNext/>
              <w:keepLines/>
              <w:spacing w:after="0" w:line="240" w:lineRule="auto"/>
              <w:contextualSpacing/>
              <w:rPr>
                <w:sz w:val="20"/>
                <w:szCs w:val="20"/>
              </w:rPr>
            </w:pPr>
            <w:r w:rsidRPr="00F6205B">
              <w:rPr>
                <w:sz w:val="20"/>
                <w:szCs w:val="20"/>
              </w:rPr>
              <w:t xml:space="preserve">Fuel oil </w:t>
            </w:r>
          </w:p>
        </w:tc>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337C04" w14:textId="73A6CAC5" w:rsidR="00EF60B3" w:rsidRPr="00F6205B" w:rsidRDefault="006A6C2B" w:rsidP="004F23CF">
            <w:pPr>
              <w:keepNext/>
              <w:keepLines/>
              <w:tabs>
                <w:tab w:val="decimal" w:pos="397"/>
              </w:tabs>
              <w:spacing w:after="0" w:line="240" w:lineRule="auto"/>
              <w:contextualSpacing/>
              <w:jc w:val="center"/>
              <w:rPr>
                <w:sz w:val="20"/>
                <w:szCs w:val="20"/>
              </w:rPr>
            </w:pPr>
            <w:r w:rsidRPr="00F6205B">
              <w:rPr>
                <w:sz w:val="20"/>
                <w:szCs w:val="20"/>
              </w:rPr>
              <w:t>49%</w:t>
            </w:r>
          </w:p>
        </w:tc>
        <w:tc>
          <w:tcPr>
            <w:tcW w:w="16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129A342" w14:textId="57338459" w:rsidR="00EF60B3" w:rsidRPr="00F6205B" w:rsidRDefault="008916E0" w:rsidP="004F23CF">
            <w:pPr>
              <w:keepNext/>
              <w:keepLines/>
              <w:tabs>
                <w:tab w:val="decimal" w:pos="194"/>
              </w:tabs>
              <w:spacing w:after="0" w:line="240" w:lineRule="auto"/>
              <w:contextualSpacing/>
              <w:jc w:val="center"/>
              <w:rPr>
                <w:sz w:val="20"/>
                <w:szCs w:val="20"/>
              </w:rPr>
            </w:pPr>
            <w:r w:rsidRPr="00F6205B">
              <w:rPr>
                <w:sz w:val="20"/>
                <w:szCs w:val="20"/>
              </w:rPr>
              <w:t>54%</w:t>
            </w:r>
          </w:p>
        </w:tc>
      </w:tr>
      <w:tr w:rsidR="00EF60B3" w:rsidRPr="00F6205B" w14:paraId="309A2BE6" w14:textId="77777777" w:rsidTr="00DC3233">
        <w:trPr>
          <w:trHeight w:val="288"/>
          <w:jc w:val="center"/>
        </w:trPr>
        <w:tc>
          <w:tcPr>
            <w:tcW w:w="1652"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6624926" w14:textId="77777777" w:rsidR="00EF60B3" w:rsidRPr="00F6205B" w:rsidRDefault="00EF60B3" w:rsidP="00DC3233">
            <w:pPr>
              <w:keepNext/>
              <w:keepLines/>
              <w:spacing w:after="0" w:line="240" w:lineRule="auto"/>
              <w:contextualSpacing/>
              <w:rPr>
                <w:sz w:val="20"/>
                <w:szCs w:val="20"/>
              </w:rPr>
            </w:pPr>
            <w:r w:rsidRPr="00F6205B">
              <w:rPr>
                <w:sz w:val="20"/>
                <w:szCs w:val="20"/>
              </w:rPr>
              <w:t>Natural gas</w:t>
            </w:r>
          </w:p>
        </w:tc>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9D1B49" w14:textId="6F8D049D" w:rsidR="00EF60B3" w:rsidRPr="00F6205B" w:rsidRDefault="006A6C2B" w:rsidP="004F23CF">
            <w:pPr>
              <w:keepNext/>
              <w:keepLines/>
              <w:tabs>
                <w:tab w:val="decimal" w:pos="397"/>
              </w:tabs>
              <w:spacing w:after="0" w:line="240" w:lineRule="auto"/>
              <w:contextualSpacing/>
              <w:jc w:val="center"/>
              <w:rPr>
                <w:sz w:val="20"/>
                <w:szCs w:val="20"/>
              </w:rPr>
            </w:pPr>
            <w:r w:rsidRPr="00F6205B">
              <w:rPr>
                <w:sz w:val="20"/>
                <w:szCs w:val="20"/>
              </w:rPr>
              <w:t>22%</w:t>
            </w:r>
          </w:p>
        </w:tc>
        <w:tc>
          <w:tcPr>
            <w:tcW w:w="16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D2C893F" w14:textId="51D6E9EF" w:rsidR="00EF60B3" w:rsidRPr="00F6205B" w:rsidRDefault="008916E0" w:rsidP="004F23CF">
            <w:pPr>
              <w:keepNext/>
              <w:keepLines/>
              <w:tabs>
                <w:tab w:val="decimal" w:pos="194"/>
              </w:tabs>
              <w:spacing w:after="0" w:line="240" w:lineRule="auto"/>
              <w:contextualSpacing/>
              <w:jc w:val="center"/>
              <w:rPr>
                <w:sz w:val="20"/>
                <w:szCs w:val="20"/>
              </w:rPr>
            </w:pPr>
            <w:r w:rsidRPr="00F6205B">
              <w:rPr>
                <w:sz w:val="20"/>
                <w:szCs w:val="20"/>
              </w:rPr>
              <w:t>23%</w:t>
            </w:r>
          </w:p>
        </w:tc>
      </w:tr>
      <w:tr w:rsidR="00EF60B3" w:rsidRPr="00F6205B" w14:paraId="4E379E7E" w14:textId="77777777" w:rsidTr="00DC3233">
        <w:trPr>
          <w:trHeight w:val="288"/>
          <w:jc w:val="center"/>
        </w:trPr>
        <w:tc>
          <w:tcPr>
            <w:tcW w:w="1652"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592F3B1" w14:textId="77777777" w:rsidR="00EF60B3" w:rsidRPr="00F6205B" w:rsidRDefault="00EF60B3" w:rsidP="00DC3233">
            <w:pPr>
              <w:keepNext/>
              <w:keepLines/>
              <w:spacing w:after="0" w:line="240" w:lineRule="auto"/>
              <w:contextualSpacing/>
              <w:rPr>
                <w:sz w:val="20"/>
                <w:szCs w:val="20"/>
              </w:rPr>
            </w:pPr>
            <w:r w:rsidRPr="00F6205B">
              <w:rPr>
                <w:sz w:val="20"/>
                <w:szCs w:val="20"/>
              </w:rPr>
              <w:t>Propane</w:t>
            </w:r>
          </w:p>
        </w:tc>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9B9EAD" w14:textId="648E5D42" w:rsidR="00EF60B3" w:rsidRPr="00F6205B" w:rsidRDefault="006A6C2B" w:rsidP="004F23CF">
            <w:pPr>
              <w:keepNext/>
              <w:keepLines/>
              <w:tabs>
                <w:tab w:val="decimal" w:pos="397"/>
              </w:tabs>
              <w:spacing w:after="0" w:line="240" w:lineRule="auto"/>
              <w:contextualSpacing/>
              <w:jc w:val="center"/>
              <w:rPr>
                <w:sz w:val="20"/>
                <w:szCs w:val="20"/>
              </w:rPr>
            </w:pPr>
            <w:r w:rsidRPr="00F6205B">
              <w:rPr>
                <w:sz w:val="20"/>
                <w:szCs w:val="20"/>
              </w:rPr>
              <w:t>2%</w:t>
            </w:r>
          </w:p>
        </w:tc>
        <w:tc>
          <w:tcPr>
            <w:tcW w:w="16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A23105E" w14:textId="5255DB63" w:rsidR="00EF60B3" w:rsidRPr="00F6205B" w:rsidRDefault="008916E0" w:rsidP="004F23CF">
            <w:pPr>
              <w:keepNext/>
              <w:keepLines/>
              <w:tabs>
                <w:tab w:val="decimal" w:pos="194"/>
              </w:tabs>
              <w:spacing w:after="0" w:line="240" w:lineRule="auto"/>
              <w:contextualSpacing/>
              <w:jc w:val="center"/>
              <w:rPr>
                <w:sz w:val="20"/>
                <w:szCs w:val="20"/>
              </w:rPr>
            </w:pPr>
            <w:r w:rsidRPr="00F6205B">
              <w:rPr>
                <w:sz w:val="20"/>
                <w:szCs w:val="20"/>
              </w:rPr>
              <w:t>2%</w:t>
            </w:r>
          </w:p>
        </w:tc>
      </w:tr>
      <w:tr w:rsidR="00EF60B3" w:rsidRPr="00F6205B" w14:paraId="0D5EC950" w14:textId="77777777" w:rsidTr="00DC3233">
        <w:trPr>
          <w:trHeight w:val="288"/>
          <w:jc w:val="center"/>
        </w:trPr>
        <w:tc>
          <w:tcPr>
            <w:tcW w:w="1652" w:type="dxa"/>
            <w:tcBorders>
              <w:top w:val="single" w:sz="4" w:space="0" w:color="000000" w:themeColor="text1"/>
              <w:left w:val="single" w:sz="4" w:space="0" w:color="auto"/>
              <w:bottom w:val="single" w:sz="4" w:space="0" w:color="auto"/>
              <w:right w:val="single" w:sz="4" w:space="0" w:color="000000" w:themeColor="text1"/>
            </w:tcBorders>
            <w:vAlign w:val="center"/>
          </w:tcPr>
          <w:p w14:paraId="46C83864" w14:textId="77777777" w:rsidR="00EF60B3" w:rsidRPr="00F6205B" w:rsidRDefault="00EF60B3" w:rsidP="00DC3233">
            <w:pPr>
              <w:keepNext/>
              <w:keepLines/>
              <w:spacing w:after="0" w:line="240" w:lineRule="auto"/>
              <w:contextualSpacing/>
              <w:rPr>
                <w:sz w:val="20"/>
                <w:szCs w:val="20"/>
              </w:rPr>
            </w:pPr>
            <w:r w:rsidRPr="00F6205B">
              <w:rPr>
                <w:sz w:val="20"/>
                <w:szCs w:val="20"/>
              </w:rPr>
              <w:t>Electricity</w:t>
            </w:r>
          </w:p>
        </w:tc>
        <w:tc>
          <w:tcPr>
            <w:tcW w:w="165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A282E65" w14:textId="0F08D8FC" w:rsidR="00EF60B3" w:rsidRPr="00F6205B" w:rsidRDefault="006A6C2B" w:rsidP="004F23CF">
            <w:pPr>
              <w:keepNext/>
              <w:keepLines/>
              <w:tabs>
                <w:tab w:val="decimal" w:pos="397"/>
              </w:tabs>
              <w:spacing w:after="0" w:line="240" w:lineRule="auto"/>
              <w:contextualSpacing/>
              <w:jc w:val="center"/>
              <w:rPr>
                <w:sz w:val="20"/>
                <w:szCs w:val="20"/>
              </w:rPr>
            </w:pPr>
            <w:r w:rsidRPr="00F6205B">
              <w:rPr>
                <w:sz w:val="20"/>
                <w:szCs w:val="20"/>
              </w:rPr>
              <w:t>27%</w:t>
            </w:r>
          </w:p>
        </w:tc>
        <w:tc>
          <w:tcPr>
            <w:tcW w:w="1652" w:type="dxa"/>
            <w:tcBorders>
              <w:top w:val="single" w:sz="4" w:space="0" w:color="000000" w:themeColor="text1"/>
              <w:left w:val="single" w:sz="4" w:space="0" w:color="000000" w:themeColor="text1"/>
              <w:bottom w:val="single" w:sz="4" w:space="0" w:color="auto"/>
              <w:right w:val="single" w:sz="4" w:space="0" w:color="auto"/>
            </w:tcBorders>
            <w:vAlign w:val="center"/>
          </w:tcPr>
          <w:p w14:paraId="428898E8" w14:textId="104DB2B2" w:rsidR="00EF60B3" w:rsidRPr="00F6205B" w:rsidRDefault="008916E0" w:rsidP="004F23CF">
            <w:pPr>
              <w:keepNext/>
              <w:keepLines/>
              <w:tabs>
                <w:tab w:val="decimal" w:pos="194"/>
              </w:tabs>
              <w:spacing w:after="0" w:line="240" w:lineRule="auto"/>
              <w:contextualSpacing/>
              <w:jc w:val="center"/>
              <w:rPr>
                <w:sz w:val="20"/>
                <w:szCs w:val="20"/>
              </w:rPr>
            </w:pPr>
            <w:r w:rsidRPr="00F6205B">
              <w:rPr>
                <w:sz w:val="20"/>
                <w:szCs w:val="20"/>
              </w:rPr>
              <w:t>22%</w:t>
            </w:r>
          </w:p>
        </w:tc>
      </w:tr>
    </w:tbl>
    <w:p w14:paraId="434DC6DD" w14:textId="6B85CB21" w:rsidR="00EF60B3" w:rsidRPr="00F6205B" w:rsidRDefault="00EF60B3" w:rsidP="00EF60B3">
      <w:pPr>
        <w:spacing w:after="200"/>
      </w:pPr>
    </w:p>
    <w:p w14:paraId="19D2D8A4" w14:textId="78F3F974" w:rsidR="00EF60B3" w:rsidRPr="00F6205B" w:rsidRDefault="00D82DAE" w:rsidP="00EF60B3">
      <w:pPr>
        <w:spacing w:after="200"/>
      </w:pPr>
      <w:r w:rsidRPr="00F6205B">
        <w:fldChar w:fldCharType="begin"/>
      </w:r>
      <w:r w:rsidRPr="00F6205B">
        <w:instrText xml:space="preserve"> REF _Ref439323102 \h </w:instrText>
      </w:r>
      <w:r w:rsidR="00F6205B">
        <w:instrText xml:space="preserve"> \* MERGEFORMAT </w:instrText>
      </w:r>
      <w:r w:rsidRPr="00F6205B">
        <w:fldChar w:fldCharType="separate"/>
      </w:r>
      <w:r w:rsidR="00FA26A9" w:rsidRPr="00F6205B">
        <w:t xml:space="preserve">Table </w:t>
      </w:r>
      <w:r w:rsidR="00FA26A9">
        <w:rPr>
          <w:noProof/>
        </w:rPr>
        <w:t>29</w:t>
      </w:r>
      <w:r w:rsidRPr="00F6205B">
        <w:fldChar w:fldCharType="end"/>
      </w:r>
      <w:r w:rsidRPr="00F6205B">
        <w:t xml:space="preserve"> </w:t>
      </w:r>
      <w:r w:rsidR="001B41FE" w:rsidRPr="00F6205B">
        <w:t>show</w:t>
      </w:r>
      <w:r w:rsidR="00EF60B3" w:rsidRPr="00F6205B">
        <w:t xml:space="preserve">s cost-effective peak electric demand savings. </w:t>
      </w:r>
      <w:r w:rsidR="001B41FE" w:rsidRPr="00F6205B">
        <w:t>C</w:t>
      </w:r>
      <w:r w:rsidR="00EF60B3" w:rsidRPr="00F6205B">
        <w:t>ost-effective summer peak demand savings range from 1,</w:t>
      </w:r>
      <w:r w:rsidR="00615CBA" w:rsidRPr="00F6205B">
        <w:t>058</w:t>
      </w:r>
      <w:r w:rsidR="001B41FE" w:rsidRPr="00F6205B">
        <w:t xml:space="preserve"> MW to </w:t>
      </w:r>
      <w:r w:rsidR="00EA50E8" w:rsidRPr="00F6205B">
        <w:t>504</w:t>
      </w:r>
      <w:r w:rsidR="001B41FE" w:rsidRPr="00F6205B">
        <w:t xml:space="preserve"> MW from 2016 to 2025, while</w:t>
      </w:r>
      <w:r w:rsidR="00EF60B3" w:rsidRPr="00F6205B">
        <w:t xml:space="preserve"> winter pea</w:t>
      </w:r>
      <w:r w:rsidR="00615CBA" w:rsidRPr="00F6205B">
        <w:t>k demand savings range from 1,288</w:t>
      </w:r>
      <w:r w:rsidR="00EF60B3" w:rsidRPr="00F6205B">
        <w:t xml:space="preserve"> MW to </w:t>
      </w:r>
      <w:r w:rsidR="00EA50E8" w:rsidRPr="00F6205B">
        <w:t>608</w:t>
      </w:r>
      <w:r w:rsidR="00EF60B3" w:rsidRPr="00F6205B">
        <w:t xml:space="preserve"> </w:t>
      </w:r>
      <w:r w:rsidR="001B41FE" w:rsidRPr="00F6205B">
        <w:t>MW over the same time period</w:t>
      </w:r>
      <w:r w:rsidR="00615CBA" w:rsidRPr="00F6205B">
        <w:t>.</w:t>
      </w:r>
      <w:r w:rsidR="00EA50E8" w:rsidRPr="00F6205B">
        <w:t xml:space="preserve"> Demand savings decline along with consumption savings during the ten-year window due to the impact of federal minimum efficiency standards for lighting</w:t>
      </w:r>
      <w:r w:rsidR="00D32687">
        <w:t xml:space="preserve"> and</w:t>
      </w:r>
      <w:r w:rsidR="00EA50E8" w:rsidRPr="00F6205B">
        <w:t xml:space="preserve"> appliances.</w:t>
      </w:r>
    </w:p>
    <w:p w14:paraId="124E02FF" w14:textId="135BE1E1" w:rsidR="00346A82" w:rsidRPr="00F6205B" w:rsidRDefault="00EF60B3" w:rsidP="00346A82">
      <w:pPr>
        <w:pStyle w:val="Caption"/>
        <w:spacing w:before="0" w:after="120"/>
        <w:rPr>
          <w:b w:val="0"/>
          <w:bCs w:val="0"/>
          <w:sz w:val="18"/>
        </w:rPr>
      </w:pPr>
      <w:bookmarkStart w:id="283" w:name="_Ref391886671"/>
      <w:bookmarkStart w:id="284" w:name="_Ref439323102"/>
      <w:bookmarkStart w:id="285" w:name="_Toc391887365"/>
      <w:bookmarkStart w:id="286" w:name="_Toc439931860"/>
      <w:r w:rsidRPr="00F6205B">
        <w:t>Table</w:t>
      </w:r>
      <w:bookmarkEnd w:id="283"/>
      <w:r w:rsidR="004F23CF" w:rsidRPr="00F6205B">
        <w:t xml:space="preserve"> </w:t>
      </w:r>
      <w:fldSimple w:instr=" SEQ Table \* ARABIC ">
        <w:r w:rsidR="00FA26A9">
          <w:rPr>
            <w:noProof/>
          </w:rPr>
          <w:t>29</w:t>
        </w:r>
      </w:fldSimple>
      <w:bookmarkEnd w:id="284"/>
      <w:r w:rsidRPr="00F6205B">
        <w:t>: Cost-Effective Peak Electric Demand Savings Estimates (MW)</w:t>
      </w:r>
      <w:r w:rsidRPr="00F6205B">
        <w:rPr>
          <w:vertAlign w:val="superscript"/>
        </w:rPr>
        <w:t>*</w:t>
      </w:r>
      <w:r w:rsidRPr="00F6205B">
        <w:rPr>
          <w:vertAlign w:val="superscript"/>
        </w:rPr>
        <w:br/>
      </w:r>
      <w:bookmarkEnd w:id="285"/>
      <w:r w:rsidR="00346A82" w:rsidRPr="00F6205B">
        <w:rPr>
          <w:b w:val="0"/>
          <w:bCs w:val="0"/>
          <w:sz w:val="18"/>
        </w:rPr>
        <w:t>Base: all single-family homes (population-weighted)</w:t>
      </w:r>
      <w:bookmarkEnd w:id="286"/>
    </w:p>
    <w:tbl>
      <w:tblPr>
        <w:tblStyle w:val="TableGrid"/>
        <w:tblW w:w="8909"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3279"/>
        <w:gridCol w:w="1099"/>
        <w:gridCol w:w="1099"/>
        <w:gridCol w:w="1144"/>
        <w:gridCol w:w="1144"/>
        <w:gridCol w:w="1144"/>
      </w:tblGrid>
      <w:tr w:rsidR="00241A80" w:rsidRPr="00F6205B" w14:paraId="10714571" w14:textId="654B9842" w:rsidTr="00726720">
        <w:trPr>
          <w:trHeight w:val="288"/>
          <w:jc w:val="center"/>
        </w:trPr>
        <w:tc>
          <w:tcPr>
            <w:tcW w:w="3279" w:type="dxa"/>
            <w:vMerge w:val="restart"/>
            <w:tcBorders>
              <w:top w:val="single" w:sz="4" w:space="0" w:color="auto"/>
              <w:left w:val="single" w:sz="4" w:space="0" w:color="auto"/>
              <w:right w:val="single" w:sz="4" w:space="0" w:color="000000" w:themeColor="text1"/>
            </w:tcBorders>
            <w:shd w:val="clear" w:color="auto" w:fill="0B4D2C" w:themeFill="background2" w:themeFillShade="BF"/>
            <w:vAlign w:val="center"/>
          </w:tcPr>
          <w:p w14:paraId="18AE67AF" w14:textId="33931C3A" w:rsidR="00241A80" w:rsidRPr="00F6205B" w:rsidRDefault="00241A80" w:rsidP="004F23CF">
            <w:pPr>
              <w:keepNext/>
              <w:keepLines/>
              <w:spacing w:after="0"/>
              <w:contextualSpacing/>
              <w:rPr>
                <w:b/>
                <w:sz w:val="20"/>
                <w:szCs w:val="20"/>
              </w:rPr>
            </w:pPr>
            <w:r>
              <w:rPr>
                <w:b/>
                <w:sz w:val="20"/>
                <w:szCs w:val="20"/>
              </w:rPr>
              <w:t>Season</w:t>
            </w:r>
          </w:p>
        </w:tc>
        <w:tc>
          <w:tcPr>
            <w:tcW w:w="1099" w:type="dxa"/>
            <w:vMerge w:val="restart"/>
            <w:tcBorders>
              <w:top w:val="single" w:sz="4" w:space="0" w:color="auto"/>
              <w:right w:val="single" w:sz="4" w:space="0" w:color="000000" w:themeColor="text1"/>
            </w:tcBorders>
            <w:shd w:val="clear" w:color="auto" w:fill="0B4D2C" w:themeFill="background2" w:themeFillShade="BF"/>
            <w:vAlign w:val="center"/>
          </w:tcPr>
          <w:p w14:paraId="75CC55B9" w14:textId="77777777" w:rsidR="00241A80" w:rsidRPr="00F6205B" w:rsidRDefault="00241A80" w:rsidP="004F23CF">
            <w:pPr>
              <w:keepNext/>
              <w:keepLines/>
              <w:spacing w:after="0"/>
              <w:contextualSpacing/>
              <w:jc w:val="center"/>
              <w:rPr>
                <w:b/>
                <w:sz w:val="20"/>
                <w:szCs w:val="20"/>
              </w:rPr>
            </w:pPr>
            <w:r w:rsidRPr="00F6205B">
              <w:rPr>
                <w:b/>
                <w:sz w:val="20"/>
                <w:szCs w:val="20"/>
              </w:rPr>
              <w:t>Baseline</w:t>
            </w:r>
          </w:p>
        </w:tc>
        <w:tc>
          <w:tcPr>
            <w:tcW w:w="2243" w:type="dxa"/>
            <w:gridSpan w:val="2"/>
            <w:tcBorders>
              <w:top w:val="single" w:sz="4" w:space="0" w:color="auto"/>
              <w:bottom w:val="single" w:sz="4" w:space="0" w:color="auto"/>
              <w:right w:val="single" w:sz="4" w:space="0" w:color="000000" w:themeColor="text1"/>
            </w:tcBorders>
            <w:shd w:val="clear" w:color="auto" w:fill="0B4D2C" w:themeFill="background2" w:themeFillShade="BF"/>
            <w:vAlign w:val="center"/>
          </w:tcPr>
          <w:p w14:paraId="4D57E9C3" w14:textId="0646439F" w:rsidR="00241A80" w:rsidRPr="00F6205B" w:rsidRDefault="00241A80" w:rsidP="004F23CF">
            <w:pPr>
              <w:keepNext/>
              <w:keepLines/>
              <w:spacing w:after="0"/>
              <w:contextualSpacing/>
              <w:jc w:val="center"/>
              <w:rPr>
                <w:b/>
                <w:sz w:val="20"/>
                <w:szCs w:val="20"/>
              </w:rPr>
            </w:pPr>
            <w:r w:rsidRPr="00F6205B">
              <w:rPr>
                <w:b/>
                <w:sz w:val="20"/>
                <w:szCs w:val="20"/>
              </w:rPr>
              <w:t>2016 Savings</w:t>
            </w:r>
          </w:p>
        </w:tc>
        <w:tc>
          <w:tcPr>
            <w:tcW w:w="2288" w:type="dxa"/>
            <w:gridSpan w:val="2"/>
            <w:tcBorders>
              <w:top w:val="single" w:sz="4" w:space="0" w:color="auto"/>
              <w:left w:val="single" w:sz="4" w:space="0" w:color="000000" w:themeColor="text1"/>
              <w:bottom w:val="single" w:sz="4" w:space="0" w:color="auto"/>
              <w:right w:val="single" w:sz="4" w:space="0" w:color="auto"/>
            </w:tcBorders>
            <w:shd w:val="clear" w:color="auto" w:fill="0B4D2C" w:themeFill="background2" w:themeFillShade="BF"/>
            <w:vAlign w:val="center"/>
          </w:tcPr>
          <w:p w14:paraId="201D04BB" w14:textId="2FA0D399" w:rsidR="00241A80" w:rsidRPr="00F6205B" w:rsidRDefault="00241A80" w:rsidP="004F23CF">
            <w:pPr>
              <w:keepNext/>
              <w:keepLines/>
              <w:spacing w:after="0"/>
              <w:contextualSpacing/>
              <w:jc w:val="center"/>
              <w:rPr>
                <w:b/>
                <w:sz w:val="20"/>
                <w:szCs w:val="20"/>
              </w:rPr>
            </w:pPr>
            <w:r w:rsidRPr="00F6205B">
              <w:rPr>
                <w:b/>
                <w:sz w:val="20"/>
                <w:szCs w:val="20"/>
              </w:rPr>
              <w:t>2025 Savings</w:t>
            </w:r>
          </w:p>
        </w:tc>
      </w:tr>
      <w:tr w:rsidR="00241A80" w:rsidRPr="00F6205B" w14:paraId="02098BFD" w14:textId="144B2ADD" w:rsidTr="00726720">
        <w:trPr>
          <w:trHeight w:val="288"/>
          <w:jc w:val="center"/>
        </w:trPr>
        <w:tc>
          <w:tcPr>
            <w:tcW w:w="3279" w:type="dxa"/>
            <w:vMerge/>
            <w:tcBorders>
              <w:left w:val="single" w:sz="4" w:space="0" w:color="auto"/>
              <w:bottom w:val="single" w:sz="4" w:space="0" w:color="auto"/>
              <w:right w:val="single" w:sz="4" w:space="0" w:color="000000" w:themeColor="text1"/>
            </w:tcBorders>
            <w:shd w:val="clear" w:color="auto" w:fill="0B4D2C" w:themeFill="background2" w:themeFillShade="BF"/>
            <w:vAlign w:val="center"/>
          </w:tcPr>
          <w:p w14:paraId="1ED17076" w14:textId="77777777" w:rsidR="00241A80" w:rsidRPr="00F6205B" w:rsidRDefault="00241A80" w:rsidP="004F23CF">
            <w:pPr>
              <w:keepNext/>
              <w:keepLines/>
              <w:spacing w:after="0"/>
              <w:contextualSpacing/>
              <w:rPr>
                <w:b/>
                <w:sz w:val="20"/>
                <w:szCs w:val="20"/>
              </w:rPr>
            </w:pPr>
          </w:p>
        </w:tc>
        <w:tc>
          <w:tcPr>
            <w:tcW w:w="1099" w:type="dxa"/>
            <w:vMerge/>
            <w:tcBorders>
              <w:bottom w:val="single" w:sz="4" w:space="0" w:color="auto"/>
              <w:right w:val="single" w:sz="4" w:space="0" w:color="000000" w:themeColor="text1"/>
            </w:tcBorders>
            <w:shd w:val="clear" w:color="auto" w:fill="0B4D2C" w:themeFill="background2" w:themeFillShade="BF"/>
            <w:vAlign w:val="center"/>
          </w:tcPr>
          <w:p w14:paraId="63D41410" w14:textId="77777777" w:rsidR="00241A80" w:rsidRPr="00F6205B" w:rsidRDefault="00241A80" w:rsidP="004F23CF">
            <w:pPr>
              <w:keepNext/>
              <w:keepLines/>
              <w:spacing w:after="0"/>
              <w:contextualSpacing/>
              <w:jc w:val="center"/>
              <w:rPr>
                <w:b/>
                <w:sz w:val="20"/>
                <w:szCs w:val="20"/>
              </w:rPr>
            </w:pPr>
          </w:p>
        </w:tc>
        <w:tc>
          <w:tcPr>
            <w:tcW w:w="1099" w:type="dxa"/>
            <w:tcBorders>
              <w:top w:val="single" w:sz="4" w:space="0" w:color="auto"/>
              <w:bottom w:val="single" w:sz="4" w:space="0" w:color="auto"/>
              <w:right w:val="single" w:sz="4" w:space="0" w:color="000000" w:themeColor="text1"/>
            </w:tcBorders>
            <w:shd w:val="clear" w:color="auto" w:fill="0B4D2C" w:themeFill="background2" w:themeFillShade="BF"/>
            <w:vAlign w:val="center"/>
          </w:tcPr>
          <w:p w14:paraId="5A12A8AA" w14:textId="5EEB7E01" w:rsidR="00241A80" w:rsidRPr="00F6205B" w:rsidRDefault="00241A80" w:rsidP="004F23CF">
            <w:pPr>
              <w:keepNext/>
              <w:keepLines/>
              <w:spacing w:after="0"/>
              <w:contextualSpacing/>
              <w:jc w:val="center"/>
              <w:rPr>
                <w:b/>
                <w:sz w:val="20"/>
                <w:szCs w:val="20"/>
              </w:rPr>
            </w:pPr>
            <w:r>
              <w:rPr>
                <w:b/>
                <w:sz w:val="20"/>
                <w:szCs w:val="20"/>
              </w:rPr>
              <w:t>MW</w:t>
            </w:r>
          </w:p>
        </w:tc>
        <w:tc>
          <w:tcPr>
            <w:tcW w:w="1144" w:type="dxa"/>
            <w:tcBorders>
              <w:top w:val="single" w:sz="4" w:space="0" w:color="auto"/>
              <w:bottom w:val="single" w:sz="4" w:space="0" w:color="auto"/>
              <w:right w:val="single" w:sz="4" w:space="0" w:color="000000" w:themeColor="text1"/>
            </w:tcBorders>
            <w:shd w:val="clear" w:color="auto" w:fill="0B4D2C" w:themeFill="background2" w:themeFillShade="BF"/>
            <w:vAlign w:val="center"/>
          </w:tcPr>
          <w:p w14:paraId="33599B07" w14:textId="550E1C36" w:rsidR="00241A80" w:rsidRPr="00F6205B" w:rsidRDefault="00241A80" w:rsidP="004F23CF">
            <w:pPr>
              <w:keepNext/>
              <w:keepLines/>
              <w:spacing w:after="0"/>
              <w:contextualSpacing/>
              <w:jc w:val="center"/>
              <w:rPr>
                <w:b/>
                <w:sz w:val="20"/>
                <w:szCs w:val="20"/>
              </w:rPr>
            </w:pPr>
            <w:r>
              <w:rPr>
                <w:b/>
                <w:sz w:val="20"/>
                <w:szCs w:val="20"/>
              </w:rPr>
              <w:t>% of Baseline</w:t>
            </w:r>
          </w:p>
        </w:tc>
        <w:tc>
          <w:tcPr>
            <w:tcW w:w="1144" w:type="dxa"/>
            <w:tcBorders>
              <w:top w:val="single" w:sz="4" w:space="0" w:color="auto"/>
              <w:left w:val="single" w:sz="4" w:space="0" w:color="000000" w:themeColor="text1"/>
              <w:bottom w:val="single" w:sz="4" w:space="0" w:color="auto"/>
              <w:right w:val="single" w:sz="4" w:space="0" w:color="auto"/>
            </w:tcBorders>
            <w:shd w:val="clear" w:color="auto" w:fill="0B4D2C" w:themeFill="background2" w:themeFillShade="BF"/>
            <w:vAlign w:val="center"/>
          </w:tcPr>
          <w:p w14:paraId="18DD6F75" w14:textId="0D3AFF10" w:rsidR="00241A80" w:rsidRPr="00F6205B" w:rsidRDefault="00241A80" w:rsidP="004F23CF">
            <w:pPr>
              <w:keepNext/>
              <w:keepLines/>
              <w:spacing w:after="0"/>
              <w:contextualSpacing/>
              <w:jc w:val="center"/>
              <w:rPr>
                <w:b/>
                <w:sz w:val="20"/>
                <w:szCs w:val="20"/>
              </w:rPr>
            </w:pPr>
            <w:r>
              <w:rPr>
                <w:b/>
                <w:sz w:val="20"/>
                <w:szCs w:val="20"/>
              </w:rPr>
              <w:t>MW</w:t>
            </w:r>
          </w:p>
        </w:tc>
        <w:tc>
          <w:tcPr>
            <w:tcW w:w="1144" w:type="dxa"/>
            <w:tcBorders>
              <w:top w:val="single" w:sz="4" w:space="0" w:color="auto"/>
              <w:left w:val="single" w:sz="4" w:space="0" w:color="000000" w:themeColor="text1"/>
              <w:bottom w:val="single" w:sz="4" w:space="0" w:color="auto"/>
              <w:right w:val="single" w:sz="4" w:space="0" w:color="auto"/>
            </w:tcBorders>
            <w:shd w:val="clear" w:color="auto" w:fill="0B4D2C" w:themeFill="background2" w:themeFillShade="BF"/>
            <w:vAlign w:val="center"/>
          </w:tcPr>
          <w:p w14:paraId="22B82B37" w14:textId="160194DC" w:rsidR="00241A80" w:rsidRPr="00F6205B" w:rsidRDefault="00241A80" w:rsidP="004F23CF">
            <w:pPr>
              <w:keepNext/>
              <w:keepLines/>
              <w:spacing w:after="0"/>
              <w:contextualSpacing/>
              <w:jc w:val="center"/>
              <w:rPr>
                <w:b/>
                <w:sz w:val="20"/>
                <w:szCs w:val="20"/>
              </w:rPr>
            </w:pPr>
            <w:r>
              <w:rPr>
                <w:b/>
                <w:sz w:val="20"/>
                <w:szCs w:val="20"/>
              </w:rPr>
              <w:t>% of Baseline</w:t>
            </w:r>
          </w:p>
        </w:tc>
      </w:tr>
      <w:tr w:rsidR="00241A80" w:rsidRPr="00F6205B" w14:paraId="2533092C" w14:textId="0E5EA909" w:rsidTr="00241A80">
        <w:trPr>
          <w:trHeight w:val="288"/>
          <w:jc w:val="center"/>
        </w:trPr>
        <w:tc>
          <w:tcPr>
            <w:tcW w:w="3279" w:type="dxa"/>
            <w:tcBorders>
              <w:top w:val="single" w:sz="4" w:space="0" w:color="auto"/>
              <w:left w:val="single" w:sz="4" w:space="0" w:color="auto"/>
              <w:bottom w:val="single" w:sz="4" w:space="0" w:color="000000" w:themeColor="text1"/>
              <w:right w:val="single" w:sz="4" w:space="0" w:color="000000" w:themeColor="text1"/>
            </w:tcBorders>
            <w:vAlign w:val="center"/>
          </w:tcPr>
          <w:p w14:paraId="6481C1C3" w14:textId="7E765781" w:rsidR="00241A80" w:rsidRPr="00F6205B" w:rsidRDefault="00241A80" w:rsidP="004F23CF">
            <w:pPr>
              <w:keepNext/>
              <w:keepLines/>
              <w:spacing w:after="0"/>
              <w:contextualSpacing/>
              <w:rPr>
                <w:sz w:val="20"/>
                <w:szCs w:val="20"/>
              </w:rPr>
            </w:pPr>
            <w:r w:rsidRPr="00F6205B">
              <w:rPr>
                <w:sz w:val="20"/>
                <w:szCs w:val="20"/>
              </w:rPr>
              <w:t>Summer peak demand</w:t>
            </w:r>
          </w:p>
        </w:tc>
        <w:tc>
          <w:tcPr>
            <w:tcW w:w="1099" w:type="dxa"/>
            <w:tcBorders>
              <w:top w:val="single" w:sz="4" w:space="0" w:color="auto"/>
              <w:right w:val="single" w:sz="4" w:space="0" w:color="000000" w:themeColor="text1"/>
            </w:tcBorders>
            <w:vAlign w:val="center"/>
          </w:tcPr>
          <w:p w14:paraId="60F33B24" w14:textId="51C43A76" w:rsidR="00241A80" w:rsidRPr="00F6205B" w:rsidRDefault="00241A80" w:rsidP="004F23CF">
            <w:pPr>
              <w:keepNext/>
              <w:keepLines/>
              <w:tabs>
                <w:tab w:val="decimal" w:pos="717"/>
              </w:tabs>
              <w:spacing w:after="0"/>
              <w:contextualSpacing/>
              <w:rPr>
                <w:sz w:val="20"/>
                <w:szCs w:val="20"/>
              </w:rPr>
            </w:pPr>
            <w:r w:rsidRPr="00F6205B">
              <w:rPr>
                <w:sz w:val="20"/>
                <w:szCs w:val="20"/>
              </w:rPr>
              <w:t>3,663</w:t>
            </w:r>
          </w:p>
        </w:tc>
        <w:tc>
          <w:tcPr>
            <w:tcW w:w="1099" w:type="dxa"/>
            <w:tcBorders>
              <w:top w:val="single" w:sz="4" w:space="0" w:color="auto"/>
              <w:bottom w:val="single" w:sz="4" w:space="0" w:color="000000" w:themeColor="text1"/>
              <w:right w:val="single" w:sz="4" w:space="0" w:color="000000" w:themeColor="text1"/>
            </w:tcBorders>
            <w:vAlign w:val="center"/>
          </w:tcPr>
          <w:p w14:paraId="6E30C418" w14:textId="62FA680C" w:rsidR="00241A80" w:rsidRPr="00F6205B" w:rsidRDefault="00241A80" w:rsidP="004F23CF">
            <w:pPr>
              <w:keepNext/>
              <w:keepLines/>
              <w:tabs>
                <w:tab w:val="decimal" w:pos="698"/>
              </w:tabs>
              <w:spacing w:after="0"/>
              <w:contextualSpacing/>
              <w:rPr>
                <w:sz w:val="20"/>
                <w:szCs w:val="20"/>
              </w:rPr>
            </w:pPr>
            <w:r w:rsidRPr="00F6205B">
              <w:rPr>
                <w:sz w:val="20"/>
                <w:szCs w:val="20"/>
              </w:rPr>
              <w:t>1,058</w:t>
            </w:r>
          </w:p>
        </w:tc>
        <w:tc>
          <w:tcPr>
            <w:tcW w:w="1144" w:type="dxa"/>
            <w:tcBorders>
              <w:top w:val="single" w:sz="4" w:space="0" w:color="auto"/>
              <w:bottom w:val="single" w:sz="4" w:space="0" w:color="000000" w:themeColor="text1"/>
              <w:right w:val="single" w:sz="4" w:space="0" w:color="000000" w:themeColor="text1"/>
            </w:tcBorders>
            <w:vAlign w:val="center"/>
          </w:tcPr>
          <w:p w14:paraId="197B0BCA" w14:textId="3C8485C9" w:rsidR="00241A80" w:rsidRPr="00F6205B" w:rsidRDefault="00241A80" w:rsidP="004F23CF">
            <w:pPr>
              <w:keepNext/>
              <w:keepLines/>
              <w:tabs>
                <w:tab w:val="decimal" w:pos="679"/>
              </w:tabs>
              <w:spacing w:after="0"/>
              <w:contextualSpacing/>
              <w:rPr>
                <w:sz w:val="20"/>
                <w:szCs w:val="20"/>
              </w:rPr>
            </w:pPr>
            <w:r>
              <w:rPr>
                <w:sz w:val="20"/>
                <w:szCs w:val="20"/>
              </w:rPr>
              <w:t>29%</w:t>
            </w:r>
          </w:p>
        </w:tc>
        <w:tc>
          <w:tcPr>
            <w:tcW w:w="1144" w:type="dxa"/>
            <w:tcBorders>
              <w:top w:val="single" w:sz="4" w:space="0" w:color="auto"/>
              <w:left w:val="single" w:sz="4" w:space="0" w:color="000000" w:themeColor="text1"/>
              <w:bottom w:val="single" w:sz="4" w:space="0" w:color="000000" w:themeColor="text1"/>
              <w:right w:val="single" w:sz="4" w:space="0" w:color="auto"/>
            </w:tcBorders>
            <w:vAlign w:val="center"/>
          </w:tcPr>
          <w:p w14:paraId="5FDFBBC3" w14:textId="0F9D1D55" w:rsidR="00241A80" w:rsidRPr="00F6205B" w:rsidRDefault="00241A80" w:rsidP="004F23CF">
            <w:pPr>
              <w:keepNext/>
              <w:keepLines/>
              <w:tabs>
                <w:tab w:val="decimal" w:pos="679"/>
              </w:tabs>
              <w:spacing w:after="0"/>
              <w:contextualSpacing/>
              <w:rPr>
                <w:sz w:val="20"/>
                <w:szCs w:val="20"/>
              </w:rPr>
            </w:pPr>
            <w:r w:rsidRPr="00F6205B">
              <w:rPr>
                <w:sz w:val="20"/>
                <w:szCs w:val="20"/>
              </w:rPr>
              <w:t>504</w:t>
            </w:r>
          </w:p>
        </w:tc>
        <w:tc>
          <w:tcPr>
            <w:tcW w:w="1144" w:type="dxa"/>
            <w:tcBorders>
              <w:top w:val="single" w:sz="4" w:space="0" w:color="auto"/>
              <w:left w:val="single" w:sz="4" w:space="0" w:color="000000" w:themeColor="text1"/>
              <w:bottom w:val="single" w:sz="4" w:space="0" w:color="000000" w:themeColor="text1"/>
              <w:right w:val="single" w:sz="4" w:space="0" w:color="auto"/>
            </w:tcBorders>
            <w:vAlign w:val="center"/>
          </w:tcPr>
          <w:p w14:paraId="60877FC1" w14:textId="4FD1572D" w:rsidR="00241A80" w:rsidRPr="00F6205B" w:rsidRDefault="00241A80" w:rsidP="004F23CF">
            <w:pPr>
              <w:keepNext/>
              <w:keepLines/>
              <w:tabs>
                <w:tab w:val="decimal" w:pos="679"/>
              </w:tabs>
              <w:spacing w:after="0"/>
              <w:contextualSpacing/>
              <w:rPr>
                <w:sz w:val="20"/>
                <w:szCs w:val="20"/>
              </w:rPr>
            </w:pPr>
            <w:r>
              <w:rPr>
                <w:sz w:val="20"/>
                <w:szCs w:val="20"/>
              </w:rPr>
              <w:t>14%</w:t>
            </w:r>
          </w:p>
        </w:tc>
      </w:tr>
      <w:tr w:rsidR="00241A80" w:rsidRPr="00F6205B" w14:paraId="5D066DBC" w14:textId="493D05E0" w:rsidTr="00241A80">
        <w:trPr>
          <w:trHeight w:val="288"/>
          <w:jc w:val="center"/>
        </w:trPr>
        <w:tc>
          <w:tcPr>
            <w:tcW w:w="3279" w:type="dxa"/>
            <w:tcBorders>
              <w:top w:val="single" w:sz="4" w:space="0" w:color="000000" w:themeColor="text1"/>
              <w:left w:val="single" w:sz="4" w:space="0" w:color="auto"/>
              <w:bottom w:val="single" w:sz="4" w:space="0" w:color="auto"/>
              <w:right w:val="single" w:sz="4" w:space="0" w:color="000000" w:themeColor="text1"/>
            </w:tcBorders>
            <w:vAlign w:val="center"/>
          </w:tcPr>
          <w:p w14:paraId="31F3B4F4" w14:textId="4BEBF665" w:rsidR="00241A80" w:rsidRPr="00F6205B" w:rsidRDefault="00241A80" w:rsidP="001B41FE">
            <w:pPr>
              <w:keepNext/>
              <w:keepLines/>
              <w:spacing w:after="0"/>
              <w:contextualSpacing/>
              <w:rPr>
                <w:sz w:val="20"/>
                <w:szCs w:val="20"/>
              </w:rPr>
            </w:pPr>
            <w:r w:rsidRPr="00F6205B">
              <w:rPr>
                <w:sz w:val="20"/>
                <w:szCs w:val="20"/>
              </w:rPr>
              <w:t>Winter peak demand</w:t>
            </w:r>
          </w:p>
        </w:tc>
        <w:tc>
          <w:tcPr>
            <w:tcW w:w="1099" w:type="dxa"/>
            <w:tcBorders>
              <w:bottom w:val="single" w:sz="4" w:space="0" w:color="auto"/>
              <w:right w:val="single" w:sz="4" w:space="0" w:color="000000" w:themeColor="text1"/>
            </w:tcBorders>
            <w:vAlign w:val="center"/>
          </w:tcPr>
          <w:p w14:paraId="6D71B18E" w14:textId="7D138ADE" w:rsidR="00241A80" w:rsidRPr="00F6205B" w:rsidRDefault="00241A80" w:rsidP="004F23CF">
            <w:pPr>
              <w:tabs>
                <w:tab w:val="decimal" w:pos="717"/>
              </w:tabs>
              <w:contextualSpacing/>
              <w:rPr>
                <w:color w:val="000000"/>
                <w:sz w:val="20"/>
                <w:szCs w:val="20"/>
              </w:rPr>
            </w:pPr>
            <w:r w:rsidRPr="00F6205B">
              <w:rPr>
                <w:sz w:val="20"/>
                <w:szCs w:val="20"/>
              </w:rPr>
              <w:t>3,613</w:t>
            </w:r>
          </w:p>
        </w:tc>
        <w:tc>
          <w:tcPr>
            <w:tcW w:w="1099" w:type="dxa"/>
            <w:tcBorders>
              <w:top w:val="single" w:sz="4" w:space="0" w:color="000000" w:themeColor="text1"/>
              <w:bottom w:val="single" w:sz="4" w:space="0" w:color="auto"/>
              <w:right w:val="single" w:sz="4" w:space="0" w:color="000000" w:themeColor="text1"/>
            </w:tcBorders>
            <w:vAlign w:val="center"/>
          </w:tcPr>
          <w:p w14:paraId="3DB58847" w14:textId="0ABEA90D" w:rsidR="00241A80" w:rsidRPr="00F6205B" w:rsidRDefault="00241A80" w:rsidP="004F23CF">
            <w:pPr>
              <w:tabs>
                <w:tab w:val="decimal" w:pos="698"/>
              </w:tabs>
              <w:contextualSpacing/>
              <w:rPr>
                <w:color w:val="000000"/>
                <w:sz w:val="20"/>
                <w:szCs w:val="20"/>
              </w:rPr>
            </w:pPr>
            <w:r w:rsidRPr="00F6205B">
              <w:rPr>
                <w:color w:val="000000"/>
                <w:sz w:val="20"/>
                <w:szCs w:val="20"/>
              </w:rPr>
              <w:t>1,288</w:t>
            </w:r>
          </w:p>
        </w:tc>
        <w:tc>
          <w:tcPr>
            <w:tcW w:w="1144" w:type="dxa"/>
            <w:tcBorders>
              <w:top w:val="single" w:sz="4" w:space="0" w:color="000000" w:themeColor="text1"/>
              <w:bottom w:val="single" w:sz="4" w:space="0" w:color="auto"/>
              <w:right w:val="single" w:sz="4" w:space="0" w:color="000000" w:themeColor="text1"/>
            </w:tcBorders>
            <w:vAlign w:val="center"/>
          </w:tcPr>
          <w:p w14:paraId="6B09456D" w14:textId="0539762A" w:rsidR="00241A80" w:rsidRPr="00F6205B" w:rsidRDefault="00241A80" w:rsidP="004F23CF">
            <w:pPr>
              <w:tabs>
                <w:tab w:val="decimal" w:pos="679"/>
              </w:tabs>
              <w:contextualSpacing/>
              <w:rPr>
                <w:color w:val="000000"/>
                <w:sz w:val="20"/>
                <w:szCs w:val="20"/>
              </w:rPr>
            </w:pPr>
            <w:r>
              <w:rPr>
                <w:color w:val="000000"/>
                <w:sz w:val="20"/>
                <w:szCs w:val="20"/>
              </w:rPr>
              <w:t>36%</w:t>
            </w:r>
          </w:p>
        </w:tc>
        <w:tc>
          <w:tcPr>
            <w:tcW w:w="1144" w:type="dxa"/>
            <w:tcBorders>
              <w:top w:val="single" w:sz="4" w:space="0" w:color="000000" w:themeColor="text1"/>
              <w:left w:val="single" w:sz="4" w:space="0" w:color="000000" w:themeColor="text1"/>
              <w:bottom w:val="single" w:sz="4" w:space="0" w:color="auto"/>
              <w:right w:val="single" w:sz="4" w:space="0" w:color="auto"/>
            </w:tcBorders>
            <w:vAlign w:val="center"/>
          </w:tcPr>
          <w:p w14:paraId="7839D0A6" w14:textId="208009EB" w:rsidR="00241A80" w:rsidRPr="00F6205B" w:rsidRDefault="00241A80" w:rsidP="004F23CF">
            <w:pPr>
              <w:tabs>
                <w:tab w:val="decimal" w:pos="679"/>
              </w:tabs>
              <w:contextualSpacing/>
              <w:rPr>
                <w:color w:val="000000"/>
                <w:sz w:val="20"/>
                <w:szCs w:val="20"/>
              </w:rPr>
            </w:pPr>
            <w:r w:rsidRPr="00F6205B">
              <w:rPr>
                <w:color w:val="000000"/>
                <w:sz w:val="20"/>
                <w:szCs w:val="20"/>
              </w:rPr>
              <w:t>608</w:t>
            </w:r>
          </w:p>
        </w:tc>
        <w:tc>
          <w:tcPr>
            <w:tcW w:w="1144" w:type="dxa"/>
            <w:tcBorders>
              <w:top w:val="single" w:sz="4" w:space="0" w:color="000000" w:themeColor="text1"/>
              <w:left w:val="single" w:sz="4" w:space="0" w:color="000000" w:themeColor="text1"/>
              <w:bottom w:val="single" w:sz="4" w:space="0" w:color="auto"/>
              <w:right w:val="single" w:sz="4" w:space="0" w:color="auto"/>
            </w:tcBorders>
            <w:vAlign w:val="center"/>
          </w:tcPr>
          <w:p w14:paraId="45173865" w14:textId="7D961039" w:rsidR="00241A80" w:rsidRPr="00F6205B" w:rsidRDefault="00241A80" w:rsidP="004F23CF">
            <w:pPr>
              <w:tabs>
                <w:tab w:val="decimal" w:pos="679"/>
              </w:tabs>
              <w:contextualSpacing/>
              <w:rPr>
                <w:color w:val="000000"/>
                <w:sz w:val="20"/>
                <w:szCs w:val="20"/>
              </w:rPr>
            </w:pPr>
            <w:r>
              <w:rPr>
                <w:color w:val="000000"/>
                <w:sz w:val="20"/>
                <w:szCs w:val="20"/>
              </w:rPr>
              <w:t>17%</w:t>
            </w:r>
          </w:p>
        </w:tc>
      </w:tr>
    </w:tbl>
    <w:p w14:paraId="5AACA1D5" w14:textId="692C76C2" w:rsidR="00EF60B3" w:rsidRPr="00F6205B" w:rsidRDefault="00D82DAE" w:rsidP="00241A80">
      <w:pPr>
        <w:tabs>
          <w:tab w:val="left" w:pos="1530"/>
          <w:tab w:val="left" w:pos="1770"/>
        </w:tabs>
        <w:spacing w:after="200"/>
        <w:rPr>
          <w:sz w:val="18"/>
          <w:szCs w:val="18"/>
        </w:rPr>
      </w:pPr>
      <w:r w:rsidRPr="00F6205B">
        <w:rPr>
          <w:sz w:val="18"/>
          <w:szCs w:val="18"/>
        </w:rPr>
        <w:t xml:space="preserve">* </w:t>
      </w:r>
      <w:r w:rsidR="00DB237F" w:rsidRPr="00F6205B">
        <w:rPr>
          <w:sz w:val="18"/>
          <w:szCs w:val="18"/>
        </w:rPr>
        <w:t xml:space="preserve">See the </w:t>
      </w:r>
      <w:r w:rsidR="00DB237F" w:rsidRPr="00F6205B">
        <w:rPr>
          <w:sz w:val="18"/>
          <w:szCs w:val="18"/>
        </w:rPr>
        <w:fldChar w:fldCharType="begin"/>
      </w:r>
      <w:r w:rsidR="00DB237F" w:rsidRPr="00F6205B">
        <w:rPr>
          <w:sz w:val="18"/>
          <w:szCs w:val="18"/>
        </w:rPr>
        <w:instrText xml:space="preserve"> REF _Ref439323140 \h  \* MERGEFORMAT </w:instrText>
      </w:r>
      <w:r w:rsidR="00DB237F" w:rsidRPr="00F6205B">
        <w:rPr>
          <w:sz w:val="18"/>
          <w:szCs w:val="18"/>
        </w:rPr>
      </w:r>
      <w:r w:rsidR="00DB237F" w:rsidRPr="00F6205B">
        <w:rPr>
          <w:sz w:val="18"/>
          <w:szCs w:val="18"/>
        </w:rPr>
        <w:fldChar w:fldCharType="separate"/>
      </w:r>
      <w:r w:rsidR="00FA26A9" w:rsidRPr="00FA26A9">
        <w:rPr>
          <w:sz w:val="18"/>
          <w:szCs w:val="18"/>
        </w:rPr>
        <w:t>Methodology</w:t>
      </w:r>
      <w:r w:rsidR="00DB237F" w:rsidRPr="00F6205B">
        <w:rPr>
          <w:sz w:val="18"/>
          <w:szCs w:val="18"/>
        </w:rPr>
        <w:fldChar w:fldCharType="end"/>
      </w:r>
      <w:r w:rsidR="00DB237F" w:rsidRPr="00F6205B">
        <w:rPr>
          <w:sz w:val="18"/>
          <w:szCs w:val="18"/>
        </w:rPr>
        <w:t xml:space="preserve"> section of this report</w:t>
      </w:r>
      <w:r w:rsidR="00EF60B3" w:rsidRPr="00F6205B">
        <w:rPr>
          <w:sz w:val="18"/>
          <w:szCs w:val="18"/>
        </w:rPr>
        <w:t xml:space="preserve"> for details on coincidence factors.</w:t>
      </w:r>
    </w:p>
    <w:p w14:paraId="7E9090A7" w14:textId="77777777" w:rsidR="00EF60B3" w:rsidRPr="00F6205B" w:rsidRDefault="00EF60B3" w:rsidP="00A83E9C"/>
    <w:p w14:paraId="1C59B9FA" w14:textId="58CED704" w:rsidR="00C50383" w:rsidRPr="00F6205B" w:rsidRDefault="00C50383">
      <w:pPr>
        <w:spacing w:after="0" w:line="240" w:lineRule="auto"/>
        <w:rPr>
          <w:lang w:bidi="ar-SA"/>
        </w:rPr>
      </w:pPr>
      <w:r w:rsidRPr="00F6205B">
        <w:rPr>
          <w:lang w:bidi="ar-SA"/>
        </w:rPr>
        <w:br w:type="page"/>
      </w:r>
    </w:p>
    <w:bookmarkStart w:id="287" w:name="_Toc439939408"/>
    <w:p w14:paraId="7A7504FE" w14:textId="557F3D5D" w:rsidR="00C50383" w:rsidRPr="00F6205B" w:rsidRDefault="00C50383" w:rsidP="00C50383">
      <w:pPr>
        <w:pStyle w:val="Heading1"/>
        <w:rPr>
          <w:szCs w:val="20"/>
        </w:rPr>
      </w:pPr>
      <w:r w:rsidRPr="00F6205B">
        <w:lastRenderedPageBreak/>
        <mc:AlternateContent>
          <mc:Choice Requires="wps">
            <w:drawing>
              <wp:anchor distT="0" distB="0" distL="114300" distR="114300" simplePos="0" relativeHeight="251710464" behindDoc="0" locked="0" layoutInCell="1" allowOverlap="1" wp14:anchorId="764D6E38" wp14:editId="67327C01">
                <wp:simplePos x="0" y="0"/>
                <wp:positionH relativeFrom="column">
                  <wp:posOffset>12700</wp:posOffset>
                </wp:positionH>
                <wp:positionV relativeFrom="paragraph">
                  <wp:posOffset>53340</wp:posOffset>
                </wp:positionV>
                <wp:extent cx="1143000" cy="1143000"/>
                <wp:effectExtent l="0" t="0" r="0" b="0"/>
                <wp:wrapSquare wrapText="bothSides"/>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F4DE5C8" w14:textId="1BD76B88" w:rsidR="009027EC" w:rsidRPr="00691F20" w:rsidRDefault="009027EC" w:rsidP="00C50383">
                            <w:pPr>
                              <w:spacing w:after="0"/>
                              <w:jc w:val="center"/>
                              <w:rPr>
                                <w:b/>
                                <w:color w:val="FFFFFF" w:themeColor="background1"/>
                                <w:sz w:val="134"/>
                                <w:szCs w:val="134"/>
                              </w:rPr>
                            </w:pPr>
                            <w:r>
                              <w:rPr>
                                <w:b/>
                                <w:color w:val="FFFFFF" w:themeColor="background1"/>
                                <w:sz w:val="134"/>
                                <w:szCs w:val="13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64D6E38" id="Text Box 64" o:spid="_x0000_s1033" type="#_x0000_t202" style="position:absolute;margin-left:1pt;margin-top:4.2pt;width:90pt;height:9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eaByQIAAPEFAAAOAAAAZHJzL2Uyb0RvYy54bWysVFtP2zAUfp+0/2D5vSQpoYWKFIWiTpMq&#10;QIOJZ9dx2gjHx7PdNh3af9+xk5TC9sK0l8T2+c7tO5fLq6aWZCuMrUBlNDmJKRGKQ1GpVUa/P84H&#10;55RYx1TBJCiR0b2w9Gr6+dPlTk/EENYgC2EIGlF2stMZXTunJ1Fk+VrUzJ6AFgqFJZiaObyaVVQY&#10;tkPrtYyGcTyKdmAKbYALa/H1phXSabBfloK7u7K0whGZUYzNha8J36X/RtNLNlkZptcV78Jg/xBF&#10;zSqFTg+mbphjZGOqP0zVFTdgoXQnHOoIyrLiIuSA2STxu2we1kyLkAuSY/WBJvv/zPLb7b0hVZHR&#10;UUqJYjXW6FE0jlxDQ/AJ+dlpO0HYg0aga/Ad6xxytXoB/NkiJDrCtAoW0Z6PpjS1/2OmBBWxBPsD&#10;7d4N99aS9DSOUcRR1l+81Vd1baz7IqAm/pBRg3UNIbDtwroW2kO8NwuyKuaVlOFiVsuZNGTLfA/M&#10;R+PTa58WWn8Dk8qDFXi1Vty+iNBFrRs2wZjx6JE++lDhl9nZeJiPzy4Go/wsGaRJfD7I83g4uJnn&#10;cR6n89lFev2rc9nrB8Zakjx31u2l8Fal+iZKrEfgKkTvJ0Ec4mecC+WSzlpAe1SJQX9EscOHPEJ+&#10;H1FuGUGN4BmUOyjXlQLT9sbbsIvnPuSyxXc90+XtKXDNsgmNOO6bbgnFHnvOQDu1VvN5heVfMOvu&#10;mcExxZbB1ePu8FNK2GUUuhMlazA///bu8Tg9KKVkh2OfUftjw4ygRH5VOFcXSZr6PREuKRYWL+ZY&#10;sjyWqE09A+yqBJec5uHo8U72x9JA/YQbKvdeUcQUR98Z5c70l5lr1xHuOC7yPMBwN2jmFupB837Y&#10;fHs/Nk/M6G4GHLbSLfQrgk3ejUKL9RVSkG8clFWYE890y2tXAdwrYRa6HegX1/E9oF439fQ3AAAA&#10;//8DAFBLAwQUAAYACAAAACEAdAokaNkAAAAHAQAADwAAAGRycy9kb3ducmV2LnhtbEyPMU/DMBCF&#10;dyT+g3VI3ajTqkJRiFMhWsTARMvAeImvSYR9Tm23Sf89zgTbvXund98rt5M14ko+9I4VrJYZCOLG&#10;6Z5bBV/Ht8ccRIjIGo1jUnCjANvq/q7EQruRP+l6iK1IIRwKVNDFOBRShqYji2HpBuLknZy3GJP0&#10;rdQexxRujVxn2ZO02HP60OFArx01P4eLVYBZvQvMe/1uTh/Nbjx/H/1qo9TiYXp5BhFpin/HMOMn&#10;dKgSU+0urIMwCtapSVSQb0DMbj7reh7SRlal/M9f/QIAAP//AwBQSwECLQAUAAYACAAAACEAtoM4&#10;kv4AAADhAQAAEwAAAAAAAAAAAAAAAAAAAAAAW0NvbnRlbnRfVHlwZXNdLnhtbFBLAQItABQABgAI&#10;AAAAIQA4/SH/1gAAAJQBAAALAAAAAAAAAAAAAAAAAC8BAABfcmVscy8ucmVsc1BLAQItABQABgAI&#10;AAAAIQCPaeaByQIAAPEFAAAOAAAAAAAAAAAAAAAAAC4CAABkcnMvZTJvRG9jLnhtbFBLAQItABQA&#10;BgAIAAAAIQB0CiRo2QAAAAcBAAAPAAAAAAAAAAAAAAAAACMFAABkcnMvZG93bnJldi54bWxQSwUG&#10;AAAAAAQABADzAAAAKQYAAAAA&#10;" fillcolor="#0f673b" stroked="f">
                <v:path arrowok="t"/>
                <v:textbox>
                  <w:txbxContent>
                    <w:p w14:paraId="4F4DE5C8" w14:textId="1BD76B88" w:rsidR="009027EC" w:rsidRPr="00691F20" w:rsidRDefault="009027EC" w:rsidP="00C50383">
                      <w:pPr>
                        <w:spacing w:after="0"/>
                        <w:jc w:val="center"/>
                        <w:rPr>
                          <w:b/>
                          <w:color w:val="FFFFFF" w:themeColor="background1"/>
                          <w:sz w:val="134"/>
                          <w:szCs w:val="134"/>
                        </w:rPr>
                      </w:pPr>
                      <w:r>
                        <w:rPr>
                          <w:b/>
                          <w:color w:val="FFFFFF" w:themeColor="background1"/>
                          <w:sz w:val="134"/>
                          <w:szCs w:val="134"/>
                        </w:rPr>
                        <w:t>5</w:t>
                      </w:r>
                    </w:p>
                  </w:txbxContent>
                </v:textbox>
                <w10:wrap type="square"/>
              </v:shape>
            </w:pict>
          </mc:Fallback>
        </mc:AlternateContent>
      </w:r>
      <w:r w:rsidRPr="00F6205B">
        <w:rPr>
          <w:szCs w:val="20"/>
        </w:rPr>
        <w:t>Achievable Potential</w:t>
      </w:r>
      <w:bookmarkEnd w:id="287"/>
    </w:p>
    <w:p w14:paraId="1527992F" w14:textId="77777777" w:rsidR="001459C9" w:rsidRPr="00F6205B" w:rsidRDefault="00A50E67" w:rsidP="00A50E67">
      <w:pPr>
        <w:rPr>
          <w:rFonts w:cs="Times New Roman"/>
          <w:szCs w:val="24"/>
        </w:rPr>
      </w:pPr>
      <w:r w:rsidRPr="00F6205B">
        <w:rPr>
          <w:rFonts w:cs="Times New Roman"/>
          <w:szCs w:val="24"/>
        </w:rPr>
        <w:t>This section provide</w:t>
      </w:r>
      <w:r w:rsidR="00B679C6" w:rsidRPr="00F6205B">
        <w:rPr>
          <w:rFonts w:cs="Times New Roman"/>
          <w:szCs w:val="24"/>
        </w:rPr>
        <w:t>s</w:t>
      </w:r>
      <w:r w:rsidRPr="00F6205B">
        <w:rPr>
          <w:rFonts w:cs="Times New Roman"/>
          <w:szCs w:val="24"/>
        </w:rPr>
        <w:t xml:space="preserve"> estimate</w:t>
      </w:r>
      <w:r w:rsidR="00B679C6" w:rsidRPr="00F6205B">
        <w:rPr>
          <w:rFonts w:cs="Times New Roman"/>
          <w:szCs w:val="24"/>
        </w:rPr>
        <w:t>s</w:t>
      </w:r>
      <w:r w:rsidRPr="00F6205B">
        <w:rPr>
          <w:rFonts w:cs="Times New Roman"/>
          <w:szCs w:val="24"/>
        </w:rPr>
        <w:t xml:space="preserve"> of the cost-effective savings that are achievable </w:t>
      </w:r>
      <w:r w:rsidR="00B679C6" w:rsidRPr="00F6205B">
        <w:rPr>
          <w:rFonts w:cs="Times New Roman"/>
          <w:szCs w:val="24"/>
        </w:rPr>
        <w:t>after changes in codes and standards and gradual market adoption of upgrade measures are taken into account</w:t>
      </w:r>
      <w:r w:rsidR="001459C9" w:rsidRPr="00F6205B">
        <w:rPr>
          <w:rFonts w:cs="Times New Roman"/>
          <w:szCs w:val="24"/>
        </w:rPr>
        <w:t>.</w:t>
      </w:r>
    </w:p>
    <w:p w14:paraId="378799BF" w14:textId="25813121" w:rsidR="001459C9" w:rsidRPr="00F6205B" w:rsidRDefault="00A50E67" w:rsidP="00A50E67">
      <w:pPr>
        <w:rPr>
          <w:rFonts w:cs="Times New Roman"/>
          <w:szCs w:val="24"/>
        </w:rPr>
      </w:pPr>
      <w:r w:rsidRPr="00F6205B">
        <w:rPr>
          <w:rFonts w:cs="Times New Roman"/>
          <w:szCs w:val="24"/>
        </w:rPr>
        <w:t>Result</w:t>
      </w:r>
      <w:r w:rsidR="00035D81" w:rsidRPr="00F6205B">
        <w:rPr>
          <w:rFonts w:cs="Times New Roman"/>
          <w:szCs w:val="24"/>
        </w:rPr>
        <w:t xml:space="preserve">s included in this section describe </w:t>
      </w:r>
      <w:r w:rsidR="00035D81" w:rsidRPr="00F6205B">
        <w:rPr>
          <w:rFonts w:cs="Times New Roman"/>
          <w:b/>
          <w:szCs w:val="24"/>
        </w:rPr>
        <w:t>maximum</w:t>
      </w:r>
      <w:r w:rsidR="00035D81" w:rsidRPr="00F6205B">
        <w:rPr>
          <w:rFonts w:cs="Times New Roman"/>
          <w:szCs w:val="24"/>
        </w:rPr>
        <w:t xml:space="preserve"> achievable potential savings; in other words, they </w:t>
      </w:r>
      <w:r w:rsidR="00035D81" w:rsidRPr="00F6205B">
        <w:rPr>
          <w:rFonts w:cs="Times New Roman"/>
          <w:b/>
          <w:szCs w:val="24"/>
        </w:rPr>
        <w:t>do not</w:t>
      </w:r>
      <w:r w:rsidR="00035D81" w:rsidRPr="00F6205B">
        <w:rPr>
          <w:rFonts w:cs="Times New Roman"/>
          <w:szCs w:val="24"/>
        </w:rPr>
        <w:t xml:space="preserve"> take into account the impact of program activities on the mark</w:t>
      </w:r>
      <w:r w:rsidR="001459C9" w:rsidRPr="00F6205B">
        <w:rPr>
          <w:rFonts w:cs="Times New Roman"/>
          <w:szCs w:val="24"/>
        </w:rPr>
        <w:t>et. In order to place the results of the analysis in context, achievable potential savings are compared to projected program savings for 2016</w:t>
      </w:r>
      <w:r w:rsidR="00724F46">
        <w:rPr>
          <w:rFonts w:cs="Times New Roman"/>
          <w:szCs w:val="24"/>
        </w:rPr>
        <w:t xml:space="preserve"> in the subsection entitled “</w:t>
      </w:r>
      <w:r w:rsidR="00724F46">
        <w:rPr>
          <w:rFonts w:cs="Times New Roman"/>
          <w:szCs w:val="24"/>
        </w:rPr>
        <w:fldChar w:fldCharType="begin"/>
      </w:r>
      <w:r w:rsidR="00724F46">
        <w:rPr>
          <w:rFonts w:cs="Times New Roman"/>
          <w:szCs w:val="24"/>
        </w:rPr>
        <w:instrText xml:space="preserve"> REF _Ref439698086 \h </w:instrText>
      </w:r>
      <w:r w:rsidR="00724F46">
        <w:rPr>
          <w:rFonts w:cs="Times New Roman"/>
          <w:szCs w:val="24"/>
        </w:rPr>
      </w:r>
      <w:r w:rsidR="00724F46">
        <w:rPr>
          <w:rFonts w:cs="Times New Roman"/>
          <w:szCs w:val="24"/>
        </w:rPr>
        <w:fldChar w:fldCharType="separate"/>
      </w:r>
      <w:r w:rsidR="00FA26A9">
        <w:t>Comparison to Projected Program Savings</w:t>
      </w:r>
      <w:r w:rsidR="00724F46">
        <w:rPr>
          <w:rFonts w:cs="Times New Roman"/>
          <w:szCs w:val="24"/>
        </w:rPr>
        <w:fldChar w:fldCharType="end"/>
      </w:r>
      <w:r w:rsidR="001459C9" w:rsidRPr="00F6205B">
        <w:rPr>
          <w:rFonts w:cs="Times New Roman"/>
          <w:szCs w:val="24"/>
        </w:rPr>
        <w:t>.</w:t>
      </w:r>
      <w:r w:rsidR="00724F46">
        <w:rPr>
          <w:rFonts w:cs="Times New Roman"/>
          <w:szCs w:val="24"/>
        </w:rPr>
        <w:t>”</w:t>
      </w:r>
    </w:p>
    <w:p w14:paraId="79C75B54" w14:textId="23548E2A" w:rsidR="00A50E67" w:rsidRPr="00F6205B" w:rsidRDefault="0025245A" w:rsidP="00A50E67">
      <w:pPr>
        <w:rPr>
          <w:rFonts w:cs="Times New Roman"/>
          <w:szCs w:val="24"/>
        </w:rPr>
      </w:pPr>
      <w:r w:rsidRPr="00F6205B">
        <w:rPr>
          <w:rFonts w:cs="Times New Roman"/>
          <w:szCs w:val="24"/>
        </w:rPr>
        <w:fldChar w:fldCharType="begin"/>
      </w:r>
      <w:r w:rsidRPr="00F6205B">
        <w:rPr>
          <w:rFonts w:cs="Times New Roman"/>
          <w:szCs w:val="24"/>
        </w:rPr>
        <w:instrText xml:space="preserve"> REF _Ref439323169 \h </w:instrText>
      </w:r>
      <w:r>
        <w:rPr>
          <w:rFonts w:cs="Times New Roman"/>
          <w:szCs w:val="24"/>
        </w:rPr>
        <w:instrText xml:space="preserve"> \* MERGEFORMAT </w:instrText>
      </w:r>
      <w:r w:rsidRPr="00F6205B">
        <w:rPr>
          <w:rFonts w:cs="Times New Roman"/>
          <w:szCs w:val="24"/>
        </w:rPr>
      </w:r>
      <w:r w:rsidRPr="00F6205B">
        <w:rPr>
          <w:rFonts w:cs="Times New Roman"/>
          <w:szCs w:val="24"/>
        </w:rPr>
        <w:fldChar w:fldCharType="separate"/>
      </w:r>
      <w:r w:rsidR="00FA26A9" w:rsidRPr="00F6205B">
        <w:t xml:space="preserve">Figure </w:t>
      </w:r>
      <w:r w:rsidR="00FA26A9">
        <w:rPr>
          <w:noProof/>
        </w:rPr>
        <w:t>16</w:t>
      </w:r>
      <w:r w:rsidRPr="00F6205B">
        <w:rPr>
          <w:rFonts w:cs="Times New Roman"/>
          <w:szCs w:val="24"/>
        </w:rPr>
        <w:fldChar w:fldCharType="end"/>
      </w:r>
      <w:r w:rsidRPr="00F6205B">
        <w:rPr>
          <w:rFonts w:cs="Times New Roman"/>
          <w:szCs w:val="24"/>
        </w:rPr>
        <w:t xml:space="preserve"> shows that in the first year of the analysis, maximum achievable fossil fuel potential savings and projected program fossil fuel savings</w:t>
      </w:r>
      <w:r w:rsidRPr="00F6205B">
        <w:rPr>
          <w:rStyle w:val="FootnoteReference"/>
          <w:rFonts w:cs="Times New Roman"/>
          <w:szCs w:val="24"/>
        </w:rPr>
        <w:footnoteReference w:id="71"/>
      </w:r>
      <w:r w:rsidRPr="00F6205B">
        <w:rPr>
          <w:rFonts w:cs="Times New Roman"/>
          <w:szCs w:val="24"/>
        </w:rPr>
        <w:t xml:space="preserve"> for 2016 are about 7% and 1% of cost-effective potential savings respectively.</w:t>
      </w:r>
      <w:r>
        <w:rPr>
          <w:rFonts w:cs="Times New Roman"/>
          <w:szCs w:val="24"/>
        </w:rPr>
        <w:t xml:space="preserve"> Program projected savings for 2016 represent 19% of 2016 maximum achievable potential fossil fuel savings.</w:t>
      </w:r>
    </w:p>
    <w:p w14:paraId="7007B05B" w14:textId="5CB1187D" w:rsidR="00A50E67" w:rsidRPr="00F6205B" w:rsidRDefault="00A50E67" w:rsidP="004F23CF">
      <w:pPr>
        <w:pStyle w:val="Caption"/>
      </w:pPr>
      <w:bookmarkStart w:id="288" w:name="_Ref391613735"/>
      <w:bookmarkStart w:id="289" w:name="_Ref439323169"/>
      <w:bookmarkStart w:id="290" w:name="_Toc391887403"/>
      <w:bookmarkStart w:id="291" w:name="_Toc439931809"/>
      <w:r w:rsidRPr="00F6205B">
        <w:t>Figur</w:t>
      </w:r>
      <w:bookmarkEnd w:id="288"/>
      <w:r w:rsidR="004F23CF" w:rsidRPr="00F6205B">
        <w:t xml:space="preserve">e </w:t>
      </w:r>
      <w:fldSimple w:instr=" SEQ Figure \* ARABIC ">
        <w:r w:rsidR="00FA26A9">
          <w:rPr>
            <w:noProof/>
          </w:rPr>
          <w:t>16</w:t>
        </w:r>
      </w:fldSimple>
      <w:bookmarkEnd w:id="289"/>
      <w:r w:rsidRPr="00F6205B">
        <w:t xml:space="preserve">: </w:t>
      </w:r>
      <w:r w:rsidR="0052661B" w:rsidRPr="00F6205B">
        <w:t>First Year and Tenth Year</w:t>
      </w:r>
      <w:r w:rsidRPr="00F6205B">
        <w:t xml:space="preserve"> Cost-Effective and Achievable Potential </w:t>
      </w:r>
      <w:r w:rsidR="00F25391" w:rsidRPr="00F6205B">
        <w:t xml:space="preserve">Fossil Fuel </w:t>
      </w:r>
      <w:r w:rsidR="0052661B" w:rsidRPr="00F6205B">
        <w:t>Savings</w:t>
      </w:r>
      <w:bookmarkEnd w:id="290"/>
      <w:bookmarkEnd w:id="291"/>
    </w:p>
    <w:p w14:paraId="12B52829" w14:textId="77777777" w:rsidR="00346A82" w:rsidRPr="00F6205B" w:rsidRDefault="00346A82" w:rsidP="00346A82">
      <w:pPr>
        <w:pStyle w:val="Caption"/>
        <w:spacing w:before="0" w:after="120"/>
        <w:rPr>
          <w:b w:val="0"/>
          <w:bCs w:val="0"/>
          <w:sz w:val="18"/>
        </w:rPr>
      </w:pPr>
      <w:r w:rsidRPr="00F6205B">
        <w:rPr>
          <w:b w:val="0"/>
          <w:bCs w:val="0"/>
          <w:sz w:val="18"/>
        </w:rPr>
        <w:t>Base: all single-family homes (population-weighted)</w:t>
      </w:r>
    </w:p>
    <w:p w14:paraId="58881EC3" w14:textId="36B21386" w:rsidR="00A50E67" w:rsidRPr="00F6205B" w:rsidRDefault="00F25391" w:rsidP="00A50E67">
      <w:pPr>
        <w:jc w:val="center"/>
        <w:rPr>
          <w:rFonts w:cs="Times New Roman"/>
          <w:szCs w:val="24"/>
        </w:rPr>
      </w:pPr>
      <w:r w:rsidRPr="00F6205B">
        <w:rPr>
          <w:rFonts w:cs="Times New Roman"/>
          <w:noProof/>
          <w:szCs w:val="24"/>
          <w:lang w:bidi="ar-SA"/>
        </w:rPr>
        <w:drawing>
          <wp:inline distT="0" distB="0" distL="0" distR="0" wp14:anchorId="3A4AD5AD" wp14:editId="16CC102D">
            <wp:extent cx="4279900" cy="3060700"/>
            <wp:effectExtent l="0" t="0" r="635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79900" cy="3060700"/>
                    </a:xfrm>
                    <a:prstGeom prst="rect">
                      <a:avLst/>
                    </a:prstGeom>
                    <a:noFill/>
                  </pic:spPr>
                </pic:pic>
              </a:graphicData>
            </a:graphic>
          </wp:inline>
        </w:drawing>
      </w:r>
    </w:p>
    <w:p w14:paraId="3C98150C" w14:textId="77777777" w:rsidR="00EA3B60" w:rsidRPr="00F6205B" w:rsidRDefault="00EA3B60" w:rsidP="00EA3B60">
      <w:pPr>
        <w:rPr>
          <w:rFonts w:cs="Times New Roman"/>
          <w:szCs w:val="24"/>
        </w:rPr>
      </w:pPr>
    </w:p>
    <w:p w14:paraId="0C328C90" w14:textId="29A8E247" w:rsidR="00EA3B60" w:rsidRPr="00F6205B" w:rsidRDefault="00CB6C68" w:rsidP="00EA3B60">
      <w:pPr>
        <w:rPr>
          <w:rFonts w:cs="Times New Roman"/>
          <w:szCs w:val="24"/>
        </w:rPr>
      </w:pPr>
      <w:r w:rsidRPr="00F6205B">
        <w:rPr>
          <w:rFonts w:cs="Times New Roman"/>
          <w:szCs w:val="24"/>
        </w:rPr>
        <w:fldChar w:fldCharType="begin"/>
      </w:r>
      <w:r w:rsidRPr="00F6205B">
        <w:rPr>
          <w:rFonts w:cs="Times New Roman"/>
          <w:szCs w:val="24"/>
        </w:rPr>
        <w:instrText xml:space="preserve"> REF _Ref439323183 \h </w:instrText>
      </w:r>
      <w:r w:rsidR="00F6205B">
        <w:rPr>
          <w:rFonts w:cs="Times New Roman"/>
          <w:szCs w:val="24"/>
        </w:rPr>
        <w:instrText xml:space="preserve"> \* MERGEFORMAT </w:instrText>
      </w:r>
      <w:r w:rsidRPr="00F6205B">
        <w:rPr>
          <w:rFonts w:cs="Times New Roman"/>
          <w:szCs w:val="24"/>
        </w:rPr>
      </w:r>
      <w:r w:rsidRPr="00F6205B">
        <w:rPr>
          <w:rFonts w:cs="Times New Roman"/>
          <w:szCs w:val="24"/>
        </w:rPr>
        <w:fldChar w:fldCharType="separate"/>
      </w:r>
      <w:r w:rsidR="00FA26A9" w:rsidRPr="00F6205B">
        <w:t xml:space="preserve">Figure </w:t>
      </w:r>
      <w:r w:rsidR="00FA26A9">
        <w:rPr>
          <w:noProof/>
        </w:rPr>
        <w:t>17</w:t>
      </w:r>
      <w:r w:rsidRPr="00F6205B">
        <w:rPr>
          <w:rFonts w:cs="Times New Roman"/>
          <w:szCs w:val="24"/>
        </w:rPr>
        <w:fldChar w:fldCharType="end"/>
      </w:r>
      <w:r w:rsidRPr="00F6205B">
        <w:rPr>
          <w:rFonts w:cs="Times New Roman"/>
          <w:szCs w:val="24"/>
        </w:rPr>
        <w:t xml:space="preserve"> shows the same information </w:t>
      </w:r>
      <w:r w:rsidR="0005778F" w:rsidRPr="00F6205B">
        <w:rPr>
          <w:rFonts w:cs="Times New Roman"/>
          <w:szCs w:val="24"/>
        </w:rPr>
        <w:t xml:space="preserve">as the prior table, </w:t>
      </w:r>
      <w:r w:rsidR="00D25E0C">
        <w:rPr>
          <w:rFonts w:cs="Times New Roman"/>
          <w:szCs w:val="24"/>
        </w:rPr>
        <w:t>though only</w:t>
      </w:r>
      <w:r w:rsidR="0005778F" w:rsidRPr="00F6205B">
        <w:rPr>
          <w:rFonts w:cs="Times New Roman"/>
          <w:szCs w:val="24"/>
        </w:rPr>
        <w:t xml:space="preserve"> </w:t>
      </w:r>
      <w:r w:rsidR="001459C9" w:rsidRPr="00F6205B">
        <w:rPr>
          <w:rFonts w:cs="Times New Roman"/>
          <w:szCs w:val="24"/>
        </w:rPr>
        <w:t>for electric savings</w:t>
      </w:r>
      <w:r w:rsidRPr="00F6205B">
        <w:rPr>
          <w:rFonts w:cs="Times New Roman"/>
          <w:szCs w:val="24"/>
        </w:rPr>
        <w:t>.</w:t>
      </w:r>
      <w:r w:rsidR="0005778F" w:rsidRPr="00F6205B">
        <w:rPr>
          <w:rFonts w:cs="Times New Roman"/>
          <w:szCs w:val="24"/>
        </w:rPr>
        <w:t xml:space="preserve"> Maximum achievable potential electri</w:t>
      </w:r>
      <w:r w:rsidR="001459C9" w:rsidRPr="00F6205B">
        <w:rPr>
          <w:rFonts w:cs="Times New Roman"/>
          <w:szCs w:val="24"/>
        </w:rPr>
        <w:t>c savings are about 23</w:t>
      </w:r>
      <w:r w:rsidR="0005778F" w:rsidRPr="00F6205B">
        <w:rPr>
          <w:rFonts w:cs="Times New Roman"/>
          <w:szCs w:val="24"/>
        </w:rPr>
        <w:t>% of cost-effective savings in the first yea</w:t>
      </w:r>
      <w:r w:rsidR="001459C9" w:rsidRPr="00F6205B">
        <w:rPr>
          <w:rFonts w:cs="Times New Roman"/>
          <w:szCs w:val="24"/>
        </w:rPr>
        <w:t>r, but rise to a much greater 45</w:t>
      </w:r>
      <w:r w:rsidR="0005778F" w:rsidRPr="00F6205B">
        <w:rPr>
          <w:rFonts w:cs="Times New Roman"/>
          <w:szCs w:val="24"/>
        </w:rPr>
        <w:t>% by the tenth year of the study window</w:t>
      </w:r>
      <w:r w:rsidR="0025245A" w:rsidRPr="0025245A">
        <w:rPr>
          <w:rFonts w:cs="Times New Roman"/>
          <w:szCs w:val="24"/>
        </w:rPr>
        <w:t xml:space="preserve"> </w:t>
      </w:r>
      <w:r w:rsidR="0025245A">
        <w:rPr>
          <w:rFonts w:cs="Times New Roman"/>
          <w:szCs w:val="24"/>
        </w:rPr>
        <w:t xml:space="preserve">due to </w:t>
      </w:r>
      <w:r w:rsidR="00914F28">
        <w:rPr>
          <w:rFonts w:cs="Times New Roman"/>
          <w:szCs w:val="24"/>
        </w:rPr>
        <w:t>declines in cost-effective electric savings</w:t>
      </w:r>
      <w:r w:rsidR="00A10D90">
        <w:rPr>
          <w:rFonts w:cs="Times New Roman"/>
          <w:szCs w:val="24"/>
        </w:rPr>
        <w:t xml:space="preserve"> (</w:t>
      </w:r>
      <w:r w:rsidR="00914F28">
        <w:rPr>
          <w:rFonts w:cs="Times New Roman"/>
          <w:szCs w:val="24"/>
        </w:rPr>
        <w:t>result</w:t>
      </w:r>
      <w:r w:rsidR="00A10D90">
        <w:rPr>
          <w:rFonts w:cs="Times New Roman"/>
          <w:szCs w:val="24"/>
        </w:rPr>
        <w:t xml:space="preserve">ing from </w:t>
      </w:r>
      <w:r w:rsidR="00914F28">
        <w:rPr>
          <w:rFonts w:cs="Times New Roman"/>
          <w:szCs w:val="24"/>
        </w:rPr>
        <w:t xml:space="preserve">more stringent </w:t>
      </w:r>
      <w:r w:rsidR="00A10D90">
        <w:rPr>
          <w:rFonts w:cs="Times New Roman"/>
          <w:szCs w:val="24"/>
        </w:rPr>
        <w:t xml:space="preserve">federal </w:t>
      </w:r>
      <w:r w:rsidR="00914F28">
        <w:rPr>
          <w:rFonts w:cs="Times New Roman"/>
          <w:szCs w:val="24"/>
        </w:rPr>
        <w:t xml:space="preserve">efficiency </w:t>
      </w:r>
      <w:r w:rsidR="00914F28">
        <w:rPr>
          <w:rFonts w:cs="Times New Roman"/>
          <w:szCs w:val="24"/>
        </w:rPr>
        <w:lastRenderedPageBreak/>
        <w:t>standards</w:t>
      </w:r>
      <w:r w:rsidR="00A10D90">
        <w:rPr>
          <w:rFonts w:cs="Times New Roman"/>
          <w:szCs w:val="24"/>
        </w:rPr>
        <w:t xml:space="preserve">, particularly for lighting) </w:t>
      </w:r>
      <w:r w:rsidR="00914F28">
        <w:rPr>
          <w:rFonts w:cs="Times New Roman"/>
          <w:szCs w:val="24"/>
        </w:rPr>
        <w:t xml:space="preserve">and, to a lesser extent, </w:t>
      </w:r>
      <w:r w:rsidR="0025245A">
        <w:rPr>
          <w:rFonts w:cs="Times New Roman"/>
          <w:szCs w:val="24"/>
        </w:rPr>
        <w:t>gradually increasing measure adoption</w:t>
      </w:r>
      <w:r w:rsidR="00914F28">
        <w:rPr>
          <w:rFonts w:cs="Times New Roman"/>
          <w:szCs w:val="24"/>
        </w:rPr>
        <w:t xml:space="preserve"> in the achievable analysis</w:t>
      </w:r>
      <w:r w:rsidR="0005778F" w:rsidRPr="00F6205B">
        <w:rPr>
          <w:rFonts w:cs="Times New Roman"/>
          <w:szCs w:val="24"/>
        </w:rPr>
        <w:t>.</w:t>
      </w:r>
      <w:r w:rsidR="000030C8" w:rsidRPr="00F6205B">
        <w:rPr>
          <w:rFonts w:cs="Times New Roman"/>
          <w:szCs w:val="24"/>
        </w:rPr>
        <w:t xml:space="preserve"> </w:t>
      </w:r>
      <w:r w:rsidR="0025245A" w:rsidRPr="00F6205B">
        <w:rPr>
          <w:rFonts w:cs="Times New Roman"/>
          <w:szCs w:val="24"/>
        </w:rPr>
        <w:t xml:space="preserve">Program projected electric savings </w:t>
      </w:r>
      <w:r w:rsidR="0025245A">
        <w:rPr>
          <w:rFonts w:cs="Times New Roman"/>
          <w:szCs w:val="24"/>
        </w:rPr>
        <w:t xml:space="preserve">for 2016 </w:t>
      </w:r>
      <w:r w:rsidR="0025245A" w:rsidRPr="00F6205B">
        <w:rPr>
          <w:rFonts w:cs="Times New Roman"/>
          <w:szCs w:val="24"/>
        </w:rPr>
        <w:t xml:space="preserve">represent </w:t>
      </w:r>
      <w:r w:rsidR="0025245A">
        <w:rPr>
          <w:rFonts w:cs="Times New Roman"/>
          <w:szCs w:val="24"/>
        </w:rPr>
        <w:t>18</w:t>
      </w:r>
      <w:r w:rsidR="0025245A" w:rsidRPr="00F6205B">
        <w:rPr>
          <w:rFonts w:cs="Times New Roman"/>
          <w:szCs w:val="24"/>
        </w:rPr>
        <w:t xml:space="preserve">% of </w:t>
      </w:r>
      <w:r w:rsidR="0025245A">
        <w:rPr>
          <w:rFonts w:cs="Times New Roman"/>
          <w:szCs w:val="24"/>
        </w:rPr>
        <w:t>2016 maximum achievable</w:t>
      </w:r>
      <w:r w:rsidR="0025245A" w:rsidRPr="00F6205B">
        <w:rPr>
          <w:rFonts w:cs="Times New Roman"/>
          <w:szCs w:val="24"/>
        </w:rPr>
        <w:t xml:space="preserve"> </w:t>
      </w:r>
      <w:r w:rsidR="0025245A">
        <w:rPr>
          <w:rFonts w:cs="Times New Roman"/>
          <w:szCs w:val="24"/>
        </w:rPr>
        <w:t xml:space="preserve">potential </w:t>
      </w:r>
      <w:r w:rsidR="0025245A" w:rsidRPr="00F6205B">
        <w:rPr>
          <w:rFonts w:cs="Times New Roman"/>
          <w:szCs w:val="24"/>
        </w:rPr>
        <w:t>electric savings.</w:t>
      </w:r>
    </w:p>
    <w:p w14:paraId="5CD31C65" w14:textId="1DCA5113" w:rsidR="00EA3B60" w:rsidRPr="00F6205B" w:rsidRDefault="00EA3B60" w:rsidP="00D25E0C">
      <w:pPr>
        <w:pStyle w:val="Caption"/>
      </w:pPr>
      <w:bookmarkStart w:id="292" w:name="_Ref439323183"/>
      <w:bookmarkStart w:id="293" w:name="_Toc439931810"/>
      <w:r w:rsidRPr="00F6205B">
        <w:t xml:space="preserve">Figure </w:t>
      </w:r>
      <w:fldSimple w:instr=" SEQ Figure \* ARABIC ">
        <w:r w:rsidR="00FA26A9">
          <w:rPr>
            <w:noProof/>
          </w:rPr>
          <w:t>17</w:t>
        </w:r>
      </w:fldSimple>
      <w:bookmarkEnd w:id="292"/>
      <w:r w:rsidRPr="00F6205B">
        <w:t>: First Year and Tenth Year Cost-Effective and Achievable Potential Electric Savings</w:t>
      </w:r>
      <w:bookmarkEnd w:id="293"/>
    </w:p>
    <w:p w14:paraId="27E2A1B6" w14:textId="77777777" w:rsidR="00346A82" w:rsidRPr="00F6205B" w:rsidRDefault="00346A82">
      <w:pPr>
        <w:pStyle w:val="Caption"/>
        <w:spacing w:before="0" w:after="120"/>
        <w:rPr>
          <w:b w:val="0"/>
          <w:bCs w:val="0"/>
          <w:sz w:val="18"/>
        </w:rPr>
      </w:pPr>
      <w:r w:rsidRPr="00F6205B">
        <w:rPr>
          <w:b w:val="0"/>
          <w:bCs w:val="0"/>
          <w:sz w:val="18"/>
        </w:rPr>
        <w:t>Base: all single-family homes (population-weighted)</w:t>
      </w:r>
    </w:p>
    <w:p w14:paraId="753FCBF2" w14:textId="02ADCA85" w:rsidR="00EA3B60" w:rsidRPr="00F6205B" w:rsidRDefault="00F25391" w:rsidP="00F52E2F">
      <w:pPr>
        <w:keepNext/>
        <w:jc w:val="center"/>
      </w:pPr>
      <w:r w:rsidRPr="00F6205B">
        <w:rPr>
          <w:noProof/>
          <w:lang w:bidi="ar-SA"/>
        </w:rPr>
        <w:drawing>
          <wp:inline distT="0" distB="0" distL="0" distR="0" wp14:anchorId="7D8C766D" wp14:editId="2D9551B6">
            <wp:extent cx="4279900" cy="3060700"/>
            <wp:effectExtent l="0" t="0" r="635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79900" cy="3060700"/>
                    </a:xfrm>
                    <a:prstGeom prst="rect">
                      <a:avLst/>
                    </a:prstGeom>
                    <a:noFill/>
                  </pic:spPr>
                </pic:pic>
              </a:graphicData>
            </a:graphic>
          </wp:inline>
        </w:drawing>
      </w:r>
    </w:p>
    <w:p w14:paraId="5644A807" w14:textId="77777777" w:rsidR="00EA3B60" w:rsidRPr="00F6205B" w:rsidRDefault="00EA3B60" w:rsidP="00EA3B60"/>
    <w:p w14:paraId="7910FED2" w14:textId="2D562BAC" w:rsidR="00A50E67" w:rsidRPr="00F6205B" w:rsidRDefault="0035060D" w:rsidP="00A50E67">
      <w:pPr>
        <w:keepNext/>
        <w:rPr>
          <w:rFonts w:cs="Times New Roman"/>
          <w:szCs w:val="24"/>
        </w:rPr>
      </w:pPr>
      <w:r w:rsidRPr="00F6205B">
        <w:rPr>
          <w:rFonts w:cs="Times New Roman"/>
          <w:szCs w:val="24"/>
        </w:rPr>
        <w:fldChar w:fldCharType="begin"/>
      </w:r>
      <w:r w:rsidRPr="00F6205B">
        <w:rPr>
          <w:rFonts w:cs="Times New Roman"/>
          <w:szCs w:val="24"/>
        </w:rPr>
        <w:instrText xml:space="preserve"> REF _Ref439323844 \h </w:instrText>
      </w:r>
      <w:r>
        <w:rPr>
          <w:rFonts w:cs="Times New Roman"/>
          <w:szCs w:val="24"/>
        </w:rPr>
        <w:instrText xml:space="preserve"> \* MERGEFORMAT </w:instrText>
      </w:r>
      <w:r w:rsidRPr="00F6205B">
        <w:rPr>
          <w:rFonts w:cs="Times New Roman"/>
          <w:szCs w:val="24"/>
        </w:rPr>
      </w:r>
      <w:r w:rsidRPr="00F6205B">
        <w:rPr>
          <w:rFonts w:cs="Times New Roman"/>
          <w:szCs w:val="24"/>
        </w:rPr>
        <w:fldChar w:fldCharType="separate"/>
      </w:r>
      <w:r w:rsidR="00FA26A9" w:rsidRPr="00F6205B">
        <w:t xml:space="preserve">Table </w:t>
      </w:r>
      <w:r w:rsidR="00FA26A9">
        <w:rPr>
          <w:noProof/>
        </w:rPr>
        <w:t>30</w:t>
      </w:r>
      <w:r w:rsidRPr="00F6205B">
        <w:rPr>
          <w:rFonts w:cs="Times New Roman"/>
          <w:szCs w:val="24"/>
        </w:rPr>
        <w:fldChar w:fldCharType="end"/>
      </w:r>
      <w:r w:rsidRPr="00F6205B">
        <w:rPr>
          <w:rFonts w:cs="Times New Roman"/>
          <w:szCs w:val="24"/>
        </w:rPr>
        <w:t xml:space="preserve"> details total achievable potential savings by fuel type. Achievable savings represent about 5% of baseline consumption for all fuels </w:t>
      </w:r>
      <w:r>
        <w:rPr>
          <w:rFonts w:cs="Times New Roman"/>
          <w:szCs w:val="24"/>
        </w:rPr>
        <w:t xml:space="preserve">over the ten-year period from </w:t>
      </w:r>
      <w:r w:rsidRPr="00F6205B">
        <w:rPr>
          <w:rFonts w:cs="Times New Roman"/>
          <w:szCs w:val="24"/>
        </w:rPr>
        <w:t>2016</w:t>
      </w:r>
      <w:r>
        <w:rPr>
          <w:rFonts w:cs="Times New Roman"/>
          <w:szCs w:val="24"/>
        </w:rPr>
        <w:t xml:space="preserve"> to </w:t>
      </w:r>
      <w:r w:rsidRPr="00F6205B">
        <w:rPr>
          <w:rFonts w:cs="Times New Roman"/>
          <w:szCs w:val="24"/>
        </w:rPr>
        <w:t>2025. Achievable electric savings comprise 5% of baseline consumption in both the first year and in aggregate over ten years, while fossil fuel savings increase substantially over time. This is due to the gradual market adoption of measures.</w:t>
      </w:r>
      <w:r>
        <w:rPr>
          <w:rFonts w:cs="Times New Roman"/>
          <w:szCs w:val="24"/>
        </w:rPr>
        <w:t xml:space="preserve"> </w:t>
      </w:r>
      <w:r w:rsidRPr="0035060D">
        <w:rPr>
          <w:rFonts w:cs="Times New Roman"/>
          <w:szCs w:val="24"/>
        </w:rPr>
        <w:t xml:space="preserve">See </w:t>
      </w:r>
      <w:r w:rsidR="00A964F0">
        <w:rPr>
          <w:rFonts w:cs="Times New Roman"/>
          <w:szCs w:val="24"/>
        </w:rPr>
        <w:fldChar w:fldCharType="begin"/>
      </w:r>
      <w:r w:rsidR="00A964F0">
        <w:rPr>
          <w:rFonts w:cs="Times New Roman"/>
          <w:szCs w:val="24"/>
        </w:rPr>
        <w:instrText xml:space="preserve"> REF _Ref439934183 \n \h </w:instrText>
      </w:r>
      <w:r w:rsidR="00A964F0">
        <w:rPr>
          <w:rFonts w:cs="Times New Roman"/>
          <w:szCs w:val="24"/>
        </w:rPr>
      </w:r>
      <w:r w:rsidR="00A964F0">
        <w:rPr>
          <w:rFonts w:cs="Times New Roman"/>
          <w:szCs w:val="24"/>
        </w:rPr>
        <w:fldChar w:fldCharType="separate"/>
      </w:r>
      <w:r w:rsidR="00A964F0">
        <w:rPr>
          <w:rFonts w:cs="Times New Roman"/>
          <w:szCs w:val="24"/>
        </w:rPr>
        <w:t>Appendix F</w:t>
      </w:r>
      <w:r w:rsidR="00A964F0">
        <w:rPr>
          <w:rFonts w:cs="Times New Roman"/>
          <w:szCs w:val="24"/>
        </w:rPr>
        <w:fldChar w:fldCharType="end"/>
      </w:r>
      <w:r w:rsidR="00A964F0">
        <w:rPr>
          <w:rFonts w:cs="Times New Roman"/>
          <w:szCs w:val="24"/>
        </w:rPr>
        <w:t xml:space="preserve"> </w:t>
      </w:r>
      <w:r w:rsidRPr="0035060D">
        <w:rPr>
          <w:rFonts w:cs="Times New Roman"/>
          <w:szCs w:val="24"/>
        </w:rPr>
        <w:t>for more details regarding market adoption assumptions.</w:t>
      </w:r>
    </w:p>
    <w:p w14:paraId="1C0CB248" w14:textId="0A0A5F06" w:rsidR="00A50E67" w:rsidRPr="00F6205B" w:rsidRDefault="00A50E67" w:rsidP="004F23CF">
      <w:pPr>
        <w:pStyle w:val="Caption"/>
      </w:pPr>
      <w:bookmarkStart w:id="294" w:name="_Ref391629699"/>
      <w:bookmarkStart w:id="295" w:name="_Ref439323844"/>
      <w:bookmarkStart w:id="296" w:name="_Toc391887366"/>
      <w:bookmarkStart w:id="297" w:name="_Toc439931861"/>
      <w:r w:rsidRPr="00F6205B">
        <w:t>Table</w:t>
      </w:r>
      <w:bookmarkEnd w:id="294"/>
      <w:r w:rsidR="004F23CF" w:rsidRPr="00F6205B">
        <w:t xml:space="preserve"> </w:t>
      </w:r>
      <w:fldSimple w:instr=" SEQ Table \* ARABIC ">
        <w:r w:rsidR="00FA26A9">
          <w:rPr>
            <w:noProof/>
          </w:rPr>
          <w:t>30</w:t>
        </w:r>
      </w:fldSimple>
      <w:bookmarkEnd w:id="295"/>
      <w:r w:rsidRPr="00F6205B">
        <w:t xml:space="preserve">: Achievable Potential Savings— </w:t>
      </w:r>
      <w:r w:rsidR="00F32B0F" w:rsidRPr="00F6205B">
        <w:t xml:space="preserve">Ten-Year Aggregate </w:t>
      </w:r>
      <w:r w:rsidR="008C1B50" w:rsidRPr="00F6205B">
        <w:t>(2016-2025</w:t>
      </w:r>
      <w:r w:rsidRPr="00F6205B">
        <w:t>)*</w:t>
      </w:r>
      <w:bookmarkEnd w:id="296"/>
      <w:bookmarkEnd w:id="297"/>
    </w:p>
    <w:p w14:paraId="44B4732F" w14:textId="77777777" w:rsidR="00346A82" w:rsidRPr="00F6205B" w:rsidRDefault="00346A82" w:rsidP="00346A82">
      <w:pPr>
        <w:pStyle w:val="Caption"/>
        <w:spacing w:before="0" w:after="120"/>
        <w:rPr>
          <w:b w:val="0"/>
          <w:bCs w:val="0"/>
          <w:sz w:val="18"/>
        </w:rPr>
      </w:pPr>
      <w:r w:rsidRPr="00F6205B">
        <w:rPr>
          <w:b w:val="0"/>
          <w:bCs w:val="0"/>
          <w:sz w:val="18"/>
        </w:rPr>
        <w:t>Base: all single-family homes (population-weighted)</w:t>
      </w:r>
    </w:p>
    <w:tbl>
      <w:tblPr>
        <w:tblStyle w:val="TableGrid"/>
        <w:tblW w:w="11014"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4285"/>
        <w:gridCol w:w="1099"/>
        <w:gridCol w:w="1099"/>
        <w:gridCol w:w="1099"/>
        <w:gridCol w:w="1144"/>
        <w:gridCol w:w="1144"/>
        <w:gridCol w:w="1144"/>
      </w:tblGrid>
      <w:tr w:rsidR="00D91EFF" w:rsidRPr="00F6205B" w14:paraId="4B70909F" w14:textId="77777777" w:rsidTr="00F32B0F">
        <w:trPr>
          <w:trHeight w:val="288"/>
          <w:jc w:val="center"/>
        </w:trPr>
        <w:tc>
          <w:tcPr>
            <w:tcW w:w="4285" w:type="dxa"/>
            <w:tcBorders>
              <w:top w:val="single" w:sz="4" w:space="0" w:color="auto"/>
              <w:left w:val="single" w:sz="4" w:space="0" w:color="auto"/>
              <w:bottom w:val="single" w:sz="4" w:space="0" w:color="auto"/>
              <w:right w:val="single" w:sz="4" w:space="0" w:color="000000" w:themeColor="text1"/>
            </w:tcBorders>
            <w:shd w:val="clear" w:color="auto" w:fill="0B4D2C" w:themeFill="background2" w:themeFillShade="BF"/>
            <w:vAlign w:val="center"/>
          </w:tcPr>
          <w:p w14:paraId="23A5B7A1" w14:textId="77777777" w:rsidR="00D91EFF" w:rsidRPr="00F6205B" w:rsidRDefault="00D91EFF" w:rsidP="004F23CF">
            <w:pPr>
              <w:keepNext/>
              <w:keepLines/>
              <w:spacing w:after="0"/>
              <w:contextualSpacing/>
              <w:rPr>
                <w:b/>
                <w:sz w:val="20"/>
                <w:szCs w:val="20"/>
              </w:rPr>
            </w:pPr>
          </w:p>
        </w:tc>
        <w:tc>
          <w:tcPr>
            <w:tcW w:w="1099" w:type="dxa"/>
            <w:tcBorders>
              <w:top w:val="single" w:sz="4" w:space="0" w:color="auto"/>
              <w:bottom w:val="single" w:sz="4" w:space="0" w:color="auto"/>
              <w:right w:val="single" w:sz="4" w:space="0" w:color="000000" w:themeColor="text1"/>
            </w:tcBorders>
            <w:shd w:val="clear" w:color="auto" w:fill="0B4D2C" w:themeFill="background2" w:themeFillShade="BF"/>
            <w:vAlign w:val="center"/>
          </w:tcPr>
          <w:p w14:paraId="27825303" w14:textId="1E010583" w:rsidR="00D91EFF" w:rsidRPr="00F6205B" w:rsidRDefault="00D91EFF" w:rsidP="00050477">
            <w:pPr>
              <w:keepNext/>
              <w:keepLines/>
              <w:spacing w:after="0"/>
              <w:contextualSpacing/>
              <w:jc w:val="center"/>
              <w:rPr>
                <w:b/>
                <w:sz w:val="20"/>
                <w:szCs w:val="20"/>
              </w:rPr>
            </w:pPr>
            <w:r w:rsidRPr="00F6205B">
              <w:rPr>
                <w:b/>
                <w:sz w:val="20"/>
                <w:szCs w:val="20"/>
              </w:rPr>
              <w:t>Fuel Oil (gal)</w:t>
            </w:r>
          </w:p>
        </w:tc>
        <w:tc>
          <w:tcPr>
            <w:tcW w:w="1099" w:type="dxa"/>
            <w:tcBorders>
              <w:top w:val="single" w:sz="4" w:space="0" w:color="auto"/>
              <w:bottom w:val="single" w:sz="4" w:space="0" w:color="auto"/>
              <w:right w:val="single" w:sz="4" w:space="0" w:color="000000" w:themeColor="text1"/>
            </w:tcBorders>
            <w:shd w:val="clear" w:color="auto" w:fill="0B4D2C" w:themeFill="background2" w:themeFillShade="BF"/>
            <w:vAlign w:val="center"/>
          </w:tcPr>
          <w:p w14:paraId="4DB7646B" w14:textId="473D3172" w:rsidR="00D91EFF" w:rsidRPr="00F6205B" w:rsidRDefault="00D91EFF" w:rsidP="00D91EFF">
            <w:pPr>
              <w:keepNext/>
              <w:keepLines/>
              <w:spacing w:after="0"/>
              <w:contextualSpacing/>
              <w:jc w:val="center"/>
              <w:rPr>
                <w:b/>
                <w:sz w:val="20"/>
                <w:szCs w:val="20"/>
              </w:rPr>
            </w:pPr>
            <w:r w:rsidRPr="00F6205B">
              <w:rPr>
                <w:b/>
                <w:sz w:val="20"/>
                <w:szCs w:val="20"/>
              </w:rPr>
              <w:t>Nat. Gas (ccf)</w:t>
            </w:r>
          </w:p>
        </w:tc>
        <w:tc>
          <w:tcPr>
            <w:tcW w:w="1099" w:type="dxa"/>
            <w:tcBorders>
              <w:top w:val="single" w:sz="4" w:space="0" w:color="auto"/>
              <w:bottom w:val="single" w:sz="4" w:space="0" w:color="auto"/>
              <w:right w:val="single" w:sz="4" w:space="0" w:color="000000" w:themeColor="text1"/>
            </w:tcBorders>
            <w:shd w:val="clear" w:color="auto" w:fill="0B4D2C" w:themeFill="background2" w:themeFillShade="BF"/>
            <w:vAlign w:val="center"/>
          </w:tcPr>
          <w:p w14:paraId="0F943DE8" w14:textId="553051EF" w:rsidR="00D91EFF" w:rsidRPr="00F6205B" w:rsidRDefault="00D91EFF" w:rsidP="00050477">
            <w:pPr>
              <w:keepNext/>
              <w:keepLines/>
              <w:spacing w:after="0"/>
              <w:contextualSpacing/>
              <w:jc w:val="center"/>
              <w:rPr>
                <w:b/>
                <w:sz w:val="20"/>
                <w:szCs w:val="20"/>
              </w:rPr>
            </w:pPr>
            <w:r w:rsidRPr="00F6205B">
              <w:rPr>
                <w:b/>
                <w:sz w:val="20"/>
                <w:szCs w:val="20"/>
              </w:rPr>
              <w:t>Propane (gal)</w:t>
            </w:r>
          </w:p>
        </w:tc>
        <w:tc>
          <w:tcPr>
            <w:tcW w:w="1144" w:type="dxa"/>
            <w:tcBorders>
              <w:top w:val="single" w:sz="4" w:space="0" w:color="auto"/>
              <w:bottom w:val="single" w:sz="4" w:space="0" w:color="auto"/>
              <w:right w:val="single" w:sz="4" w:space="0" w:color="000000" w:themeColor="text1"/>
            </w:tcBorders>
            <w:shd w:val="clear" w:color="auto" w:fill="0B4D2C" w:themeFill="background2" w:themeFillShade="BF"/>
            <w:vAlign w:val="center"/>
          </w:tcPr>
          <w:p w14:paraId="4517A960" w14:textId="73BF6413" w:rsidR="00D91EFF" w:rsidRPr="00F6205B" w:rsidRDefault="00D91EFF" w:rsidP="00050477">
            <w:pPr>
              <w:keepNext/>
              <w:keepLines/>
              <w:spacing w:after="0"/>
              <w:contextualSpacing/>
              <w:jc w:val="center"/>
              <w:rPr>
                <w:b/>
                <w:sz w:val="20"/>
                <w:szCs w:val="20"/>
              </w:rPr>
            </w:pPr>
            <w:r w:rsidRPr="00F6205B">
              <w:rPr>
                <w:b/>
                <w:sz w:val="20"/>
                <w:szCs w:val="20"/>
              </w:rPr>
              <w:t>Electric (kWh)</w:t>
            </w:r>
          </w:p>
        </w:tc>
        <w:tc>
          <w:tcPr>
            <w:tcW w:w="1144" w:type="dxa"/>
            <w:tcBorders>
              <w:top w:val="single" w:sz="4" w:space="0" w:color="auto"/>
              <w:bottom w:val="single" w:sz="4" w:space="0" w:color="auto"/>
              <w:right w:val="single" w:sz="4" w:space="0" w:color="000000" w:themeColor="text1"/>
            </w:tcBorders>
            <w:shd w:val="clear" w:color="auto" w:fill="0B4D2C" w:themeFill="background2" w:themeFillShade="BF"/>
            <w:vAlign w:val="center"/>
          </w:tcPr>
          <w:p w14:paraId="3CF57884" w14:textId="6907CA76" w:rsidR="00D91EFF" w:rsidRPr="00F6205B" w:rsidRDefault="00D91EFF" w:rsidP="004F23CF">
            <w:pPr>
              <w:keepNext/>
              <w:keepLines/>
              <w:spacing w:after="0"/>
              <w:contextualSpacing/>
              <w:jc w:val="center"/>
              <w:rPr>
                <w:b/>
                <w:sz w:val="20"/>
                <w:szCs w:val="20"/>
              </w:rPr>
            </w:pPr>
            <w:r w:rsidRPr="00F6205B">
              <w:rPr>
                <w:b/>
                <w:sz w:val="20"/>
                <w:szCs w:val="20"/>
              </w:rPr>
              <w:t>Fossil Fuels (MMBtu)</w:t>
            </w:r>
          </w:p>
        </w:tc>
        <w:tc>
          <w:tcPr>
            <w:tcW w:w="1144" w:type="dxa"/>
            <w:tcBorders>
              <w:top w:val="single" w:sz="4" w:space="0" w:color="auto"/>
              <w:left w:val="single" w:sz="4" w:space="0" w:color="000000" w:themeColor="text1"/>
              <w:bottom w:val="single" w:sz="4" w:space="0" w:color="auto"/>
              <w:right w:val="single" w:sz="4" w:space="0" w:color="auto"/>
            </w:tcBorders>
            <w:shd w:val="clear" w:color="auto" w:fill="0B4D2C" w:themeFill="background2" w:themeFillShade="BF"/>
            <w:vAlign w:val="center"/>
          </w:tcPr>
          <w:p w14:paraId="37C99547" w14:textId="5BB15422" w:rsidR="00D91EFF" w:rsidRPr="00F6205B" w:rsidRDefault="00D91EFF" w:rsidP="004F23CF">
            <w:pPr>
              <w:keepNext/>
              <w:keepLines/>
              <w:spacing w:after="0"/>
              <w:contextualSpacing/>
              <w:jc w:val="center"/>
              <w:rPr>
                <w:b/>
                <w:sz w:val="20"/>
                <w:szCs w:val="20"/>
              </w:rPr>
            </w:pPr>
            <w:r w:rsidRPr="00F6205B">
              <w:rPr>
                <w:b/>
                <w:sz w:val="20"/>
                <w:szCs w:val="20"/>
              </w:rPr>
              <w:t>All Fuels (MMBtu)</w:t>
            </w:r>
          </w:p>
        </w:tc>
      </w:tr>
      <w:tr w:rsidR="00D91EFF" w:rsidRPr="00F6205B" w14:paraId="39ADDE3A" w14:textId="77777777" w:rsidTr="00F32B0F">
        <w:trPr>
          <w:trHeight w:val="288"/>
          <w:jc w:val="center"/>
        </w:trPr>
        <w:tc>
          <w:tcPr>
            <w:tcW w:w="4285" w:type="dxa"/>
            <w:tcBorders>
              <w:top w:val="single" w:sz="4" w:space="0" w:color="auto"/>
              <w:left w:val="single" w:sz="4" w:space="0" w:color="auto"/>
              <w:right w:val="single" w:sz="4" w:space="0" w:color="000000" w:themeColor="text1"/>
            </w:tcBorders>
          </w:tcPr>
          <w:p w14:paraId="3868F6B5" w14:textId="2D172515" w:rsidR="00D91EFF" w:rsidRPr="00F6205B" w:rsidRDefault="00D91EFF" w:rsidP="0023664A">
            <w:pPr>
              <w:keepNext/>
              <w:keepLines/>
              <w:spacing w:after="0"/>
              <w:contextualSpacing/>
              <w:rPr>
                <w:sz w:val="20"/>
                <w:szCs w:val="20"/>
              </w:rPr>
            </w:pPr>
            <w:r w:rsidRPr="00F6205B">
              <w:rPr>
                <w:sz w:val="20"/>
                <w:szCs w:val="20"/>
              </w:rPr>
              <w:t>Baseline annual consumption (2016)</w:t>
            </w:r>
          </w:p>
        </w:tc>
        <w:tc>
          <w:tcPr>
            <w:tcW w:w="1099" w:type="dxa"/>
            <w:tcBorders>
              <w:top w:val="single" w:sz="4" w:space="0" w:color="auto"/>
              <w:right w:val="single" w:sz="4" w:space="0" w:color="000000" w:themeColor="text1"/>
            </w:tcBorders>
            <w:vAlign w:val="center"/>
          </w:tcPr>
          <w:p w14:paraId="2DCD5A84" w14:textId="64FAE94E" w:rsidR="00D91EFF" w:rsidRPr="00F6205B" w:rsidRDefault="00D91EFF" w:rsidP="0023664A">
            <w:pPr>
              <w:keepNext/>
              <w:keepLines/>
              <w:tabs>
                <w:tab w:val="decimal" w:pos="579"/>
              </w:tabs>
              <w:spacing w:after="0"/>
              <w:contextualSpacing/>
              <w:rPr>
                <w:sz w:val="20"/>
                <w:szCs w:val="20"/>
              </w:rPr>
            </w:pPr>
            <w:r w:rsidRPr="00F6205B">
              <w:rPr>
                <w:sz w:val="20"/>
                <w:szCs w:val="20"/>
              </w:rPr>
              <w:t>526.6</w:t>
            </w:r>
          </w:p>
        </w:tc>
        <w:tc>
          <w:tcPr>
            <w:tcW w:w="1099" w:type="dxa"/>
            <w:tcBorders>
              <w:top w:val="single" w:sz="4" w:space="0" w:color="auto"/>
              <w:right w:val="single" w:sz="4" w:space="0" w:color="000000" w:themeColor="text1"/>
            </w:tcBorders>
            <w:vAlign w:val="center"/>
          </w:tcPr>
          <w:p w14:paraId="3A164ED9" w14:textId="54A7105C" w:rsidR="00D91EFF" w:rsidRPr="00F6205B" w:rsidRDefault="00D91EFF" w:rsidP="0023664A">
            <w:pPr>
              <w:keepNext/>
              <w:keepLines/>
              <w:tabs>
                <w:tab w:val="decimal" w:pos="575"/>
              </w:tabs>
              <w:spacing w:after="0"/>
              <w:contextualSpacing/>
              <w:rPr>
                <w:sz w:val="20"/>
                <w:szCs w:val="20"/>
              </w:rPr>
            </w:pPr>
            <w:r w:rsidRPr="00F6205B">
              <w:rPr>
                <w:sz w:val="20"/>
                <w:szCs w:val="20"/>
              </w:rPr>
              <w:t>326.8</w:t>
            </w:r>
          </w:p>
        </w:tc>
        <w:tc>
          <w:tcPr>
            <w:tcW w:w="1099" w:type="dxa"/>
            <w:tcBorders>
              <w:top w:val="single" w:sz="4" w:space="0" w:color="auto"/>
              <w:right w:val="single" w:sz="4" w:space="0" w:color="000000" w:themeColor="text1"/>
            </w:tcBorders>
            <w:vAlign w:val="center"/>
          </w:tcPr>
          <w:p w14:paraId="04DBACF5" w14:textId="4E352DB4" w:rsidR="00D91EFF" w:rsidRPr="00F6205B" w:rsidRDefault="00D91EFF" w:rsidP="0023664A">
            <w:pPr>
              <w:keepNext/>
              <w:keepLines/>
              <w:tabs>
                <w:tab w:val="decimal" w:pos="451"/>
              </w:tabs>
              <w:spacing w:after="0"/>
              <w:contextualSpacing/>
              <w:rPr>
                <w:sz w:val="20"/>
                <w:szCs w:val="20"/>
              </w:rPr>
            </w:pPr>
            <w:r w:rsidRPr="00F6205B">
              <w:rPr>
                <w:sz w:val="20"/>
                <w:szCs w:val="20"/>
              </w:rPr>
              <w:t>34.4</w:t>
            </w:r>
          </w:p>
        </w:tc>
        <w:tc>
          <w:tcPr>
            <w:tcW w:w="1144" w:type="dxa"/>
            <w:tcBorders>
              <w:top w:val="single" w:sz="4" w:space="0" w:color="auto"/>
              <w:right w:val="single" w:sz="4" w:space="0" w:color="000000" w:themeColor="text1"/>
            </w:tcBorders>
            <w:vAlign w:val="center"/>
          </w:tcPr>
          <w:p w14:paraId="7A86E979" w14:textId="11B9669C" w:rsidR="00D91EFF" w:rsidRPr="00F6205B" w:rsidRDefault="00D91EFF" w:rsidP="0023664A">
            <w:pPr>
              <w:keepNext/>
              <w:keepLines/>
              <w:tabs>
                <w:tab w:val="decimal" w:pos="702"/>
              </w:tabs>
              <w:spacing w:after="0"/>
              <w:contextualSpacing/>
              <w:rPr>
                <w:sz w:val="20"/>
                <w:szCs w:val="20"/>
              </w:rPr>
            </w:pPr>
            <w:r w:rsidRPr="00F6205B">
              <w:rPr>
                <w:sz w:val="20"/>
                <w:szCs w:val="20"/>
              </w:rPr>
              <w:t>12,047.2</w:t>
            </w:r>
          </w:p>
        </w:tc>
        <w:tc>
          <w:tcPr>
            <w:tcW w:w="1144" w:type="dxa"/>
            <w:tcBorders>
              <w:top w:val="single" w:sz="4" w:space="0" w:color="auto"/>
              <w:right w:val="single" w:sz="4" w:space="0" w:color="000000" w:themeColor="text1"/>
            </w:tcBorders>
            <w:vAlign w:val="center"/>
          </w:tcPr>
          <w:p w14:paraId="68E658F4" w14:textId="2839AAD5" w:rsidR="00D91EFF" w:rsidRPr="00F6205B" w:rsidRDefault="00EA60A8" w:rsidP="0023664A">
            <w:pPr>
              <w:keepNext/>
              <w:keepLines/>
              <w:tabs>
                <w:tab w:val="decimal" w:pos="488"/>
              </w:tabs>
              <w:spacing w:after="0"/>
              <w:contextualSpacing/>
              <w:rPr>
                <w:sz w:val="20"/>
                <w:szCs w:val="20"/>
              </w:rPr>
            </w:pPr>
            <w:r w:rsidRPr="00F6205B">
              <w:rPr>
                <w:sz w:val="20"/>
                <w:szCs w:val="20"/>
              </w:rPr>
              <w:t>108.9</w:t>
            </w:r>
          </w:p>
        </w:tc>
        <w:tc>
          <w:tcPr>
            <w:tcW w:w="1144" w:type="dxa"/>
            <w:tcBorders>
              <w:top w:val="single" w:sz="4" w:space="0" w:color="auto"/>
              <w:left w:val="single" w:sz="4" w:space="0" w:color="000000" w:themeColor="text1"/>
              <w:right w:val="single" w:sz="4" w:space="0" w:color="auto"/>
            </w:tcBorders>
            <w:vAlign w:val="center"/>
          </w:tcPr>
          <w:p w14:paraId="24B7C92F" w14:textId="301D2377" w:rsidR="00D91EFF" w:rsidRPr="00F6205B" w:rsidRDefault="00D91EFF" w:rsidP="0023664A">
            <w:pPr>
              <w:keepNext/>
              <w:keepLines/>
              <w:tabs>
                <w:tab w:val="decimal" w:pos="488"/>
              </w:tabs>
              <w:spacing w:after="0"/>
              <w:contextualSpacing/>
              <w:rPr>
                <w:sz w:val="20"/>
                <w:szCs w:val="20"/>
              </w:rPr>
            </w:pPr>
            <w:r w:rsidRPr="00F6205B">
              <w:rPr>
                <w:sz w:val="20"/>
                <w:szCs w:val="20"/>
              </w:rPr>
              <w:t>150.0</w:t>
            </w:r>
          </w:p>
        </w:tc>
      </w:tr>
      <w:tr w:rsidR="00D91EFF" w:rsidRPr="00F6205B" w14:paraId="71D63398" w14:textId="77777777" w:rsidTr="00F32B0F">
        <w:trPr>
          <w:trHeight w:val="288"/>
          <w:jc w:val="center"/>
        </w:trPr>
        <w:tc>
          <w:tcPr>
            <w:tcW w:w="4285" w:type="dxa"/>
            <w:tcBorders>
              <w:left w:val="single" w:sz="4" w:space="0" w:color="auto"/>
              <w:right w:val="single" w:sz="4" w:space="0" w:color="000000" w:themeColor="text1"/>
            </w:tcBorders>
          </w:tcPr>
          <w:p w14:paraId="5E331BDA" w14:textId="64BEE5DF" w:rsidR="00D91EFF" w:rsidRPr="00F6205B" w:rsidRDefault="00D91EFF" w:rsidP="0023664A">
            <w:pPr>
              <w:keepNext/>
              <w:keepLines/>
              <w:spacing w:after="0"/>
              <w:contextualSpacing/>
              <w:rPr>
                <w:sz w:val="20"/>
                <w:szCs w:val="20"/>
              </w:rPr>
            </w:pPr>
            <w:r w:rsidRPr="00F6205B">
              <w:rPr>
                <w:sz w:val="20"/>
                <w:szCs w:val="20"/>
              </w:rPr>
              <w:t>First year annual savings (2016)</w:t>
            </w:r>
          </w:p>
        </w:tc>
        <w:tc>
          <w:tcPr>
            <w:tcW w:w="1099" w:type="dxa"/>
            <w:tcBorders>
              <w:right w:val="single" w:sz="4" w:space="0" w:color="000000" w:themeColor="text1"/>
            </w:tcBorders>
            <w:vAlign w:val="center"/>
          </w:tcPr>
          <w:p w14:paraId="69C070A8" w14:textId="381C3104" w:rsidR="00D91EFF" w:rsidRPr="00F6205B" w:rsidRDefault="00F32B0F" w:rsidP="0023664A">
            <w:pPr>
              <w:keepNext/>
              <w:keepLines/>
              <w:tabs>
                <w:tab w:val="decimal" w:pos="579"/>
              </w:tabs>
              <w:spacing w:after="0"/>
              <w:contextualSpacing/>
              <w:rPr>
                <w:sz w:val="20"/>
                <w:szCs w:val="20"/>
              </w:rPr>
            </w:pPr>
            <w:r w:rsidRPr="00F6205B">
              <w:rPr>
                <w:sz w:val="20"/>
                <w:szCs w:val="20"/>
              </w:rPr>
              <w:t>10.3</w:t>
            </w:r>
          </w:p>
        </w:tc>
        <w:tc>
          <w:tcPr>
            <w:tcW w:w="1099" w:type="dxa"/>
            <w:tcBorders>
              <w:right w:val="single" w:sz="4" w:space="0" w:color="000000" w:themeColor="text1"/>
            </w:tcBorders>
            <w:vAlign w:val="center"/>
          </w:tcPr>
          <w:p w14:paraId="16AEBD8B" w14:textId="28ACFCBC" w:rsidR="00D91EFF" w:rsidRPr="00F6205B" w:rsidRDefault="00F32B0F" w:rsidP="0023664A">
            <w:pPr>
              <w:keepNext/>
              <w:keepLines/>
              <w:tabs>
                <w:tab w:val="decimal" w:pos="560"/>
              </w:tabs>
              <w:spacing w:after="0"/>
              <w:contextualSpacing/>
              <w:rPr>
                <w:sz w:val="20"/>
                <w:szCs w:val="20"/>
              </w:rPr>
            </w:pPr>
            <w:r w:rsidRPr="00F6205B">
              <w:rPr>
                <w:sz w:val="20"/>
                <w:szCs w:val="20"/>
              </w:rPr>
              <w:t>6.6</w:t>
            </w:r>
          </w:p>
        </w:tc>
        <w:tc>
          <w:tcPr>
            <w:tcW w:w="1099" w:type="dxa"/>
            <w:tcBorders>
              <w:right w:val="single" w:sz="4" w:space="0" w:color="000000" w:themeColor="text1"/>
            </w:tcBorders>
            <w:vAlign w:val="center"/>
          </w:tcPr>
          <w:p w14:paraId="48AA2F2C" w14:textId="2A8B2E35" w:rsidR="00D91EFF" w:rsidRPr="00F6205B" w:rsidRDefault="00F32B0F" w:rsidP="0023664A">
            <w:pPr>
              <w:keepNext/>
              <w:keepLines/>
              <w:tabs>
                <w:tab w:val="decimal" w:pos="451"/>
              </w:tabs>
              <w:spacing w:after="0"/>
              <w:contextualSpacing/>
              <w:rPr>
                <w:sz w:val="20"/>
                <w:szCs w:val="20"/>
              </w:rPr>
            </w:pPr>
            <w:r w:rsidRPr="00F6205B">
              <w:rPr>
                <w:sz w:val="20"/>
                <w:szCs w:val="20"/>
              </w:rPr>
              <w:t>0.4</w:t>
            </w:r>
          </w:p>
        </w:tc>
        <w:tc>
          <w:tcPr>
            <w:tcW w:w="1144" w:type="dxa"/>
            <w:tcBorders>
              <w:right w:val="single" w:sz="4" w:space="0" w:color="000000" w:themeColor="text1"/>
            </w:tcBorders>
            <w:vAlign w:val="center"/>
          </w:tcPr>
          <w:p w14:paraId="43E0953C" w14:textId="69F2512D" w:rsidR="00D91EFF" w:rsidRPr="00F6205B" w:rsidRDefault="00F32B0F" w:rsidP="0023664A">
            <w:pPr>
              <w:keepNext/>
              <w:keepLines/>
              <w:tabs>
                <w:tab w:val="decimal" w:pos="612"/>
              </w:tabs>
              <w:spacing w:after="0"/>
              <w:contextualSpacing/>
              <w:rPr>
                <w:sz w:val="20"/>
                <w:szCs w:val="20"/>
              </w:rPr>
            </w:pPr>
            <w:r w:rsidRPr="00F6205B">
              <w:rPr>
                <w:sz w:val="20"/>
                <w:szCs w:val="20"/>
              </w:rPr>
              <w:t>588.0</w:t>
            </w:r>
          </w:p>
        </w:tc>
        <w:tc>
          <w:tcPr>
            <w:tcW w:w="1144" w:type="dxa"/>
            <w:tcBorders>
              <w:right w:val="single" w:sz="4" w:space="0" w:color="000000" w:themeColor="text1"/>
            </w:tcBorders>
            <w:vAlign w:val="center"/>
          </w:tcPr>
          <w:p w14:paraId="6B619823" w14:textId="2EDDE15F" w:rsidR="00D91EFF" w:rsidRPr="00F6205B" w:rsidRDefault="00F32B0F" w:rsidP="0023664A">
            <w:pPr>
              <w:keepNext/>
              <w:keepLines/>
              <w:tabs>
                <w:tab w:val="decimal" w:pos="488"/>
              </w:tabs>
              <w:spacing w:after="0"/>
              <w:contextualSpacing/>
              <w:rPr>
                <w:sz w:val="20"/>
                <w:szCs w:val="20"/>
              </w:rPr>
            </w:pPr>
            <w:r w:rsidRPr="00F6205B">
              <w:rPr>
                <w:sz w:val="20"/>
                <w:szCs w:val="20"/>
              </w:rPr>
              <w:t>2.1</w:t>
            </w:r>
          </w:p>
        </w:tc>
        <w:tc>
          <w:tcPr>
            <w:tcW w:w="1144" w:type="dxa"/>
            <w:tcBorders>
              <w:left w:val="single" w:sz="4" w:space="0" w:color="000000" w:themeColor="text1"/>
              <w:right w:val="single" w:sz="4" w:space="0" w:color="auto"/>
            </w:tcBorders>
            <w:vAlign w:val="center"/>
          </w:tcPr>
          <w:p w14:paraId="19C9E801" w14:textId="1D5D1AAA" w:rsidR="00D91EFF" w:rsidRPr="00F6205B" w:rsidRDefault="00F32B0F" w:rsidP="0023664A">
            <w:pPr>
              <w:keepNext/>
              <w:keepLines/>
              <w:tabs>
                <w:tab w:val="decimal" w:pos="488"/>
              </w:tabs>
              <w:spacing w:after="0"/>
              <w:contextualSpacing/>
              <w:rPr>
                <w:sz w:val="20"/>
                <w:szCs w:val="20"/>
              </w:rPr>
            </w:pPr>
            <w:r w:rsidRPr="00F6205B">
              <w:rPr>
                <w:sz w:val="20"/>
                <w:szCs w:val="20"/>
              </w:rPr>
              <w:t>4.1</w:t>
            </w:r>
          </w:p>
        </w:tc>
      </w:tr>
      <w:tr w:rsidR="00D91EFF" w:rsidRPr="00F6205B" w14:paraId="655BA6B9" w14:textId="77777777" w:rsidTr="00F32B0F">
        <w:trPr>
          <w:trHeight w:val="288"/>
          <w:jc w:val="center"/>
        </w:trPr>
        <w:tc>
          <w:tcPr>
            <w:tcW w:w="4285" w:type="dxa"/>
            <w:tcBorders>
              <w:top w:val="single" w:sz="4" w:space="0" w:color="000000" w:themeColor="text1"/>
              <w:left w:val="single" w:sz="4" w:space="0" w:color="auto"/>
              <w:bottom w:val="single" w:sz="4" w:space="0" w:color="000000" w:themeColor="text1"/>
              <w:right w:val="single" w:sz="4" w:space="0" w:color="000000" w:themeColor="text1"/>
            </w:tcBorders>
          </w:tcPr>
          <w:p w14:paraId="41864821" w14:textId="4128CE47" w:rsidR="00D91EFF" w:rsidRPr="00F6205B" w:rsidRDefault="00D91EFF" w:rsidP="0023664A">
            <w:pPr>
              <w:keepNext/>
              <w:keepLines/>
              <w:spacing w:after="0"/>
              <w:contextualSpacing/>
              <w:rPr>
                <w:sz w:val="20"/>
                <w:szCs w:val="20"/>
              </w:rPr>
            </w:pPr>
            <w:r w:rsidRPr="00F6205B">
              <w:rPr>
                <w:i/>
                <w:sz w:val="20"/>
                <w:szCs w:val="20"/>
              </w:rPr>
              <w:t xml:space="preserve">   Percent savings from baseline, first year</w:t>
            </w:r>
          </w:p>
        </w:tc>
        <w:tc>
          <w:tcPr>
            <w:tcW w:w="1099" w:type="dxa"/>
            <w:tcBorders>
              <w:top w:val="single" w:sz="4" w:space="0" w:color="000000" w:themeColor="text1"/>
              <w:bottom w:val="single" w:sz="4" w:space="0" w:color="000000" w:themeColor="text1"/>
              <w:right w:val="single" w:sz="4" w:space="0" w:color="000000" w:themeColor="text1"/>
            </w:tcBorders>
            <w:vAlign w:val="center"/>
          </w:tcPr>
          <w:p w14:paraId="5789E1D8" w14:textId="7F74DD91" w:rsidR="00D91EFF" w:rsidRPr="00F6205B" w:rsidRDefault="00BA7627" w:rsidP="0023664A">
            <w:pPr>
              <w:tabs>
                <w:tab w:val="decimal" w:pos="489"/>
              </w:tabs>
              <w:contextualSpacing/>
              <w:rPr>
                <w:i/>
                <w:color w:val="000000"/>
                <w:sz w:val="20"/>
                <w:szCs w:val="20"/>
              </w:rPr>
            </w:pPr>
            <w:r w:rsidRPr="00F6205B">
              <w:rPr>
                <w:i/>
                <w:color w:val="000000"/>
                <w:sz w:val="20"/>
                <w:szCs w:val="20"/>
              </w:rPr>
              <w:t>2%</w:t>
            </w:r>
          </w:p>
        </w:tc>
        <w:tc>
          <w:tcPr>
            <w:tcW w:w="1099" w:type="dxa"/>
            <w:tcBorders>
              <w:top w:val="single" w:sz="4" w:space="0" w:color="000000" w:themeColor="text1"/>
              <w:bottom w:val="single" w:sz="4" w:space="0" w:color="000000" w:themeColor="text1"/>
              <w:right w:val="single" w:sz="4" w:space="0" w:color="000000" w:themeColor="text1"/>
            </w:tcBorders>
            <w:vAlign w:val="center"/>
          </w:tcPr>
          <w:p w14:paraId="5FA9FCB9" w14:textId="00F3AA3B" w:rsidR="00D91EFF" w:rsidRPr="00F6205B" w:rsidRDefault="00BA7627" w:rsidP="0023664A">
            <w:pPr>
              <w:tabs>
                <w:tab w:val="decimal" w:pos="489"/>
              </w:tabs>
              <w:contextualSpacing/>
              <w:rPr>
                <w:i/>
                <w:color w:val="000000"/>
                <w:sz w:val="20"/>
                <w:szCs w:val="20"/>
              </w:rPr>
            </w:pPr>
            <w:r w:rsidRPr="00F6205B">
              <w:rPr>
                <w:i/>
                <w:color w:val="000000"/>
                <w:sz w:val="20"/>
                <w:szCs w:val="20"/>
              </w:rPr>
              <w:t>2%</w:t>
            </w:r>
          </w:p>
        </w:tc>
        <w:tc>
          <w:tcPr>
            <w:tcW w:w="1099" w:type="dxa"/>
            <w:tcBorders>
              <w:top w:val="single" w:sz="4" w:space="0" w:color="000000" w:themeColor="text1"/>
              <w:bottom w:val="single" w:sz="4" w:space="0" w:color="000000" w:themeColor="text1"/>
              <w:right w:val="single" w:sz="4" w:space="0" w:color="000000" w:themeColor="text1"/>
            </w:tcBorders>
            <w:vAlign w:val="center"/>
          </w:tcPr>
          <w:p w14:paraId="17513C92" w14:textId="2E7E7730" w:rsidR="00D91EFF" w:rsidRPr="00F6205B" w:rsidRDefault="00BA7627" w:rsidP="0023664A">
            <w:pPr>
              <w:tabs>
                <w:tab w:val="decimal" w:pos="489"/>
              </w:tabs>
              <w:contextualSpacing/>
              <w:rPr>
                <w:i/>
                <w:color w:val="000000"/>
                <w:sz w:val="20"/>
                <w:szCs w:val="20"/>
              </w:rPr>
            </w:pPr>
            <w:r w:rsidRPr="00F6205B">
              <w:rPr>
                <w:i/>
                <w:color w:val="000000"/>
                <w:sz w:val="20"/>
                <w:szCs w:val="20"/>
              </w:rPr>
              <w:t>1%</w:t>
            </w:r>
          </w:p>
        </w:tc>
        <w:tc>
          <w:tcPr>
            <w:tcW w:w="1144" w:type="dxa"/>
            <w:tcBorders>
              <w:top w:val="single" w:sz="4" w:space="0" w:color="000000" w:themeColor="text1"/>
              <w:bottom w:val="single" w:sz="4" w:space="0" w:color="000000" w:themeColor="text1"/>
              <w:right w:val="single" w:sz="4" w:space="0" w:color="000000" w:themeColor="text1"/>
            </w:tcBorders>
            <w:vAlign w:val="center"/>
          </w:tcPr>
          <w:p w14:paraId="228D6E14" w14:textId="4341172A" w:rsidR="00D91EFF" w:rsidRPr="00F6205B" w:rsidRDefault="00BA7627" w:rsidP="0023664A">
            <w:pPr>
              <w:tabs>
                <w:tab w:val="decimal" w:pos="489"/>
              </w:tabs>
              <w:contextualSpacing/>
              <w:rPr>
                <w:i/>
                <w:color w:val="000000"/>
                <w:sz w:val="20"/>
                <w:szCs w:val="20"/>
              </w:rPr>
            </w:pPr>
            <w:r w:rsidRPr="00F6205B">
              <w:rPr>
                <w:i/>
                <w:color w:val="000000"/>
                <w:sz w:val="20"/>
                <w:szCs w:val="20"/>
              </w:rPr>
              <w:t>5%</w:t>
            </w:r>
          </w:p>
        </w:tc>
        <w:tc>
          <w:tcPr>
            <w:tcW w:w="1144" w:type="dxa"/>
            <w:tcBorders>
              <w:top w:val="single" w:sz="4" w:space="0" w:color="000000" w:themeColor="text1"/>
              <w:bottom w:val="single" w:sz="4" w:space="0" w:color="000000" w:themeColor="text1"/>
              <w:right w:val="single" w:sz="4" w:space="0" w:color="000000" w:themeColor="text1"/>
            </w:tcBorders>
            <w:vAlign w:val="center"/>
          </w:tcPr>
          <w:p w14:paraId="6ACBA7E4" w14:textId="5D69CA7E" w:rsidR="00D91EFF" w:rsidRPr="00F6205B" w:rsidRDefault="00BA7627" w:rsidP="0023664A">
            <w:pPr>
              <w:tabs>
                <w:tab w:val="decimal" w:pos="489"/>
              </w:tabs>
              <w:contextualSpacing/>
              <w:rPr>
                <w:i/>
                <w:color w:val="000000"/>
                <w:sz w:val="20"/>
                <w:szCs w:val="20"/>
              </w:rPr>
            </w:pPr>
            <w:r w:rsidRPr="00F6205B">
              <w:rPr>
                <w:i/>
                <w:color w:val="000000"/>
                <w:sz w:val="20"/>
                <w:szCs w:val="20"/>
              </w:rPr>
              <w:t>2%</w:t>
            </w:r>
          </w:p>
        </w:tc>
        <w:tc>
          <w:tcPr>
            <w:tcW w:w="114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6C4C238" w14:textId="17E78FF2" w:rsidR="00D91EFF" w:rsidRPr="00F6205B" w:rsidRDefault="00BA7627" w:rsidP="0023664A">
            <w:pPr>
              <w:tabs>
                <w:tab w:val="decimal" w:pos="489"/>
              </w:tabs>
              <w:contextualSpacing/>
              <w:rPr>
                <w:i/>
                <w:color w:val="000000"/>
                <w:sz w:val="20"/>
                <w:szCs w:val="20"/>
              </w:rPr>
            </w:pPr>
            <w:r w:rsidRPr="00F6205B">
              <w:rPr>
                <w:i/>
                <w:color w:val="000000"/>
                <w:sz w:val="20"/>
                <w:szCs w:val="20"/>
              </w:rPr>
              <w:t>3%</w:t>
            </w:r>
          </w:p>
        </w:tc>
      </w:tr>
      <w:tr w:rsidR="00D91EFF" w:rsidRPr="00F6205B" w14:paraId="53EECF05" w14:textId="77777777" w:rsidTr="00F32B0F">
        <w:trPr>
          <w:trHeight w:val="288"/>
          <w:jc w:val="center"/>
        </w:trPr>
        <w:tc>
          <w:tcPr>
            <w:tcW w:w="4285"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tcPr>
          <w:p w14:paraId="3033A4EC" w14:textId="557E3ECD" w:rsidR="00D91EFF" w:rsidRPr="00F6205B" w:rsidRDefault="00D91EFF" w:rsidP="0023664A">
            <w:pPr>
              <w:keepNext/>
              <w:keepLines/>
              <w:spacing w:after="0"/>
              <w:contextualSpacing/>
              <w:rPr>
                <w:sz w:val="20"/>
                <w:szCs w:val="20"/>
              </w:rPr>
            </w:pPr>
            <w:r w:rsidRPr="00F6205B">
              <w:rPr>
                <w:sz w:val="20"/>
                <w:szCs w:val="20"/>
              </w:rPr>
              <w:t>Baseline aggregate consumption (2016-2025)</w:t>
            </w:r>
          </w:p>
        </w:tc>
        <w:tc>
          <w:tcPr>
            <w:tcW w:w="1099" w:type="dxa"/>
            <w:tcBorders>
              <w:top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484ABD1D" w14:textId="4EF899AE" w:rsidR="00D91EFF" w:rsidRPr="00F6205B" w:rsidRDefault="00D91EFF" w:rsidP="0023664A">
            <w:pPr>
              <w:tabs>
                <w:tab w:val="decimal" w:pos="489"/>
              </w:tabs>
              <w:contextualSpacing/>
              <w:rPr>
                <w:color w:val="000000"/>
                <w:sz w:val="20"/>
                <w:szCs w:val="20"/>
              </w:rPr>
            </w:pPr>
            <w:r w:rsidRPr="00F6205B">
              <w:rPr>
                <w:color w:val="000000"/>
                <w:sz w:val="20"/>
                <w:szCs w:val="20"/>
              </w:rPr>
              <w:t>4,795.2</w:t>
            </w:r>
          </w:p>
        </w:tc>
        <w:tc>
          <w:tcPr>
            <w:tcW w:w="1099" w:type="dxa"/>
            <w:tcBorders>
              <w:top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7645D108" w14:textId="262DB140" w:rsidR="00D91EFF" w:rsidRPr="00F6205B" w:rsidRDefault="00D91EFF" w:rsidP="0023664A">
            <w:pPr>
              <w:tabs>
                <w:tab w:val="decimal" w:pos="489"/>
              </w:tabs>
              <w:contextualSpacing/>
              <w:rPr>
                <w:color w:val="000000"/>
                <w:sz w:val="20"/>
                <w:szCs w:val="20"/>
              </w:rPr>
            </w:pPr>
            <w:r w:rsidRPr="00F6205B">
              <w:rPr>
                <w:color w:val="000000"/>
                <w:sz w:val="20"/>
                <w:szCs w:val="20"/>
              </w:rPr>
              <w:t>3,372.9</w:t>
            </w:r>
          </w:p>
        </w:tc>
        <w:tc>
          <w:tcPr>
            <w:tcW w:w="1099" w:type="dxa"/>
            <w:tcBorders>
              <w:top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6F711564" w14:textId="0D7D8808" w:rsidR="00D91EFF" w:rsidRPr="00F6205B" w:rsidRDefault="00D91EFF" w:rsidP="0023664A">
            <w:pPr>
              <w:tabs>
                <w:tab w:val="decimal" w:pos="489"/>
              </w:tabs>
              <w:contextualSpacing/>
              <w:rPr>
                <w:color w:val="000000"/>
                <w:sz w:val="20"/>
                <w:szCs w:val="20"/>
              </w:rPr>
            </w:pPr>
            <w:r w:rsidRPr="00F6205B">
              <w:rPr>
                <w:color w:val="000000"/>
                <w:sz w:val="20"/>
                <w:szCs w:val="20"/>
              </w:rPr>
              <w:t>350.3</w:t>
            </w:r>
          </w:p>
        </w:tc>
        <w:tc>
          <w:tcPr>
            <w:tcW w:w="1144" w:type="dxa"/>
            <w:tcBorders>
              <w:top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604E9656" w14:textId="08BC632D" w:rsidR="00D91EFF" w:rsidRPr="00F6205B" w:rsidRDefault="00D91EFF" w:rsidP="0023664A">
            <w:pPr>
              <w:tabs>
                <w:tab w:val="decimal" w:pos="489"/>
              </w:tabs>
              <w:contextualSpacing/>
              <w:rPr>
                <w:color w:val="000000"/>
                <w:sz w:val="20"/>
                <w:szCs w:val="20"/>
              </w:rPr>
            </w:pPr>
            <w:r w:rsidRPr="00F6205B">
              <w:rPr>
                <w:color w:val="000000"/>
                <w:sz w:val="20"/>
                <w:szCs w:val="20"/>
              </w:rPr>
              <w:t>126,040.4</w:t>
            </w:r>
          </w:p>
        </w:tc>
        <w:tc>
          <w:tcPr>
            <w:tcW w:w="1144" w:type="dxa"/>
            <w:tcBorders>
              <w:top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47B2AEDD" w14:textId="14E1DD7A" w:rsidR="00D91EFF" w:rsidRPr="00F6205B" w:rsidRDefault="00EA60A8" w:rsidP="0023664A">
            <w:pPr>
              <w:tabs>
                <w:tab w:val="decimal" w:pos="489"/>
              </w:tabs>
              <w:contextualSpacing/>
              <w:rPr>
                <w:color w:val="000000"/>
                <w:sz w:val="20"/>
                <w:szCs w:val="20"/>
              </w:rPr>
            </w:pPr>
            <w:r w:rsidRPr="00F6205B">
              <w:rPr>
                <w:color w:val="000000"/>
                <w:sz w:val="20"/>
                <w:szCs w:val="20"/>
              </w:rPr>
              <w:t>1,034.3</w:t>
            </w:r>
          </w:p>
        </w:tc>
        <w:tc>
          <w:tcPr>
            <w:tcW w:w="1144"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41EA4892" w14:textId="21F4CEEA" w:rsidR="00D91EFF" w:rsidRPr="00F6205B" w:rsidRDefault="00D91EFF" w:rsidP="0023664A">
            <w:pPr>
              <w:tabs>
                <w:tab w:val="decimal" w:pos="489"/>
              </w:tabs>
              <w:contextualSpacing/>
              <w:rPr>
                <w:color w:val="000000"/>
                <w:sz w:val="20"/>
                <w:szCs w:val="20"/>
              </w:rPr>
            </w:pPr>
            <w:r w:rsidRPr="00F6205B">
              <w:rPr>
                <w:color w:val="000000"/>
                <w:sz w:val="20"/>
                <w:szCs w:val="20"/>
              </w:rPr>
              <w:t>1,464.4</w:t>
            </w:r>
          </w:p>
        </w:tc>
      </w:tr>
      <w:tr w:rsidR="00D91EFF" w:rsidRPr="00F6205B" w14:paraId="4F910527" w14:textId="77777777" w:rsidTr="00F32B0F">
        <w:trPr>
          <w:trHeight w:val="288"/>
          <w:jc w:val="center"/>
        </w:trPr>
        <w:tc>
          <w:tcPr>
            <w:tcW w:w="4285"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tcPr>
          <w:p w14:paraId="3B6EBEBA" w14:textId="673C2379" w:rsidR="00D91EFF" w:rsidRPr="00F6205B" w:rsidRDefault="00D91EFF" w:rsidP="0023664A">
            <w:pPr>
              <w:keepNext/>
              <w:keepLines/>
              <w:spacing w:after="0"/>
              <w:contextualSpacing/>
              <w:rPr>
                <w:sz w:val="20"/>
                <w:szCs w:val="20"/>
              </w:rPr>
            </w:pPr>
            <w:r w:rsidRPr="00F6205B">
              <w:rPr>
                <w:sz w:val="20"/>
                <w:szCs w:val="20"/>
              </w:rPr>
              <w:t>Ten-year aggregate savings (2016-2025)</w:t>
            </w:r>
          </w:p>
        </w:tc>
        <w:tc>
          <w:tcPr>
            <w:tcW w:w="1099" w:type="dxa"/>
            <w:tcBorders>
              <w:top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2297C10F" w14:textId="2C2C4EB9" w:rsidR="00D91EFF" w:rsidRPr="00F6205B" w:rsidRDefault="00F32B0F" w:rsidP="0023664A">
            <w:pPr>
              <w:tabs>
                <w:tab w:val="decimal" w:pos="489"/>
              </w:tabs>
              <w:contextualSpacing/>
              <w:rPr>
                <w:color w:val="000000"/>
                <w:sz w:val="20"/>
                <w:szCs w:val="20"/>
              </w:rPr>
            </w:pPr>
            <w:r w:rsidRPr="00F6205B">
              <w:rPr>
                <w:color w:val="000000"/>
                <w:sz w:val="20"/>
                <w:szCs w:val="20"/>
              </w:rPr>
              <w:t>251.7</w:t>
            </w:r>
          </w:p>
        </w:tc>
        <w:tc>
          <w:tcPr>
            <w:tcW w:w="1099" w:type="dxa"/>
            <w:tcBorders>
              <w:top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32D62DF9" w14:textId="58BCC6FD" w:rsidR="00D91EFF" w:rsidRPr="00F6205B" w:rsidRDefault="00F32B0F" w:rsidP="0023664A">
            <w:pPr>
              <w:tabs>
                <w:tab w:val="decimal" w:pos="489"/>
              </w:tabs>
              <w:contextualSpacing/>
              <w:rPr>
                <w:color w:val="000000"/>
                <w:sz w:val="20"/>
                <w:szCs w:val="20"/>
              </w:rPr>
            </w:pPr>
            <w:r w:rsidRPr="00F6205B">
              <w:rPr>
                <w:color w:val="000000"/>
                <w:sz w:val="20"/>
                <w:szCs w:val="20"/>
              </w:rPr>
              <w:t>165.5</w:t>
            </w:r>
          </w:p>
        </w:tc>
        <w:tc>
          <w:tcPr>
            <w:tcW w:w="1099" w:type="dxa"/>
            <w:tcBorders>
              <w:top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5DAE74E9" w14:textId="5AA3CA59" w:rsidR="00D91EFF" w:rsidRPr="00F6205B" w:rsidRDefault="00F32B0F" w:rsidP="0023664A">
            <w:pPr>
              <w:tabs>
                <w:tab w:val="decimal" w:pos="489"/>
              </w:tabs>
              <w:contextualSpacing/>
              <w:rPr>
                <w:color w:val="000000"/>
                <w:sz w:val="20"/>
                <w:szCs w:val="20"/>
              </w:rPr>
            </w:pPr>
            <w:r w:rsidRPr="00F6205B">
              <w:rPr>
                <w:color w:val="000000"/>
                <w:sz w:val="20"/>
                <w:szCs w:val="20"/>
              </w:rPr>
              <w:t>11.4</w:t>
            </w:r>
          </w:p>
        </w:tc>
        <w:tc>
          <w:tcPr>
            <w:tcW w:w="1144" w:type="dxa"/>
            <w:tcBorders>
              <w:top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08C7E51E" w14:textId="156C9E8B" w:rsidR="00D91EFF" w:rsidRPr="00F6205B" w:rsidRDefault="00F32B0F" w:rsidP="0023664A">
            <w:pPr>
              <w:tabs>
                <w:tab w:val="decimal" w:pos="489"/>
              </w:tabs>
              <w:contextualSpacing/>
              <w:rPr>
                <w:color w:val="000000"/>
                <w:sz w:val="20"/>
                <w:szCs w:val="20"/>
              </w:rPr>
            </w:pPr>
            <w:r w:rsidRPr="00F6205B">
              <w:rPr>
                <w:color w:val="000000"/>
                <w:sz w:val="20"/>
                <w:szCs w:val="20"/>
              </w:rPr>
              <w:t>5,913.6</w:t>
            </w:r>
          </w:p>
        </w:tc>
        <w:tc>
          <w:tcPr>
            <w:tcW w:w="1144" w:type="dxa"/>
            <w:tcBorders>
              <w:top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5671E67E" w14:textId="59832DDC" w:rsidR="00D91EFF" w:rsidRPr="00F6205B" w:rsidRDefault="00F32B0F" w:rsidP="0023664A">
            <w:pPr>
              <w:tabs>
                <w:tab w:val="decimal" w:pos="489"/>
              </w:tabs>
              <w:contextualSpacing/>
              <w:rPr>
                <w:color w:val="000000"/>
                <w:sz w:val="20"/>
                <w:szCs w:val="20"/>
              </w:rPr>
            </w:pPr>
            <w:r w:rsidRPr="00F6205B">
              <w:rPr>
                <w:color w:val="000000"/>
                <w:sz w:val="20"/>
                <w:szCs w:val="20"/>
              </w:rPr>
              <w:t>52.5</w:t>
            </w:r>
          </w:p>
        </w:tc>
        <w:tc>
          <w:tcPr>
            <w:tcW w:w="1144"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77AD5489" w14:textId="68422A86" w:rsidR="00D91EFF" w:rsidRPr="00F6205B" w:rsidRDefault="00F32B0F" w:rsidP="0023664A">
            <w:pPr>
              <w:tabs>
                <w:tab w:val="decimal" w:pos="489"/>
              </w:tabs>
              <w:contextualSpacing/>
              <w:rPr>
                <w:color w:val="000000"/>
                <w:sz w:val="20"/>
                <w:szCs w:val="20"/>
              </w:rPr>
            </w:pPr>
            <w:r w:rsidRPr="00F6205B">
              <w:rPr>
                <w:color w:val="000000"/>
                <w:sz w:val="20"/>
                <w:szCs w:val="20"/>
              </w:rPr>
              <w:t>72.7</w:t>
            </w:r>
          </w:p>
        </w:tc>
      </w:tr>
      <w:tr w:rsidR="00D91EFF" w:rsidRPr="00F6205B" w14:paraId="5DD050DC" w14:textId="77777777" w:rsidTr="00F32B0F">
        <w:trPr>
          <w:trHeight w:val="288"/>
          <w:jc w:val="center"/>
        </w:trPr>
        <w:tc>
          <w:tcPr>
            <w:tcW w:w="4285" w:type="dxa"/>
            <w:tcBorders>
              <w:top w:val="single" w:sz="4" w:space="0" w:color="000000" w:themeColor="text1"/>
              <w:left w:val="single" w:sz="4" w:space="0" w:color="auto"/>
              <w:bottom w:val="single" w:sz="4" w:space="0" w:color="auto"/>
              <w:right w:val="single" w:sz="4" w:space="0" w:color="000000" w:themeColor="text1"/>
            </w:tcBorders>
            <w:shd w:val="clear" w:color="auto" w:fill="BFBFBF" w:themeFill="background1" w:themeFillShade="BF"/>
          </w:tcPr>
          <w:p w14:paraId="2B015663" w14:textId="0929D378" w:rsidR="00D91EFF" w:rsidRPr="00F6205B" w:rsidRDefault="00D91EFF" w:rsidP="0023664A">
            <w:pPr>
              <w:keepNext/>
              <w:keepLines/>
              <w:spacing w:after="0"/>
              <w:contextualSpacing/>
              <w:rPr>
                <w:sz w:val="20"/>
                <w:szCs w:val="20"/>
              </w:rPr>
            </w:pPr>
            <w:r w:rsidRPr="00F6205B">
              <w:rPr>
                <w:i/>
                <w:sz w:val="20"/>
                <w:szCs w:val="20"/>
              </w:rPr>
              <w:t xml:space="preserve">   Percent savings from baseline, ten-year</w:t>
            </w:r>
          </w:p>
        </w:tc>
        <w:tc>
          <w:tcPr>
            <w:tcW w:w="1099" w:type="dxa"/>
            <w:tcBorders>
              <w:top w:val="single" w:sz="4" w:space="0" w:color="000000" w:themeColor="text1"/>
              <w:bottom w:val="single" w:sz="4" w:space="0" w:color="auto"/>
              <w:right w:val="single" w:sz="4" w:space="0" w:color="000000" w:themeColor="text1"/>
            </w:tcBorders>
            <w:shd w:val="clear" w:color="auto" w:fill="BFBFBF" w:themeFill="background1" w:themeFillShade="BF"/>
            <w:vAlign w:val="center"/>
          </w:tcPr>
          <w:p w14:paraId="6D5BDCF1" w14:textId="09BB37FD" w:rsidR="00D91EFF" w:rsidRPr="00F6205B" w:rsidRDefault="00BA7627" w:rsidP="0023664A">
            <w:pPr>
              <w:tabs>
                <w:tab w:val="decimal" w:pos="489"/>
              </w:tabs>
              <w:contextualSpacing/>
              <w:rPr>
                <w:i/>
                <w:color w:val="000000"/>
                <w:sz w:val="20"/>
                <w:szCs w:val="20"/>
              </w:rPr>
            </w:pPr>
            <w:r w:rsidRPr="00F6205B">
              <w:rPr>
                <w:i/>
                <w:color w:val="000000"/>
                <w:sz w:val="20"/>
                <w:szCs w:val="20"/>
              </w:rPr>
              <w:t>5%</w:t>
            </w:r>
          </w:p>
        </w:tc>
        <w:tc>
          <w:tcPr>
            <w:tcW w:w="1099" w:type="dxa"/>
            <w:tcBorders>
              <w:top w:val="single" w:sz="4" w:space="0" w:color="000000" w:themeColor="text1"/>
              <w:bottom w:val="single" w:sz="4" w:space="0" w:color="auto"/>
              <w:right w:val="single" w:sz="4" w:space="0" w:color="000000" w:themeColor="text1"/>
            </w:tcBorders>
            <w:shd w:val="clear" w:color="auto" w:fill="BFBFBF" w:themeFill="background1" w:themeFillShade="BF"/>
            <w:vAlign w:val="center"/>
          </w:tcPr>
          <w:p w14:paraId="7838069A" w14:textId="37F28DDE" w:rsidR="00D91EFF" w:rsidRPr="00F6205B" w:rsidRDefault="00BA7627" w:rsidP="0023664A">
            <w:pPr>
              <w:tabs>
                <w:tab w:val="decimal" w:pos="489"/>
              </w:tabs>
              <w:contextualSpacing/>
              <w:rPr>
                <w:i/>
                <w:color w:val="000000"/>
                <w:sz w:val="20"/>
                <w:szCs w:val="20"/>
              </w:rPr>
            </w:pPr>
            <w:r w:rsidRPr="00F6205B">
              <w:rPr>
                <w:i/>
                <w:color w:val="000000"/>
                <w:sz w:val="20"/>
                <w:szCs w:val="20"/>
              </w:rPr>
              <w:t>5%</w:t>
            </w:r>
          </w:p>
        </w:tc>
        <w:tc>
          <w:tcPr>
            <w:tcW w:w="1099" w:type="dxa"/>
            <w:tcBorders>
              <w:top w:val="single" w:sz="4" w:space="0" w:color="000000" w:themeColor="text1"/>
              <w:bottom w:val="single" w:sz="4" w:space="0" w:color="auto"/>
              <w:right w:val="single" w:sz="4" w:space="0" w:color="000000" w:themeColor="text1"/>
            </w:tcBorders>
            <w:shd w:val="clear" w:color="auto" w:fill="BFBFBF" w:themeFill="background1" w:themeFillShade="BF"/>
            <w:vAlign w:val="center"/>
          </w:tcPr>
          <w:p w14:paraId="1862484B" w14:textId="3B6D3D94" w:rsidR="00D91EFF" w:rsidRPr="00F6205B" w:rsidRDefault="00BA7627" w:rsidP="0023664A">
            <w:pPr>
              <w:tabs>
                <w:tab w:val="decimal" w:pos="489"/>
              </w:tabs>
              <w:contextualSpacing/>
              <w:rPr>
                <w:i/>
                <w:color w:val="000000"/>
                <w:sz w:val="20"/>
                <w:szCs w:val="20"/>
              </w:rPr>
            </w:pPr>
            <w:r w:rsidRPr="00F6205B">
              <w:rPr>
                <w:i/>
                <w:color w:val="000000"/>
                <w:sz w:val="20"/>
                <w:szCs w:val="20"/>
              </w:rPr>
              <w:t>3%</w:t>
            </w:r>
          </w:p>
        </w:tc>
        <w:tc>
          <w:tcPr>
            <w:tcW w:w="1144" w:type="dxa"/>
            <w:tcBorders>
              <w:top w:val="single" w:sz="4" w:space="0" w:color="000000" w:themeColor="text1"/>
              <w:bottom w:val="single" w:sz="4" w:space="0" w:color="auto"/>
              <w:right w:val="single" w:sz="4" w:space="0" w:color="000000" w:themeColor="text1"/>
            </w:tcBorders>
            <w:shd w:val="clear" w:color="auto" w:fill="BFBFBF" w:themeFill="background1" w:themeFillShade="BF"/>
            <w:vAlign w:val="center"/>
          </w:tcPr>
          <w:p w14:paraId="0D7C32F3" w14:textId="5E1E9A7B" w:rsidR="00D91EFF" w:rsidRPr="00F6205B" w:rsidRDefault="00BA7627" w:rsidP="0023664A">
            <w:pPr>
              <w:tabs>
                <w:tab w:val="decimal" w:pos="489"/>
              </w:tabs>
              <w:contextualSpacing/>
              <w:rPr>
                <w:i/>
                <w:color w:val="000000"/>
                <w:sz w:val="20"/>
                <w:szCs w:val="20"/>
              </w:rPr>
            </w:pPr>
            <w:r w:rsidRPr="00F6205B">
              <w:rPr>
                <w:i/>
                <w:color w:val="000000"/>
                <w:sz w:val="20"/>
                <w:szCs w:val="20"/>
              </w:rPr>
              <w:t>5%</w:t>
            </w:r>
          </w:p>
        </w:tc>
        <w:tc>
          <w:tcPr>
            <w:tcW w:w="1144" w:type="dxa"/>
            <w:tcBorders>
              <w:top w:val="single" w:sz="4" w:space="0" w:color="000000" w:themeColor="text1"/>
              <w:bottom w:val="single" w:sz="4" w:space="0" w:color="auto"/>
              <w:right w:val="single" w:sz="4" w:space="0" w:color="000000" w:themeColor="text1"/>
            </w:tcBorders>
            <w:shd w:val="clear" w:color="auto" w:fill="BFBFBF" w:themeFill="background1" w:themeFillShade="BF"/>
            <w:vAlign w:val="center"/>
          </w:tcPr>
          <w:p w14:paraId="3DB1264D" w14:textId="5EAA61C2" w:rsidR="00D91EFF" w:rsidRPr="00F6205B" w:rsidRDefault="00BA7627" w:rsidP="0023664A">
            <w:pPr>
              <w:tabs>
                <w:tab w:val="decimal" w:pos="489"/>
              </w:tabs>
              <w:contextualSpacing/>
              <w:rPr>
                <w:i/>
                <w:color w:val="000000"/>
                <w:sz w:val="20"/>
                <w:szCs w:val="20"/>
              </w:rPr>
            </w:pPr>
            <w:r w:rsidRPr="00F6205B">
              <w:rPr>
                <w:i/>
                <w:color w:val="000000"/>
                <w:sz w:val="20"/>
                <w:szCs w:val="20"/>
              </w:rPr>
              <w:t>5%</w:t>
            </w:r>
          </w:p>
        </w:tc>
        <w:tc>
          <w:tcPr>
            <w:tcW w:w="1144" w:type="dxa"/>
            <w:tcBorders>
              <w:top w:val="single" w:sz="4" w:space="0" w:color="000000" w:themeColor="text1"/>
              <w:left w:val="single" w:sz="4" w:space="0" w:color="000000" w:themeColor="text1"/>
              <w:bottom w:val="single" w:sz="4" w:space="0" w:color="auto"/>
              <w:right w:val="single" w:sz="4" w:space="0" w:color="auto"/>
            </w:tcBorders>
            <w:shd w:val="clear" w:color="auto" w:fill="BFBFBF" w:themeFill="background1" w:themeFillShade="BF"/>
            <w:vAlign w:val="center"/>
          </w:tcPr>
          <w:p w14:paraId="70BB559D" w14:textId="37820D20" w:rsidR="00D91EFF" w:rsidRPr="00F6205B" w:rsidRDefault="00BA7627" w:rsidP="0023664A">
            <w:pPr>
              <w:tabs>
                <w:tab w:val="decimal" w:pos="489"/>
              </w:tabs>
              <w:contextualSpacing/>
              <w:rPr>
                <w:i/>
                <w:color w:val="000000"/>
                <w:sz w:val="20"/>
                <w:szCs w:val="20"/>
              </w:rPr>
            </w:pPr>
            <w:r w:rsidRPr="00F6205B">
              <w:rPr>
                <w:i/>
                <w:color w:val="000000"/>
                <w:sz w:val="20"/>
                <w:szCs w:val="20"/>
              </w:rPr>
              <w:t>5%</w:t>
            </w:r>
          </w:p>
        </w:tc>
      </w:tr>
    </w:tbl>
    <w:p w14:paraId="0817F2E2" w14:textId="47A7194D" w:rsidR="00A50E67" w:rsidRPr="00F6205B" w:rsidRDefault="00607940" w:rsidP="00607940">
      <w:pPr>
        <w:rPr>
          <w:rFonts w:cs="Times New Roman"/>
          <w:sz w:val="18"/>
          <w:szCs w:val="18"/>
        </w:rPr>
      </w:pPr>
      <w:r w:rsidRPr="00F6205B">
        <w:rPr>
          <w:sz w:val="18"/>
          <w:szCs w:val="18"/>
        </w:rPr>
        <w:t xml:space="preserve">* </w:t>
      </w:r>
      <w:r w:rsidR="00A50E67" w:rsidRPr="00F6205B">
        <w:rPr>
          <w:sz w:val="18"/>
          <w:szCs w:val="18"/>
        </w:rPr>
        <w:t>Savings are in millions of units.</w:t>
      </w:r>
    </w:p>
    <w:p w14:paraId="7B248D45" w14:textId="74450BA1" w:rsidR="00A50E67" w:rsidRPr="00F6205B" w:rsidRDefault="00607940" w:rsidP="00F52E2F">
      <w:pPr>
        <w:keepNext/>
        <w:rPr>
          <w:rFonts w:cs="Times New Roman"/>
          <w:szCs w:val="24"/>
        </w:rPr>
      </w:pPr>
      <w:r w:rsidRPr="00F6205B">
        <w:rPr>
          <w:rFonts w:cs="Times New Roman"/>
          <w:szCs w:val="24"/>
        </w:rPr>
        <w:lastRenderedPageBreak/>
        <w:fldChar w:fldCharType="begin"/>
      </w:r>
      <w:r w:rsidRPr="00F6205B">
        <w:rPr>
          <w:rFonts w:cs="Times New Roman"/>
          <w:szCs w:val="24"/>
        </w:rPr>
        <w:instrText xml:space="preserve"> REF _Ref439324117 \h </w:instrText>
      </w:r>
      <w:r w:rsidR="00F6205B">
        <w:rPr>
          <w:rFonts w:cs="Times New Roman"/>
          <w:szCs w:val="24"/>
        </w:rPr>
        <w:instrText xml:space="preserve"> \* MERGEFORMAT </w:instrText>
      </w:r>
      <w:r w:rsidRPr="00F6205B">
        <w:rPr>
          <w:rFonts w:cs="Times New Roman"/>
          <w:szCs w:val="24"/>
        </w:rPr>
      </w:r>
      <w:r w:rsidRPr="00F6205B">
        <w:rPr>
          <w:rFonts w:cs="Times New Roman"/>
          <w:szCs w:val="24"/>
        </w:rPr>
        <w:fldChar w:fldCharType="separate"/>
      </w:r>
      <w:r w:rsidR="00FA26A9" w:rsidRPr="00F6205B">
        <w:t xml:space="preserve">Figure </w:t>
      </w:r>
      <w:r w:rsidR="00FA26A9">
        <w:rPr>
          <w:noProof/>
        </w:rPr>
        <w:t>18</w:t>
      </w:r>
      <w:r w:rsidRPr="00F6205B">
        <w:rPr>
          <w:rFonts w:cs="Times New Roman"/>
          <w:szCs w:val="24"/>
        </w:rPr>
        <w:fldChar w:fldCharType="end"/>
      </w:r>
      <w:r w:rsidRPr="00F6205B">
        <w:rPr>
          <w:rFonts w:cs="Times New Roman"/>
          <w:szCs w:val="24"/>
        </w:rPr>
        <w:t xml:space="preserve"> </w:t>
      </w:r>
      <w:r w:rsidR="00A50E67" w:rsidRPr="00F6205B">
        <w:rPr>
          <w:rFonts w:cs="Times New Roman"/>
          <w:szCs w:val="24"/>
        </w:rPr>
        <w:t xml:space="preserve">shows the growth in achievable potential savings </w:t>
      </w:r>
      <w:r w:rsidR="00A666D2">
        <w:rPr>
          <w:rFonts w:cs="Times New Roman"/>
          <w:szCs w:val="24"/>
        </w:rPr>
        <w:t xml:space="preserve">over time, measured in MMBtu </w:t>
      </w:r>
      <w:r w:rsidRPr="00F6205B">
        <w:rPr>
          <w:rFonts w:cs="Times New Roman"/>
          <w:szCs w:val="24"/>
        </w:rPr>
        <w:t xml:space="preserve">to </w:t>
      </w:r>
      <w:r w:rsidR="00A666D2">
        <w:rPr>
          <w:rFonts w:cs="Times New Roman"/>
          <w:szCs w:val="24"/>
        </w:rPr>
        <w:t>make</w:t>
      </w:r>
      <w:r w:rsidRPr="00F6205B">
        <w:rPr>
          <w:rFonts w:cs="Times New Roman"/>
          <w:szCs w:val="24"/>
        </w:rPr>
        <w:t xml:space="preserve"> direct comparison between fuels</w:t>
      </w:r>
      <w:r w:rsidR="00A666D2">
        <w:rPr>
          <w:rFonts w:cs="Times New Roman"/>
          <w:szCs w:val="24"/>
        </w:rPr>
        <w:t xml:space="preserve"> possible</w:t>
      </w:r>
      <w:r w:rsidR="00A50E67" w:rsidRPr="00F6205B">
        <w:rPr>
          <w:rFonts w:cs="Times New Roman"/>
          <w:szCs w:val="24"/>
        </w:rPr>
        <w:t xml:space="preserve">. The analysis shows that due to the gradual adoption of upgrades and increasing market penetration of new technologies, achievable potential savings overall increase </w:t>
      </w:r>
      <w:r w:rsidR="007D7175" w:rsidRPr="00F6205B">
        <w:rPr>
          <w:rFonts w:cs="Times New Roman"/>
          <w:szCs w:val="24"/>
        </w:rPr>
        <w:t>between 2016</w:t>
      </w:r>
      <w:r w:rsidR="00A50E67" w:rsidRPr="00F6205B">
        <w:rPr>
          <w:rFonts w:cs="Times New Roman"/>
          <w:szCs w:val="24"/>
        </w:rPr>
        <w:t xml:space="preserve"> and 2019, after which point their growth slows due to a downturn in achievable electric savings</w:t>
      </w:r>
      <w:r w:rsidR="00112069">
        <w:rPr>
          <w:rFonts w:cs="Times New Roman"/>
          <w:szCs w:val="24"/>
        </w:rPr>
        <w:t xml:space="preserve"> resulting from</w:t>
      </w:r>
      <w:r w:rsidR="0078768D" w:rsidRPr="00F6205B">
        <w:rPr>
          <w:rFonts w:cs="Times New Roman"/>
          <w:szCs w:val="24"/>
        </w:rPr>
        <w:t xml:space="preserve"> changing</w:t>
      </w:r>
      <w:r w:rsidR="007D7175" w:rsidRPr="00F6205B">
        <w:rPr>
          <w:rFonts w:cs="Times New Roman"/>
          <w:szCs w:val="24"/>
        </w:rPr>
        <w:t xml:space="preserve"> </w:t>
      </w:r>
      <w:r w:rsidR="00A50E67" w:rsidRPr="00F6205B">
        <w:rPr>
          <w:rFonts w:cs="Times New Roman"/>
          <w:szCs w:val="24"/>
        </w:rPr>
        <w:t>federal minimum efficiency standards.</w:t>
      </w:r>
      <w:r w:rsidR="007D7175" w:rsidRPr="00F6205B">
        <w:rPr>
          <w:rFonts w:cs="Times New Roman"/>
          <w:szCs w:val="24"/>
        </w:rPr>
        <w:t xml:space="preserve"> In particular, standards</w:t>
      </w:r>
      <w:r w:rsidR="00930EBA" w:rsidRPr="00F6205B">
        <w:rPr>
          <w:rFonts w:cs="Times New Roman"/>
          <w:szCs w:val="24"/>
        </w:rPr>
        <w:t xml:space="preserve"> for residential appliances, and </w:t>
      </w:r>
      <w:r w:rsidR="007D7175" w:rsidRPr="00F6205B">
        <w:rPr>
          <w:rFonts w:cs="Times New Roman"/>
          <w:szCs w:val="24"/>
        </w:rPr>
        <w:t>especially lighting</w:t>
      </w:r>
      <w:r w:rsidR="00930EBA" w:rsidRPr="00F6205B">
        <w:rPr>
          <w:rFonts w:cs="Times New Roman"/>
          <w:szCs w:val="24"/>
        </w:rPr>
        <w:t>,</w:t>
      </w:r>
      <w:r w:rsidR="007D7175" w:rsidRPr="00F6205B">
        <w:rPr>
          <w:rFonts w:cs="Times New Roman"/>
          <w:szCs w:val="24"/>
        </w:rPr>
        <w:t xml:space="preserve"> will become much more stringent around the year 2020.</w:t>
      </w:r>
    </w:p>
    <w:p w14:paraId="444C9118" w14:textId="03E20962" w:rsidR="00A50E67" w:rsidRPr="00F6205B" w:rsidRDefault="00A50E67" w:rsidP="006A6433">
      <w:pPr>
        <w:pStyle w:val="Caption"/>
      </w:pPr>
      <w:bookmarkStart w:id="298" w:name="_Ref391032173"/>
      <w:bookmarkStart w:id="299" w:name="_Ref439324117"/>
      <w:bookmarkStart w:id="300" w:name="_Toc391887404"/>
      <w:bookmarkStart w:id="301" w:name="_Toc439931811"/>
      <w:r w:rsidRPr="00F6205B">
        <w:t>Figure</w:t>
      </w:r>
      <w:bookmarkEnd w:id="298"/>
      <w:r w:rsidR="004F23CF" w:rsidRPr="00F6205B">
        <w:t xml:space="preserve"> </w:t>
      </w:r>
      <w:fldSimple w:instr=" SEQ Figure \* ARABIC ">
        <w:r w:rsidR="00FA26A9">
          <w:rPr>
            <w:noProof/>
          </w:rPr>
          <w:t>18</w:t>
        </w:r>
      </w:fldSimple>
      <w:bookmarkEnd w:id="299"/>
      <w:r w:rsidRPr="00F6205B">
        <w:t xml:space="preserve">: Achievable Potential Savings Growth </w:t>
      </w:r>
      <w:r w:rsidR="00960E86" w:rsidRPr="00F6205B">
        <w:t>Rendered</w:t>
      </w:r>
      <w:r w:rsidRPr="00F6205B">
        <w:t xml:space="preserve"> in MMBtu</w:t>
      </w:r>
      <w:bookmarkEnd w:id="300"/>
      <w:bookmarkEnd w:id="301"/>
    </w:p>
    <w:p w14:paraId="2AF95A27" w14:textId="34040416" w:rsidR="00346A82" w:rsidRPr="00F6205B" w:rsidRDefault="00346A82" w:rsidP="00A55F7D">
      <w:pPr>
        <w:pStyle w:val="Caption"/>
        <w:spacing w:before="0" w:after="120"/>
        <w:rPr>
          <w:b w:val="0"/>
          <w:bCs w:val="0"/>
          <w:sz w:val="18"/>
        </w:rPr>
      </w:pPr>
      <w:r w:rsidRPr="00F6205B">
        <w:rPr>
          <w:b w:val="0"/>
          <w:bCs w:val="0"/>
          <w:sz w:val="18"/>
        </w:rPr>
        <w:t>Base: all single-family homes (population-weighted)</w:t>
      </w:r>
    </w:p>
    <w:p w14:paraId="48671777" w14:textId="005C007E" w:rsidR="00A50E67" w:rsidRPr="00F6205B" w:rsidRDefault="00EB0F00" w:rsidP="00F52E2F">
      <w:pPr>
        <w:keepNext/>
        <w:jc w:val="center"/>
      </w:pPr>
      <w:r w:rsidRPr="00F6205B">
        <w:rPr>
          <w:noProof/>
          <w:lang w:bidi="ar-SA"/>
        </w:rPr>
        <w:drawing>
          <wp:inline distT="0" distB="0" distL="0" distR="0" wp14:anchorId="7485B989" wp14:editId="546C71E8">
            <wp:extent cx="4584700" cy="2755900"/>
            <wp:effectExtent l="0" t="0" r="635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5FC1097" w14:textId="77777777" w:rsidR="00A50E67" w:rsidRPr="00F6205B" w:rsidRDefault="00A50E67" w:rsidP="00A50E67">
      <w:pPr>
        <w:rPr>
          <w:rFonts w:cs="Times New Roman"/>
          <w:szCs w:val="24"/>
        </w:rPr>
      </w:pPr>
    </w:p>
    <w:p w14:paraId="60265916" w14:textId="77777777" w:rsidR="00A55F7D" w:rsidRDefault="00A55F7D">
      <w:pPr>
        <w:spacing w:after="0" w:line="240" w:lineRule="auto"/>
        <w:rPr>
          <w:rFonts w:cs="Times New Roman"/>
          <w:szCs w:val="24"/>
        </w:rPr>
      </w:pPr>
      <w:r>
        <w:rPr>
          <w:rFonts w:cs="Times New Roman"/>
          <w:szCs w:val="24"/>
        </w:rPr>
        <w:br w:type="page"/>
      </w:r>
    </w:p>
    <w:p w14:paraId="22153AF6" w14:textId="3A37D650" w:rsidR="00A50E67" w:rsidRPr="00F6205B" w:rsidRDefault="00A50E67" w:rsidP="00F52E2F">
      <w:pPr>
        <w:keepNext/>
        <w:rPr>
          <w:rFonts w:cs="Times New Roman"/>
          <w:szCs w:val="24"/>
        </w:rPr>
      </w:pPr>
      <w:r w:rsidRPr="00F6205B">
        <w:rPr>
          <w:rFonts w:cs="Times New Roman"/>
          <w:szCs w:val="24"/>
        </w:rPr>
        <w:lastRenderedPageBreak/>
        <w:t>First-year achievable savings estimates are low in comparison to baseline consumption because the analysis assumes gradual adoption of upg</w:t>
      </w:r>
      <w:r w:rsidR="0024422D" w:rsidRPr="00F6205B">
        <w:rPr>
          <w:rFonts w:cs="Times New Roman"/>
          <w:szCs w:val="24"/>
        </w:rPr>
        <w:t>rade measures</w:t>
      </w:r>
      <w:r w:rsidR="007335FD">
        <w:rPr>
          <w:rFonts w:cs="Times New Roman"/>
          <w:szCs w:val="24"/>
        </w:rPr>
        <w:t xml:space="preserve"> over time</w:t>
      </w:r>
      <w:r w:rsidR="0024422D" w:rsidRPr="00F6205B">
        <w:rPr>
          <w:rFonts w:cs="Times New Roman"/>
          <w:szCs w:val="24"/>
        </w:rPr>
        <w:t>. In year ten (2025</w:t>
      </w:r>
      <w:r w:rsidRPr="00F6205B">
        <w:rPr>
          <w:rFonts w:cs="Times New Roman"/>
          <w:szCs w:val="24"/>
        </w:rPr>
        <w:t>), achievable poten</w:t>
      </w:r>
      <w:r w:rsidR="00930EBA" w:rsidRPr="00F6205B">
        <w:rPr>
          <w:rFonts w:cs="Times New Roman"/>
          <w:szCs w:val="24"/>
        </w:rPr>
        <w:t>tial savings constitute about 5</w:t>
      </w:r>
      <w:r w:rsidRPr="00F6205B">
        <w:rPr>
          <w:rFonts w:cs="Times New Roman"/>
          <w:szCs w:val="24"/>
        </w:rPr>
        <w:t xml:space="preserve">% of </w:t>
      </w:r>
      <w:r w:rsidR="00E12D4F" w:rsidRPr="00F6205B">
        <w:rPr>
          <w:rFonts w:cs="Times New Roman"/>
          <w:szCs w:val="24"/>
        </w:rPr>
        <w:t>overal</w:t>
      </w:r>
      <w:r w:rsidRPr="00F6205B">
        <w:rPr>
          <w:rFonts w:cs="Times New Roman"/>
          <w:szCs w:val="24"/>
        </w:rPr>
        <w:t xml:space="preserve">l baseline </w:t>
      </w:r>
      <w:r w:rsidR="00E12D4F" w:rsidRPr="00F6205B">
        <w:rPr>
          <w:rFonts w:cs="Times New Roman"/>
          <w:szCs w:val="24"/>
        </w:rPr>
        <w:t>consumption (</w:t>
      </w:r>
      <w:r w:rsidRPr="00F6205B">
        <w:rPr>
          <w:rFonts w:cs="Times New Roman"/>
          <w:szCs w:val="24"/>
        </w:rPr>
        <w:t>measured in MMBtu</w:t>
      </w:r>
      <w:r w:rsidR="00930EBA" w:rsidRPr="00F6205B">
        <w:rPr>
          <w:rFonts w:cs="Times New Roman"/>
          <w:szCs w:val="24"/>
        </w:rPr>
        <w:t>), 8</w:t>
      </w:r>
      <w:r w:rsidR="00E12D4F" w:rsidRPr="00F6205B">
        <w:rPr>
          <w:rFonts w:cs="Times New Roman"/>
          <w:szCs w:val="24"/>
        </w:rPr>
        <w:t>% of fossil</w:t>
      </w:r>
      <w:r w:rsidR="00930EBA" w:rsidRPr="00F6205B">
        <w:rPr>
          <w:rFonts w:cs="Times New Roman"/>
          <w:szCs w:val="24"/>
        </w:rPr>
        <w:t xml:space="preserve"> fuel consumption (MMBtu), and 9</w:t>
      </w:r>
      <w:r w:rsidR="00E12D4F" w:rsidRPr="00F6205B">
        <w:rPr>
          <w:rFonts w:cs="Times New Roman"/>
          <w:szCs w:val="24"/>
        </w:rPr>
        <w:t>% of electric consumption (kWh)</w:t>
      </w:r>
      <w:r w:rsidRPr="00F6205B">
        <w:rPr>
          <w:rFonts w:cs="Times New Roman"/>
          <w:szCs w:val="24"/>
        </w:rPr>
        <w:t xml:space="preserve"> (</w:t>
      </w:r>
      <w:r w:rsidR="00B303FC" w:rsidRPr="00F6205B">
        <w:rPr>
          <w:rFonts w:cs="Times New Roman"/>
          <w:szCs w:val="24"/>
        </w:rPr>
        <w:fldChar w:fldCharType="begin"/>
      </w:r>
      <w:r w:rsidR="00B303FC" w:rsidRPr="00F6205B">
        <w:rPr>
          <w:rFonts w:cs="Times New Roman"/>
          <w:szCs w:val="24"/>
        </w:rPr>
        <w:instrText xml:space="preserve"> REF _Ref439324639 \h </w:instrText>
      </w:r>
      <w:r w:rsidR="00F6205B">
        <w:rPr>
          <w:rFonts w:cs="Times New Roman"/>
          <w:szCs w:val="24"/>
        </w:rPr>
        <w:instrText xml:space="preserve"> \* MERGEFORMAT </w:instrText>
      </w:r>
      <w:r w:rsidR="00B303FC" w:rsidRPr="00F6205B">
        <w:rPr>
          <w:rFonts w:cs="Times New Roman"/>
          <w:szCs w:val="24"/>
        </w:rPr>
      </w:r>
      <w:r w:rsidR="00B303FC" w:rsidRPr="00F6205B">
        <w:rPr>
          <w:rFonts w:cs="Times New Roman"/>
          <w:szCs w:val="24"/>
        </w:rPr>
        <w:fldChar w:fldCharType="separate"/>
      </w:r>
      <w:r w:rsidR="00FA26A9" w:rsidRPr="00F6205B">
        <w:t xml:space="preserve">Table </w:t>
      </w:r>
      <w:r w:rsidR="00FA26A9">
        <w:rPr>
          <w:noProof/>
        </w:rPr>
        <w:t>31</w:t>
      </w:r>
      <w:r w:rsidR="00B303FC" w:rsidRPr="00F6205B">
        <w:rPr>
          <w:rFonts w:cs="Times New Roman"/>
          <w:szCs w:val="24"/>
        </w:rPr>
        <w:fldChar w:fldCharType="end"/>
      </w:r>
      <w:r w:rsidRPr="00F6205B">
        <w:rPr>
          <w:rFonts w:cs="Times New Roman"/>
          <w:szCs w:val="24"/>
        </w:rPr>
        <w:t>).</w:t>
      </w:r>
      <w:r w:rsidR="00794F3D">
        <w:rPr>
          <w:rFonts w:cs="Times New Roman"/>
          <w:szCs w:val="24"/>
        </w:rPr>
        <w:t xml:space="preserve"> Annual achievable potential savings comprise about one third (32%) of cost-effective fossil fuel savings by 2025, and 45% of cost-effective electric savings.</w:t>
      </w:r>
      <w:r w:rsidR="0035060D" w:rsidRPr="00F6205B" w:rsidDel="0035060D">
        <w:rPr>
          <w:rFonts w:cs="Times New Roman"/>
          <w:szCs w:val="24"/>
        </w:rPr>
        <w:t xml:space="preserve"> </w:t>
      </w:r>
    </w:p>
    <w:p w14:paraId="2383BB7F" w14:textId="30F31D5B" w:rsidR="00A50E67" w:rsidRPr="00F6205B" w:rsidRDefault="00A50E67" w:rsidP="00112069">
      <w:pPr>
        <w:pStyle w:val="Caption"/>
      </w:pPr>
      <w:bookmarkStart w:id="302" w:name="_Ref391636686"/>
      <w:bookmarkStart w:id="303" w:name="_Ref439324639"/>
      <w:bookmarkStart w:id="304" w:name="_Toc391887367"/>
      <w:bookmarkStart w:id="305" w:name="_Toc439931862"/>
      <w:r w:rsidRPr="00F6205B">
        <w:t>Table</w:t>
      </w:r>
      <w:bookmarkEnd w:id="302"/>
      <w:r w:rsidR="004F23CF" w:rsidRPr="00F6205B">
        <w:t xml:space="preserve"> </w:t>
      </w:r>
      <w:fldSimple w:instr=" SEQ Table \* ARABIC ">
        <w:r w:rsidR="00FA26A9">
          <w:rPr>
            <w:noProof/>
          </w:rPr>
          <w:t>31</w:t>
        </w:r>
      </w:fldSimple>
      <w:bookmarkEnd w:id="303"/>
      <w:r w:rsidRPr="00F6205B">
        <w:t xml:space="preserve">: </w:t>
      </w:r>
      <w:r w:rsidR="003259D0" w:rsidRPr="00F6205B">
        <w:t>Achievable Savings as a</w:t>
      </w:r>
      <w:r w:rsidRPr="00F6205B">
        <w:t xml:space="preserve"> Percent of Baseline in Year Ten</w:t>
      </w:r>
      <w:bookmarkEnd w:id="304"/>
      <w:bookmarkEnd w:id="305"/>
    </w:p>
    <w:p w14:paraId="61FB1B1B" w14:textId="77777777" w:rsidR="00346A82" w:rsidRPr="00F6205B" w:rsidRDefault="00346A82" w:rsidP="00234F00">
      <w:pPr>
        <w:pStyle w:val="Caption"/>
        <w:spacing w:before="0" w:after="120"/>
        <w:rPr>
          <w:b w:val="0"/>
          <w:bCs w:val="0"/>
          <w:sz w:val="18"/>
        </w:rPr>
      </w:pPr>
      <w:r w:rsidRPr="00F6205B">
        <w:rPr>
          <w:b w:val="0"/>
          <w:bCs w:val="0"/>
          <w:sz w:val="18"/>
        </w:rPr>
        <w:t>Base: all single-family homes (population-weighted)</w:t>
      </w:r>
    </w:p>
    <w:tbl>
      <w:tblPr>
        <w:tblStyle w:val="TableGrid"/>
        <w:tblW w:w="9265"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2790"/>
        <w:gridCol w:w="1056"/>
        <w:gridCol w:w="1354"/>
        <w:gridCol w:w="1355"/>
        <w:gridCol w:w="1355"/>
        <w:gridCol w:w="1355"/>
      </w:tblGrid>
      <w:tr w:rsidR="00AD4888" w:rsidRPr="00F6205B" w14:paraId="7C0C5330" w14:textId="0CF03A6C" w:rsidTr="00F52E2F">
        <w:trPr>
          <w:trHeight w:val="288"/>
          <w:jc w:val="center"/>
        </w:trPr>
        <w:tc>
          <w:tcPr>
            <w:tcW w:w="2790" w:type="dxa"/>
            <w:tcBorders>
              <w:top w:val="single" w:sz="4" w:space="0" w:color="auto"/>
              <w:left w:val="single" w:sz="4" w:space="0" w:color="auto"/>
              <w:bottom w:val="single" w:sz="4" w:space="0" w:color="auto"/>
              <w:right w:val="single" w:sz="4" w:space="0" w:color="000000" w:themeColor="text1"/>
            </w:tcBorders>
            <w:shd w:val="clear" w:color="auto" w:fill="0B4D2C" w:themeFill="background2" w:themeFillShade="BF"/>
            <w:vAlign w:val="center"/>
          </w:tcPr>
          <w:p w14:paraId="570EF67F" w14:textId="77777777" w:rsidR="00AD4888" w:rsidRPr="00F6205B" w:rsidRDefault="00AD4888">
            <w:pPr>
              <w:keepNext/>
              <w:keepLines/>
              <w:contextualSpacing/>
              <w:rPr>
                <w:b/>
                <w:sz w:val="20"/>
                <w:szCs w:val="20"/>
              </w:rPr>
            </w:pPr>
            <w:r w:rsidRPr="00F6205B">
              <w:rPr>
                <w:b/>
                <w:sz w:val="20"/>
                <w:szCs w:val="20"/>
              </w:rPr>
              <w:t>Fuel Type</w:t>
            </w:r>
          </w:p>
        </w:tc>
        <w:tc>
          <w:tcPr>
            <w:tcW w:w="1056" w:type="dxa"/>
            <w:tcBorders>
              <w:top w:val="single" w:sz="4" w:space="0" w:color="auto"/>
              <w:bottom w:val="single" w:sz="4" w:space="0" w:color="auto"/>
              <w:right w:val="single" w:sz="4" w:space="0" w:color="000000" w:themeColor="text1"/>
            </w:tcBorders>
            <w:shd w:val="clear" w:color="auto" w:fill="0B4D2C" w:themeFill="background2" w:themeFillShade="BF"/>
            <w:vAlign w:val="center"/>
          </w:tcPr>
          <w:p w14:paraId="74133C87" w14:textId="1F01DE85" w:rsidR="00AD4888" w:rsidRPr="00F6205B" w:rsidRDefault="00AD4888">
            <w:pPr>
              <w:keepNext/>
              <w:keepLines/>
              <w:contextualSpacing/>
              <w:jc w:val="center"/>
              <w:rPr>
                <w:b/>
                <w:sz w:val="20"/>
                <w:szCs w:val="20"/>
              </w:rPr>
            </w:pPr>
            <w:r w:rsidRPr="00F6205B">
              <w:rPr>
                <w:b/>
                <w:sz w:val="20"/>
                <w:szCs w:val="20"/>
              </w:rPr>
              <w:t>Year Ten Savings (2025)</w:t>
            </w:r>
          </w:p>
        </w:tc>
        <w:tc>
          <w:tcPr>
            <w:tcW w:w="1354" w:type="dxa"/>
            <w:tcBorders>
              <w:top w:val="single" w:sz="4" w:space="0" w:color="auto"/>
              <w:bottom w:val="single" w:sz="4" w:space="0" w:color="auto"/>
              <w:right w:val="single" w:sz="4" w:space="0" w:color="auto"/>
            </w:tcBorders>
            <w:shd w:val="clear" w:color="auto" w:fill="0B4D2C" w:themeFill="background2" w:themeFillShade="BF"/>
            <w:vAlign w:val="center"/>
          </w:tcPr>
          <w:p w14:paraId="2105F171" w14:textId="77777777" w:rsidR="00AD4888" w:rsidRPr="00F6205B" w:rsidRDefault="00AD4888">
            <w:pPr>
              <w:keepNext/>
              <w:keepLines/>
              <w:contextualSpacing/>
              <w:jc w:val="center"/>
              <w:rPr>
                <w:b/>
                <w:sz w:val="20"/>
                <w:szCs w:val="20"/>
              </w:rPr>
            </w:pPr>
            <w:r w:rsidRPr="00F6205B">
              <w:rPr>
                <w:b/>
                <w:sz w:val="20"/>
                <w:szCs w:val="20"/>
              </w:rPr>
              <w:t>Percent of Baseline</w:t>
            </w:r>
          </w:p>
        </w:tc>
        <w:tc>
          <w:tcPr>
            <w:tcW w:w="1355" w:type="dxa"/>
            <w:tcBorders>
              <w:top w:val="single" w:sz="4" w:space="0" w:color="auto"/>
              <w:bottom w:val="single" w:sz="4" w:space="0" w:color="auto"/>
              <w:right w:val="single" w:sz="4" w:space="0" w:color="auto"/>
            </w:tcBorders>
            <w:shd w:val="clear" w:color="auto" w:fill="0B4D2C" w:themeFill="background2" w:themeFillShade="BF"/>
            <w:vAlign w:val="center"/>
          </w:tcPr>
          <w:p w14:paraId="62D749E5" w14:textId="7632573A" w:rsidR="00AD4888" w:rsidRPr="00F6205B" w:rsidRDefault="00AD4888">
            <w:pPr>
              <w:keepNext/>
              <w:keepLines/>
              <w:contextualSpacing/>
              <w:jc w:val="center"/>
              <w:rPr>
                <w:b/>
                <w:sz w:val="20"/>
                <w:szCs w:val="20"/>
              </w:rPr>
            </w:pPr>
            <w:r>
              <w:rPr>
                <w:b/>
                <w:sz w:val="20"/>
                <w:szCs w:val="20"/>
              </w:rPr>
              <w:t>Percent of Cost-Effective</w:t>
            </w:r>
          </w:p>
        </w:tc>
        <w:tc>
          <w:tcPr>
            <w:tcW w:w="1355" w:type="dxa"/>
            <w:tcBorders>
              <w:top w:val="single" w:sz="4" w:space="0" w:color="auto"/>
              <w:bottom w:val="single" w:sz="4" w:space="0" w:color="auto"/>
            </w:tcBorders>
            <w:shd w:val="clear" w:color="auto" w:fill="0B4D2C" w:themeFill="background2" w:themeFillShade="BF"/>
            <w:vAlign w:val="center"/>
          </w:tcPr>
          <w:p w14:paraId="29AE9A58" w14:textId="19CB9E04" w:rsidR="00AD4888" w:rsidRDefault="00AD4888">
            <w:pPr>
              <w:keepNext/>
              <w:keepLines/>
              <w:contextualSpacing/>
              <w:jc w:val="center"/>
              <w:rPr>
                <w:b/>
                <w:sz w:val="20"/>
                <w:szCs w:val="20"/>
              </w:rPr>
            </w:pPr>
            <w:r>
              <w:rPr>
                <w:b/>
                <w:sz w:val="20"/>
                <w:szCs w:val="20"/>
              </w:rPr>
              <w:t>Percent of Solar Technical</w:t>
            </w:r>
          </w:p>
        </w:tc>
        <w:tc>
          <w:tcPr>
            <w:tcW w:w="1355" w:type="dxa"/>
            <w:tcBorders>
              <w:top w:val="single" w:sz="4" w:space="0" w:color="auto"/>
              <w:bottom w:val="single" w:sz="4" w:space="0" w:color="auto"/>
              <w:right w:val="single" w:sz="4" w:space="0" w:color="auto"/>
            </w:tcBorders>
            <w:shd w:val="clear" w:color="auto" w:fill="0B4D2C" w:themeFill="background2" w:themeFillShade="BF"/>
            <w:vAlign w:val="center"/>
          </w:tcPr>
          <w:p w14:paraId="76FDFE7C" w14:textId="06E9C897" w:rsidR="00AD4888" w:rsidRPr="00F6205B" w:rsidRDefault="00AD4888">
            <w:pPr>
              <w:keepNext/>
              <w:keepLines/>
              <w:contextualSpacing/>
              <w:jc w:val="center"/>
              <w:rPr>
                <w:b/>
                <w:sz w:val="20"/>
                <w:szCs w:val="20"/>
              </w:rPr>
            </w:pPr>
            <w:r>
              <w:rPr>
                <w:b/>
                <w:sz w:val="20"/>
                <w:szCs w:val="20"/>
              </w:rPr>
              <w:t>Percent of Standard Technical</w:t>
            </w:r>
          </w:p>
        </w:tc>
      </w:tr>
      <w:tr w:rsidR="00AD4888" w:rsidRPr="00F6205B" w14:paraId="59669435" w14:textId="0918DAEA" w:rsidTr="00F52E2F">
        <w:trPr>
          <w:trHeight w:val="288"/>
          <w:jc w:val="center"/>
        </w:trPr>
        <w:tc>
          <w:tcPr>
            <w:tcW w:w="2790" w:type="dxa"/>
            <w:tcBorders>
              <w:top w:val="single" w:sz="4" w:space="0" w:color="auto"/>
              <w:left w:val="single" w:sz="4" w:space="0" w:color="auto"/>
              <w:right w:val="single" w:sz="4" w:space="0" w:color="000000" w:themeColor="text1"/>
            </w:tcBorders>
            <w:vAlign w:val="center"/>
          </w:tcPr>
          <w:p w14:paraId="7FE06227" w14:textId="77777777" w:rsidR="00AD4888" w:rsidRPr="00F6205B" w:rsidRDefault="00AD4888" w:rsidP="00112069">
            <w:pPr>
              <w:keepNext/>
              <w:keepLines/>
              <w:contextualSpacing/>
              <w:rPr>
                <w:sz w:val="20"/>
                <w:szCs w:val="20"/>
              </w:rPr>
            </w:pPr>
            <w:r w:rsidRPr="00F6205B">
              <w:rPr>
                <w:sz w:val="20"/>
                <w:szCs w:val="20"/>
              </w:rPr>
              <w:t>Fuel oil (million gallons)</w:t>
            </w:r>
          </w:p>
        </w:tc>
        <w:tc>
          <w:tcPr>
            <w:tcW w:w="1056" w:type="dxa"/>
            <w:tcBorders>
              <w:top w:val="single" w:sz="4" w:space="0" w:color="auto"/>
              <w:right w:val="single" w:sz="4" w:space="0" w:color="000000" w:themeColor="text1"/>
            </w:tcBorders>
            <w:vAlign w:val="center"/>
          </w:tcPr>
          <w:p w14:paraId="5E226CF9" w14:textId="1D7F1885" w:rsidR="00AD4888" w:rsidRPr="00F6205B" w:rsidRDefault="00AD4888" w:rsidP="00234F00">
            <w:pPr>
              <w:keepNext/>
              <w:keepLines/>
              <w:tabs>
                <w:tab w:val="decimal" w:pos="462"/>
              </w:tabs>
              <w:contextualSpacing/>
              <w:jc w:val="center"/>
              <w:rPr>
                <w:sz w:val="20"/>
                <w:szCs w:val="20"/>
              </w:rPr>
            </w:pPr>
            <w:r w:rsidRPr="00F6205B">
              <w:rPr>
                <w:sz w:val="20"/>
                <w:szCs w:val="20"/>
              </w:rPr>
              <w:t>38.7</w:t>
            </w:r>
          </w:p>
        </w:tc>
        <w:tc>
          <w:tcPr>
            <w:tcW w:w="1354" w:type="dxa"/>
            <w:tcBorders>
              <w:top w:val="single" w:sz="4" w:space="0" w:color="auto"/>
              <w:right w:val="single" w:sz="4" w:space="0" w:color="auto"/>
            </w:tcBorders>
            <w:vAlign w:val="center"/>
          </w:tcPr>
          <w:p w14:paraId="69BB8191" w14:textId="1BF76714" w:rsidR="00AD4888" w:rsidRPr="00F6205B" w:rsidRDefault="00AD4888">
            <w:pPr>
              <w:keepNext/>
              <w:keepLines/>
              <w:tabs>
                <w:tab w:val="decimal" w:pos="578"/>
              </w:tabs>
              <w:contextualSpacing/>
              <w:jc w:val="center"/>
              <w:rPr>
                <w:sz w:val="20"/>
                <w:szCs w:val="20"/>
              </w:rPr>
            </w:pPr>
            <w:r w:rsidRPr="00F6205B">
              <w:rPr>
                <w:sz w:val="20"/>
                <w:szCs w:val="20"/>
              </w:rPr>
              <w:t>7%</w:t>
            </w:r>
          </w:p>
        </w:tc>
        <w:tc>
          <w:tcPr>
            <w:tcW w:w="1355" w:type="dxa"/>
            <w:tcBorders>
              <w:top w:val="single" w:sz="4" w:space="0" w:color="auto"/>
              <w:right w:val="single" w:sz="4" w:space="0" w:color="auto"/>
            </w:tcBorders>
            <w:vAlign w:val="center"/>
          </w:tcPr>
          <w:p w14:paraId="7ECD9115" w14:textId="1515D528" w:rsidR="00AD4888" w:rsidRPr="00F6205B" w:rsidRDefault="00E122ED">
            <w:pPr>
              <w:keepNext/>
              <w:keepLines/>
              <w:tabs>
                <w:tab w:val="decimal" w:pos="578"/>
              </w:tabs>
              <w:contextualSpacing/>
              <w:jc w:val="center"/>
              <w:rPr>
                <w:sz w:val="20"/>
                <w:szCs w:val="20"/>
              </w:rPr>
            </w:pPr>
            <w:r>
              <w:rPr>
                <w:sz w:val="20"/>
                <w:szCs w:val="20"/>
              </w:rPr>
              <w:t>32%</w:t>
            </w:r>
          </w:p>
        </w:tc>
        <w:tc>
          <w:tcPr>
            <w:tcW w:w="1355" w:type="dxa"/>
            <w:tcBorders>
              <w:top w:val="single" w:sz="4" w:space="0" w:color="auto"/>
            </w:tcBorders>
            <w:vAlign w:val="center"/>
          </w:tcPr>
          <w:p w14:paraId="580DCDE3" w14:textId="061DBA58" w:rsidR="00AD4888" w:rsidRPr="00F6205B" w:rsidRDefault="00E122ED">
            <w:pPr>
              <w:keepNext/>
              <w:keepLines/>
              <w:tabs>
                <w:tab w:val="decimal" w:pos="578"/>
              </w:tabs>
              <w:contextualSpacing/>
              <w:jc w:val="center"/>
              <w:rPr>
                <w:sz w:val="20"/>
                <w:szCs w:val="20"/>
              </w:rPr>
            </w:pPr>
            <w:r>
              <w:rPr>
                <w:sz w:val="20"/>
                <w:szCs w:val="20"/>
              </w:rPr>
              <w:t>10%</w:t>
            </w:r>
          </w:p>
        </w:tc>
        <w:tc>
          <w:tcPr>
            <w:tcW w:w="1355" w:type="dxa"/>
            <w:tcBorders>
              <w:top w:val="single" w:sz="4" w:space="0" w:color="auto"/>
              <w:right w:val="single" w:sz="4" w:space="0" w:color="auto"/>
            </w:tcBorders>
            <w:vAlign w:val="center"/>
          </w:tcPr>
          <w:p w14:paraId="1993089E" w14:textId="6CAC2C62" w:rsidR="00AD4888" w:rsidRPr="00F6205B" w:rsidRDefault="00E122ED">
            <w:pPr>
              <w:keepNext/>
              <w:keepLines/>
              <w:tabs>
                <w:tab w:val="decimal" w:pos="578"/>
              </w:tabs>
              <w:contextualSpacing/>
              <w:jc w:val="center"/>
              <w:rPr>
                <w:sz w:val="20"/>
                <w:szCs w:val="20"/>
              </w:rPr>
            </w:pPr>
            <w:r>
              <w:rPr>
                <w:sz w:val="20"/>
                <w:szCs w:val="20"/>
              </w:rPr>
              <w:t>11%</w:t>
            </w:r>
          </w:p>
        </w:tc>
      </w:tr>
      <w:tr w:rsidR="00AD4888" w:rsidRPr="00F6205B" w14:paraId="24089B4F" w14:textId="38BE656C" w:rsidTr="00F52E2F">
        <w:trPr>
          <w:trHeight w:val="288"/>
          <w:jc w:val="center"/>
        </w:trPr>
        <w:tc>
          <w:tcPr>
            <w:tcW w:w="2790" w:type="dxa"/>
            <w:tcBorders>
              <w:left w:val="single" w:sz="4" w:space="0" w:color="auto"/>
              <w:right w:val="single" w:sz="4" w:space="0" w:color="000000" w:themeColor="text1"/>
            </w:tcBorders>
            <w:vAlign w:val="center"/>
          </w:tcPr>
          <w:p w14:paraId="4F508ABF" w14:textId="77777777" w:rsidR="00AD4888" w:rsidRPr="00F6205B" w:rsidRDefault="00AD4888" w:rsidP="00112069">
            <w:pPr>
              <w:keepNext/>
              <w:keepLines/>
              <w:contextualSpacing/>
              <w:rPr>
                <w:sz w:val="20"/>
                <w:szCs w:val="20"/>
              </w:rPr>
            </w:pPr>
            <w:r w:rsidRPr="00F6205B">
              <w:rPr>
                <w:sz w:val="20"/>
                <w:szCs w:val="20"/>
              </w:rPr>
              <w:t>Natural gas (million ccf)</w:t>
            </w:r>
          </w:p>
        </w:tc>
        <w:tc>
          <w:tcPr>
            <w:tcW w:w="1056" w:type="dxa"/>
            <w:tcBorders>
              <w:right w:val="single" w:sz="4" w:space="0" w:color="000000" w:themeColor="text1"/>
            </w:tcBorders>
            <w:vAlign w:val="center"/>
          </w:tcPr>
          <w:p w14:paraId="5FE7A4E4" w14:textId="35F4D4FE" w:rsidR="00AD4888" w:rsidRPr="00F6205B" w:rsidRDefault="00AD4888" w:rsidP="00234F00">
            <w:pPr>
              <w:keepNext/>
              <w:keepLines/>
              <w:tabs>
                <w:tab w:val="decimal" w:pos="462"/>
              </w:tabs>
              <w:contextualSpacing/>
              <w:jc w:val="center"/>
              <w:rPr>
                <w:sz w:val="20"/>
                <w:szCs w:val="20"/>
              </w:rPr>
            </w:pPr>
            <w:r w:rsidRPr="00F6205B">
              <w:rPr>
                <w:sz w:val="20"/>
                <w:szCs w:val="20"/>
              </w:rPr>
              <w:t>26.7</w:t>
            </w:r>
          </w:p>
        </w:tc>
        <w:tc>
          <w:tcPr>
            <w:tcW w:w="1354" w:type="dxa"/>
            <w:tcBorders>
              <w:right w:val="single" w:sz="4" w:space="0" w:color="auto"/>
            </w:tcBorders>
            <w:vAlign w:val="center"/>
          </w:tcPr>
          <w:p w14:paraId="54ADA10F" w14:textId="6158F842" w:rsidR="00AD4888" w:rsidRPr="00F6205B" w:rsidRDefault="00AD4888">
            <w:pPr>
              <w:keepNext/>
              <w:keepLines/>
              <w:tabs>
                <w:tab w:val="decimal" w:pos="578"/>
              </w:tabs>
              <w:contextualSpacing/>
              <w:jc w:val="center"/>
              <w:rPr>
                <w:sz w:val="20"/>
                <w:szCs w:val="20"/>
              </w:rPr>
            </w:pPr>
            <w:r w:rsidRPr="00F6205B">
              <w:rPr>
                <w:sz w:val="20"/>
                <w:szCs w:val="20"/>
              </w:rPr>
              <w:t>8%</w:t>
            </w:r>
          </w:p>
        </w:tc>
        <w:tc>
          <w:tcPr>
            <w:tcW w:w="1355" w:type="dxa"/>
            <w:tcBorders>
              <w:right w:val="single" w:sz="4" w:space="0" w:color="auto"/>
            </w:tcBorders>
            <w:vAlign w:val="center"/>
          </w:tcPr>
          <w:p w14:paraId="5880412D" w14:textId="61233D38" w:rsidR="00AD4888" w:rsidRPr="00F6205B" w:rsidRDefault="00E122ED">
            <w:pPr>
              <w:keepNext/>
              <w:keepLines/>
              <w:tabs>
                <w:tab w:val="decimal" w:pos="578"/>
              </w:tabs>
              <w:contextualSpacing/>
              <w:jc w:val="center"/>
              <w:rPr>
                <w:sz w:val="20"/>
                <w:szCs w:val="20"/>
              </w:rPr>
            </w:pPr>
            <w:r>
              <w:rPr>
                <w:sz w:val="20"/>
                <w:szCs w:val="20"/>
              </w:rPr>
              <w:t>33%</w:t>
            </w:r>
          </w:p>
        </w:tc>
        <w:tc>
          <w:tcPr>
            <w:tcW w:w="1355" w:type="dxa"/>
            <w:vAlign w:val="center"/>
          </w:tcPr>
          <w:p w14:paraId="39FC7213" w14:textId="475A098B" w:rsidR="00AD4888" w:rsidRPr="00F6205B" w:rsidRDefault="00E122ED">
            <w:pPr>
              <w:keepNext/>
              <w:keepLines/>
              <w:tabs>
                <w:tab w:val="decimal" w:pos="578"/>
              </w:tabs>
              <w:contextualSpacing/>
              <w:jc w:val="center"/>
              <w:rPr>
                <w:sz w:val="20"/>
                <w:szCs w:val="20"/>
              </w:rPr>
            </w:pPr>
            <w:r>
              <w:rPr>
                <w:sz w:val="20"/>
                <w:szCs w:val="20"/>
              </w:rPr>
              <w:t>9%</w:t>
            </w:r>
          </w:p>
        </w:tc>
        <w:tc>
          <w:tcPr>
            <w:tcW w:w="1355" w:type="dxa"/>
            <w:tcBorders>
              <w:right w:val="single" w:sz="4" w:space="0" w:color="auto"/>
            </w:tcBorders>
            <w:vAlign w:val="center"/>
          </w:tcPr>
          <w:p w14:paraId="7B45B9C5" w14:textId="66F939EA" w:rsidR="00AD4888" w:rsidRPr="00F6205B" w:rsidRDefault="00E122ED">
            <w:pPr>
              <w:keepNext/>
              <w:keepLines/>
              <w:tabs>
                <w:tab w:val="decimal" w:pos="578"/>
              </w:tabs>
              <w:contextualSpacing/>
              <w:jc w:val="center"/>
              <w:rPr>
                <w:sz w:val="20"/>
                <w:szCs w:val="20"/>
              </w:rPr>
            </w:pPr>
            <w:r>
              <w:rPr>
                <w:sz w:val="20"/>
                <w:szCs w:val="20"/>
              </w:rPr>
              <w:t>10%</w:t>
            </w:r>
          </w:p>
        </w:tc>
      </w:tr>
      <w:tr w:rsidR="00AD4888" w:rsidRPr="00F6205B" w14:paraId="1A2724D6" w14:textId="3CF4BD18" w:rsidTr="00F52E2F">
        <w:trPr>
          <w:trHeight w:val="288"/>
          <w:jc w:val="center"/>
        </w:trPr>
        <w:tc>
          <w:tcPr>
            <w:tcW w:w="2790" w:type="dxa"/>
            <w:tcBorders>
              <w:left w:val="single" w:sz="4" w:space="0" w:color="auto"/>
              <w:right w:val="single" w:sz="4" w:space="0" w:color="000000" w:themeColor="text1"/>
            </w:tcBorders>
            <w:vAlign w:val="center"/>
          </w:tcPr>
          <w:p w14:paraId="793AFDE3" w14:textId="77777777" w:rsidR="00AD4888" w:rsidRPr="00F6205B" w:rsidRDefault="00AD4888" w:rsidP="00112069">
            <w:pPr>
              <w:keepNext/>
              <w:keepLines/>
              <w:contextualSpacing/>
              <w:rPr>
                <w:sz w:val="20"/>
                <w:szCs w:val="20"/>
              </w:rPr>
            </w:pPr>
            <w:r w:rsidRPr="00F6205B">
              <w:rPr>
                <w:sz w:val="20"/>
                <w:szCs w:val="20"/>
              </w:rPr>
              <w:t>Propane (million gallons)</w:t>
            </w:r>
          </w:p>
        </w:tc>
        <w:tc>
          <w:tcPr>
            <w:tcW w:w="1056" w:type="dxa"/>
            <w:tcBorders>
              <w:right w:val="single" w:sz="4" w:space="0" w:color="000000" w:themeColor="text1"/>
            </w:tcBorders>
            <w:vAlign w:val="center"/>
          </w:tcPr>
          <w:p w14:paraId="672AE5A6" w14:textId="491A156D" w:rsidR="00AD4888" w:rsidRPr="00F6205B" w:rsidRDefault="00AD4888" w:rsidP="00234F00">
            <w:pPr>
              <w:keepNext/>
              <w:keepLines/>
              <w:tabs>
                <w:tab w:val="decimal" w:pos="462"/>
              </w:tabs>
              <w:contextualSpacing/>
              <w:jc w:val="center"/>
              <w:rPr>
                <w:sz w:val="20"/>
                <w:szCs w:val="20"/>
              </w:rPr>
            </w:pPr>
            <w:r w:rsidRPr="00F6205B">
              <w:rPr>
                <w:sz w:val="20"/>
                <w:szCs w:val="20"/>
              </w:rPr>
              <w:t>2.0</w:t>
            </w:r>
          </w:p>
        </w:tc>
        <w:tc>
          <w:tcPr>
            <w:tcW w:w="1354" w:type="dxa"/>
            <w:tcBorders>
              <w:right w:val="single" w:sz="4" w:space="0" w:color="auto"/>
            </w:tcBorders>
            <w:vAlign w:val="center"/>
          </w:tcPr>
          <w:p w14:paraId="73B8F8A1" w14:textId="74C42B96" w:rsidR="00AD4888" w:rsidRPr="00F6205B" w:rsidRDefault="00AD4888">
            <w:pPr>
              <w:keepNext/>
              <w:keepLines/>
              <w:tabs>
                <w:tab w:val="decimal" w:pos="578"/>
              </w:tabs>
              <w:contextualSpacing/>
              <w:jc w:val="center"/>
              <w:rPr>
                <w:sz w:val="20"/>
                <w:szCs w:val="20"/>
              </w:rPr>
            </w:pPr>
            <w:r w:rsidRPr="00F6205B">
              <w:rPr>
                <w:sz w:val="20"/>
                <w:szCs w:val="20"/>
              </w:rPr>
              <w:t>4%</w:t>
            </w:r>
          </w:p>
        </w:tc>
        <w:tc>
          <w:tcPr>
            <w:tcW w:w="1355" w:type="dxa"/>
            <w:tcBorders>
              <w:right w:val="single" w:sz="4" w:space="0" w:color="auto"/>
            </w:tcBorders>
            <w:vAlign w:val="center"/>
          </w:tcPr>
          <w:p w14:paraId="06C294FB" w14:textId="11E502BB" w:rsidR="00AD4888" w:rsidRPr="00F6205B" w:rsidRDefault="00E122ED">
            <w:pPr>
              <w:keepNext/>
              <w:keepLines/>
              <w:tabs>
                <w:tab w:val="decimal" w:pos="578"/>
              </w:tabs>
              <w:contextualSpacing/>
              <w:jc w:val="center"/>
              <w:rPr>
                <w:sz w:val="20"/>
                <w:szCs w:val="20"/>
              </w:rPr>
            </w:pPr>
            <w:r>
              <w:rPr>
                <w:sz w:val="20"/>
                <w:szCs w:val="20"/>
              </w:rPr>
              <w:t>31%</w:t>
            </w:r>
          </w:p>
        </w:tc>
        <w:tc>
          <w:tcPr>
            <w:tcW w:w="1355" w:type="dxa"/>
            <w:vAlign w:val="center"/>
          </w:tcPr>
          <w:p w14:paraId="35C5E371" w14:textId="7C8EF8AA" w:rsidR="00AD4888" w:rsidRPr="00F6205B" w:rsidRDefault="00E122ED">
            <w:pPr>
              <w:keepNext/>
              <w:keepLines/>
              <w:tabs>
                <w:tab w:val="decimal" w:pos="578"/>
              </w:tabs>
              <w:contextualSpacing/>
              <w:jc w:val="center"/>
              <w:rPr>
                <w:sz w:val="20"/>
                <w:szCs w:val="20"/>
              </w:rPr>
            </w:pPr>
            <w:r>
              <w:rPr>
                <w:sz w:val="20"/>
                <w:szCs w:val="20"/>
              </w:rPr>
              <w:t>8%</w:t>
            </w:r>
          </w:p>
        </w:tc>
        <w:tc>
          <w:tcPr>
            <w:tcW w:w="1355" w:type="dxa"/>
            <w:tcBorders>
              <w:right w:val="single" w:sz="4" w:space="0" w:color="auto"/>
            </w:tcBorders>
            <w:vAlign w:val="center"/>
          </w:tcPr>
          <w:p w14:paraId="14070562" w14:textId="48DB9B91" w:rsidR="00AD4888" w:rsidRPr="00F6205B" w:rsidRDefault="00E122ED">
            <w:pPr>
              <w:keepNext/>
              <w:keepLines/>
              <w:tabs>
                <w:tab w:val="decimal" w:pos="578"/>
              </w:tabs>
              <w:contextualSpacing/>
              <w:jc w:val="center"/>
              <w:rPr>
                <w:sz w:val="20"/>
                <w:szCs w:val="20"/>
              </w:rPr>
            </w:pPr>
            <w:r>
              <w:rPr>
                <w:sz w:val="20"/>
                <w:szCs w:val="20"/>
              </w:rPr>
              <w:t>10%</w:t>
            </w:r>
          </w:p>
        </w:tc>
      </w:tr>
      <w:tr w:rsidR="00AD4888" w:rsidRPr="00F6205B" w14:paraId="72E27DE5" w14:textId="6C6634E6" w:rsidTr="00F52E2F">
        <w:trPr>
          <w:trHeight w:val="288"/>
          <w:jc w:val="center"/>
        </w:trPr>
        <w:tc>
          <w:tcPr>
            <w:tcW w:w="2790" w:type="dxa"/>
            <w:tcBorders>
              <w:left w:val="single" w:sz="4" w:space="0" w:color="auto"/>
              <w:right w:val="single" w:sz="4" w:space="0" w:color="000000" w:themeColor="text1"/>
            </w:tcBorders>
            <w:vAlign w:val="center"/>
          </w:tcPr>
          <w:p w14:paraId="6ABCF264" w14:textId="77777777" w:rsidR="00AD4888" w:rsidRPr="00F6205B" w:rsidRDefault="00AD4888" w:rsidP="00112069">
            <w:pPr>
              <w:keepNext/>
              <w:keepLines/>
              <w:contextualSpacing/>
              <w:rPr>
                <w:sz w:val="20"/>
                <w:szCs w:val="20"/>
              </w:rPr>
            </w:pPr>
            <w:r w:rsidRPr="00F6205B">
              <w:rPr>
                <w:sz w:val="20"/>
                <w:szCs w:val="20"/>
              </w:rPr>
              <w:t>Electricity (million kWh)</w:t>
            </w:r>
          </w:p>
        </w:tc>
        <w:tc>
          <w:tcPr>
            <w:tcW w:w="1056" w:type="dxa"/>
            <w:tcBorders>
              <w:right w:val="single" w:sz="4" w:space="0" w:color="000000" w:themeColor="text1"/>
            </w:tcBorders>
            <w:vAlign w:val="center"/>
          </w:tcPr>
          <w:p w14:paraId="6DABDF8F" w14:textId="32CA18E0" w:rsidR="00AD4888" w:rsidRPr="00F6205B" w:rsidRDefault="00AD4888" w:rsidP="00234F00">
            <w:pPr>
              <w:keepNext/>
              <w:keepLines/>
              <w:tabs>
                <w:tab w:val="decimal" w:pos="462"/>
              </w:tabs>
              <w:contextualSpacing/>
              <w:jc w:val="center"/>
              <w:rPr>
                <w:sz w:val="20"/>
                <w:szCs w:val="20"/>
              </w:rPr>
            </w:pPr>
            <w:r w:rsidRPr="00F6205B">
              <w:rPr>
                <w:sz w:val="20"/>
                <w:szCs w:val="20"/>
              </w:rPr>
              <w:t>592.5</w:t>
            </w:r>
          </w:p>
        </w:tc>
        <w:tc>
          <w:tcPr>
            <w:tcW w:w="1354" w:type="dxa"/>
            <w:tcBorders>
              <w:right w:val="single" w:sz="4" w:space="0" w:color="auto"/>
            </w:tcBorders>
            <w:vAlign w:val="center"/>
          </w:tcPr>
          <w:p w14:paraId="75AC6D1A" w14:textId="42A7B4A3" w:rsidR="00AD4888" w:rsidRPr="00F6205B" w:rsidRDefault="00AD4888">
            <w:pPr>
              <w:keepNext/>
              <w:keepLines/>
              <w:tabs>
                <w:tab w:val="decimal" w:pos="578"/>
              </w:tabs>
              <w:contextualSpacing/>
              <w:jc w:val="center"/>
              <w:rPr>
                <w:sz w:val="20"/>
                <w:szCs w:val="20"/>
              </w:rPr>
            </w:pPr>
            <w:r w:rsidRPr="00F6205B">
              <w:rPr>
                <w:sz w:val="20"/>
                <w:szCs w:val="20"/>
              </w:rPr>
              <w:t>9%</w:t>
            </w:r>
          </w:p>
        </w:tc>
        <w:tc>
          <w:tcPr>
            <w:tcW w:w="1355" w:type="dxa"/>
            <w:tcBorders>
              <w:right w:val="single" w:sz="4" w:space="0" w:color="auto"/>
            </w:tcBorders>
            <w:vAlign w:val="center"/>
          </w:tcPr>
          <w:p w14:paraId="58C16D43" w14:textId="693FA74A" w:rsidR="00AD4888" w:rsidRPr="00F6205B" w:rsidRDefault="00E122ED">
            <w:pPr>
              <w:keepNext/>
              <w:keepLines/>
              <w:tabs>
                <w:tab w:val="decimal" w:pos="578"/>
              </w:tabs>
              <w:contextualSpacing/>
              <w:jc w:val="center"/>
              <w:rPr>
                <w:sz w:val="20"/>
                <w:szCs w:val="20"/>
              </w:rPr>
            </w:pPr>
            <w:r>
              <w:rPr>
                <w:sz w:val="20"/>
                <w:szCs w:val="20"/>
              </w:rPr>
              <w:t>45%</w:t>
            </w:r>
          </w:p>
        </w:tc>
        <w:tc>
          <w:tcPr>
            <w:tcW w:w="1355" w:type="dxa"/>
            <w:vAlign w:val="center"/>
          </w:tcPr>
          <w:p w14:paraId="0F8CD528" w14:textId="3E4C288B" w:rsidR="00AD4888" w:rsidRPr="00F6205B" w:rsidRDefault="00E122ED">
            <w:pPr>
              <w:keepNext/>
              <w:keepLines/>
              <w:tabs>
                <w:tab w:val="decimal" w:pos="578"/>
              </w:tabs>
              <w:contextualSpacing/>
              <w:jc w:val="center"/>
              <w:rPr>
                <w:sz w:val="20"/>
                <w:szCs w:val="20"/>
              </w:rPr>
            </w:pPr>
            <w:r>
              <w:rPr>
                <w:sz w:val="20"/>
                <w:szCs w:val="20"/>
              </w:rPr>
              <w:t>8%</w:t>
            </w:r>
          </w:p>
        </w:tc>
        <w:tc>
          <w:tcPr>
            <w:tcW w:w="1355" w:type="dxa"/>
            <w:tcBorders>
              <w:right w:val="single" w:sz="4" w:space="0" w:color="auto"/>
            </w:tcBorders>
            <w:vAlign w:val="center"/>
          </w:tcPr>
          <w:p w14:paraId="28085384" w14:textId="41E513B5" w:rsidR="00AD4888" w:rsidRPr="00F6205B" w:rsidRDefault="00E122ED">
            <w:pPr>
              <w:keepNext/>
              <w:keepLines/>
              <w:tabs>
                <w:tab w:val="decimal" w:pos="578"/>
              </w:tabs>
              <w:contextualSpacing/>
              <w:jc w:val="center"/>
              <w:rPr>
                <w:sz w:val="20"/>
                <w:szCs w:val="20"/>
              </w:rPr>
            </w:pPr>
            <w:r>
              <w:rPr>
                <w:sz w:val="20"/>
                <w:szCs w:val="20"/>
              </w:rPr>
              <w:t>26%</w:t>
            </w:r>
          </w:p>
        </w:tc>
      </w:tr>
      <w:tr w:rsidR="00AD4888" w:rsidRPr="00F6205B" w14:paraId="12EB9219" w14:textId="6278C173" w:rsidTr="00F52E2F">
        <w:trPr>
          <w:trHeight w:val="288"/>
          <w:jc w:val="center"/>
        </w:trPr>
        <w:tc>
          <w:tcPr>
            <w:tcW w:w="2790" w:type="dxa"/>
            <w:tcBorders>
              <w:left w:val="single" w:sz="4" w:space="0" w:color="auto"/>
              <w:right w:val="single" w:sz="4" w:space="0" w:color="000000" w:themeColor="text1"/>
            </w:tcBorders>
            <w:shd w:val="clear" w:color="auto" w:fill="404040" w:themeFill="text1" w:themeFillTint="BF"/>
            <w:vAlign w:val="center"/>
          </w:tcPr>
          <w:p w14:paraId="3CC3913E" w14:textId="687A4ADF" w:rsidR="00AD4888" w:rsidRPr="00F6205B" w:rsidRDefault="00AD4888" w:rsidP="00112069">
            <w:pPr>
              <w:keepNext/>
              <w:keepLines/>
              <w:contextualSpacing/>
              <w:rPr>
                <w:color w:val="FFFFFF" w:themeColor="background1"/>
                <w:sz w:val="20"/>
                <w:szCs w:val="20"/>
              </w:rPr>
            </w:pPr>
            <w:r w:rsidRPr="00F6205B">
              <w:rPr>
                <w:color w:val="FFFFFF" w:themeColor="background1"/>
                <w:sz w:val="20"/>
                <w:szCs w:val="20"/>
              </w:rPr>
              <w:t>Fossil fuels (million MMBtu)</w:t>
            </w:r>
          </w:p>
        </w:tc>
        <w:tc>
          <w:tcPr>
            <w:tcW w:w="1056" w:type="dxa"/>
            <w:tcBorders>
              <w:right w:val="single" w:sz="4" w:space="0" w:color="000000" w:themeColor="text1"/>
            </w:tcBorders>
            <w:shd w:val="clear" w:color="auto" w:fill="404040" w:themeFill="text1" w:themeFillTint="BF"/>
            <w:vAlign w:val="center"/>
          </w:tcPr>
          <w:p w14:paraId="35A7CBBE" w14:textId="5BD95E26" w:rsidR="00AD4888" w:rsidRPr="00F6205B" w:rsidRDefault="00AD4888" w:rsidP="00234F00">
            <w:pPr>
              <w:keepNext/>
              <w:keepLines/>
              <w:tabs>
                <w:tab w:val="decimal" w:pos="462"/>
              </w:tabs>
              <w:contextualSpacing/>
              <w:jc w:val="center"/>
              <w:rPr>
                <w:color w:val="FFFFFF" w:themeColor="background1"/>
                <w:sz w:val="20"/>
                <w:szCs w:val="20"/>
              </w:rPr>
            </w:pPr>
            <w:r w:rsidRPr="00F6205B">
              <w:rPr>
                <w:color w:val="FFFFFF" w:themeColor="background1"/>
                <w:sz w:val="20"/>
                <w:szCs w:val="20"/>
              </w:rPr>
              <w:t>8.2</w:t>
            </w:r>
          </w:p>
        </w:tc>
        <w:tc>
          <w:tcPr>
            <w:tcW w:w="1354" w:type="dxa"/>
            <w:tcBorders>
              <w:right w:val="single" w:sz="4" w:space="0" w:color="auto"/>
            </w:tcBorders>
            <w:shd w:val="clear" w:color="auto" w:fill="404040" w:themeFill="text1" w:themeFillTint="BF"/>
            <w:vAlign w:val="center"/>
          </w:tcPr>
          <w:p w14:paraId="01401829" w14:textId="60568360" w:rsidR="00AD4888" w:rsidRPr="00F6205B" w:rsidRDefault="00AD4888">
            <w:pPr>
              <w:keepNext/>
              <w:keepLines/>
              <w:tabs>
                <w:tab w:val="decimal" w:pos="578"/>
              </w:tabs>
              <w:contextualSpacing/>
              <w:jc w:val="center"/>
              <w:rPr>
                <w:color w:val="FFFFFF" w:themeColor="background1"/>
                <w:sz w:val="20"/>
                <w:szCs w:val="20"/>
              </w:rPr>
            </w:pPr>
            <w:r w:rsidRPr="00F6205B">
              <w:rPr>
                <w:color w:val="FFFFFF" w:themeColor="background1"/>
                <w:sz w:val="20"/>
                <w:szCs w:val="20"/>
              </w:rPr>
              <w:t>8%</w:t>
            </w:r>
          </w:p>
        </w:tc>
        <w:tc>
          <w:tcPr>
            <w:tcW w:w="1355" w:type="dxa"/>
            <w:tcBorders>
              <w:right w:val="single" w:sz="4" w:space="0" w:color="auto"/>
            </w:tcBorders>
            <w:shd w:val="clear" w:color="auto" w:fill="404040" w:themeFill="text1" w:themeFillTint="BF"/>
            <w:vAlign w:val="center"/>
          </w:tcPr>
          <w:p w14:paraId="27F8E65E" w14:textId="203D7627" w:rsidR="00AD4888" w:rsidRPr="00F6205B" w:rsidRDefault="00E122ED">
            <w:pPr>
              <w:keepNext/>
              <w:keepLines/>
              <w:tabs>
                <w:tab w:val="decimal" w:pos="578"/>
              </w:tabs>
              <w:contextualSpacing/>
              <w:jc w:val="center"/>
              <w:rPr>
                <w:color w:val="FFFFFF" w:themeColor="background1"/>
                <w:sz w:val="20"/>
                <w:szCs w:val="20"/>
              </w:rPr>
            </w:pPr>
            <w:r>
              <w:rPr>
                <w:color w:val="FFFFFF" w:themeColor="background1"/>
                <w:sz w:val="20"/>
                <w:szCs w:val="20"/>
              </w:rPr>
              <w:t>32%</w:t>
            </w:r>
          </w:p>
        </w:tc>
        <w:tc>
          <w:tcPr>
            <w:tcW w:w="1355" w:type="dxa"/>
            <w:shd w:val="clear" w:color="auto" w:fill="404040" w:themeFill="text1" w:themeFillTint="BF"/>
            <w:vAlign w:val="center"/>
          </w:tcPr>
          <w:p w14:paraId="535CAB46" w14:textId="1A287B69" w:rsidR="00AD4888" w:rsidRPr="00F6205B" w:rsidRDefault="00E122ED">
            <w:pPr>
              <w:keepNext/>
              <w:keepLines/>
              <w:tabs>
                <w:tab w:val="decimal" w:pos="578"/>
              </w:tabs>
              <w:contextualSpacing/>
              <w:jc w:val="center"/>
              <w:rPr>
                <w:color w:val="FFFFFF" w:themeColor="background1"/>
                <w:sz w:val="20"/>
                <w:szCs w:val="20"/>
              </w:rPr>
            </w:pPr>
            <w:r>
              <w:rPr>
                <w:color w:val="FFFFFF" w:themeColor="background1"/>
                <w:sz w:val="20"/>
                <w:szCs w:val="20"/>
              </w:rPr>
              <w:t>10%</w:t>
            </w:r>
          </w:p>
        </w:tc>
        <w:tc>
          <w:tcPr>
            <w:tcW w:w="1355" w:type="dxa"/>
            <w:tcBorders>
              <w:right w:val="single" w:sz="4" w:space="0" w:color="auto"/>
            </w:tcBorders>
            <w:shd w:val="clear" w:color="auto" w:fill="404040" w:themeFill="text1" w:themeFillTint="BF"/>
            <w:vAlign w:val="center"/>
          </w:tcPr>
          <w:p w14:paraId="4DA23217" w14:textId="36560348" w:rsidR="00AD4888" w:rsidRPr="00F6205B" w:rsidRDefault="00E122ED">
            <w:pPr>
              <w:keepNext/>
              <w:keepLines/>
              <w:tabs>
                <w:tab w:val="decimal" w:pos="578"/>
              </w:tabs>
              <w:contextualSpacing/>
              <w:jc w:val="center"/>
              <w:rPr>
                <w:color w:val="FFFFFF" w:themeColor="background1"/>
                <w:sz w:val="20"/>
                <w:szCs w:val="20"/>
              </w:rPr>
            </w:pPr>
            <w:r>
              <w:rPr>
                <w:color w:val="FFFFFF" w:themeColor="background1"/>
                <w:sz w:val="20"/>
                <w:szCs w:val="20"/>
              </w:rPr>
              <w:t>11%</w:t>
            </w:r>
          </w:p>
        </w:tc>
      </w:tr>
      <w:tr w:rsidR="00AD4888" w:rsidRPr="00F6205B" w14:paraId="733FAE7E" w14:textId="626889F9" w:rsidTr="00F52E2F">
        <w:trPr>
          <w:trHeight w:val="288"/>
          <w:jc w:val="center"/>
        </w:trPr>
        <w:tc>
          <w:tcPr>
            <w:tcW w:w="2790" w:type="dxa"/>
            <w:tcBorders>
              <w:left w:val="single" w:sz="4" w:space="0" w:color="auto"/>
              <w:bottom w:val="single" w:sz="4" w:space="0" w:color="auto"/>
              <w:right w:val="single" w:sz="4" w:space="0" w:color="000000" w:themeColor="text1"/>
            </w:tcBorders>
            <w:shd w:val="clear" w:color="auto" w:fill="404040" w:themeFill="text1" w:themeFillTint="BF"/>
            <w:vAlign w:val="center"/>
          </w:tcPr>
          <w:p w14:paraId="7604B957" w14:textId="1074A77B" w:rsidR="00AD4888" w:rsidRPr="00F6205B" w:rsidRDefault="00AD4888" w:rsidP="00112069">
            <w:pPr>
              <w:keepNext/>
              <w:keepLines/>
              <w:contextualSpacing/>
              <w:rPr>
                <w:color w:val="FFFFFF" w:themeColor="background1"/>
                <w:sz w:val="20"/>
                <w:szCs w:val="20"/>
              </w:rPr>
            </w:pPr>
            <w:r w:rsidRPr="00F6205B">
              <w:rPr>
                <w:color w:val="FFFFFF" w:themeColor="background1"/>
                <w:sz w:val="20"/>
                <w:szCs w:val="20"/>
              </w:rPr>
              <w:t>All fuels (million MMBtu)</w:t>
            </w:r>
          </w:p>
        </w:tc>
        <w:tc>
          <w:tcPr>
            <w:tcW w:w="1056" w:type="dxa"/>
            <w:tcBorders>
              <w:bottom w:val="single" w:sz="4" w:space="0" w:color="auto"/>
              <w:right w:val="single" w:sz="4" w:space="0" w:color="000000" w:themeColor="text1"/>
            </w:tcBorders>
            <w:shd w:val="clear" w:color="auto" w:fill="404040" w:themeFill="text1" w:themeFillTint="BF"/>
            <w:vAlign w:val="center"/>
          </w:tcPr>
          <w:p w14:paraId="2E474840" w14:textId="0161FF3D" w:rsidR="00AD4888" w:rsidRPr="00F6205B" w:rsidRDefault="00AD4888" w:rsidP="00234F00">
            <w:pPr>
              <w:keepNext/>
              <w:keepLines/>
              <w:tabs>
                <w:tab w:val="decimal" w:pos="462"/>
              </w:tabs>
              <w:contextualSpacing/>
              <w:jc w:val="center"/>
              <w:rPr>
                <w:color w:val="FFFFFF" w:themeColor="background1"/>
                <w:sz w:val="20"/>
                <w:szCs w:val="20"/>
              </w:rPr>
            </w:pPr>
            <w:r w:rsidRPr="00F6205B">
              <w:rPr>
                <w:color w:val="FFFFFF" w:themeColor="background1"/>
                <w:sz w:val="20"/>
                <w:szCs w:val="20"/>
              </w:rPr>
              <w:t>10.2</w:t>
            </w:r>
          </w:p>
        </w:tc>
        <w:tc>
          <w:tcPr>
            <w:tcW w:w="1354" w:type="dxa"/>
            <w:tcBorders>
              <w:bottom w:val="single" w:sz="4" w:space="0" w:color="auto"/>
              <w:right w:val="single" w:sz="4" w:space="0" w:color="auto"/>
            </w:tcBorders>
            <w:shd w:val="clear" w:color="auto" w:fill="404040" w:themeFill="text1" w:themeFillTint="BF"/>
            <w:vAlign w:val="center"/>
          </w:tcPr>
          <w:p w14:paraId="7FAB8CA6" w14:textId="25CE9CDA" w:rsidR="00AD4888" w:rsidRPr="00F6205B" w:rsidRDefault="00AD4888">
            <w:pPr>
              <w:keepNext/>
              <w:keepLines/>
              <w:tabs>
                <w:tab w:val="decimal" w:pos="578"/>
              </w:tabs>
              <w:contextualSpacing/>
              <w:jc w:val="center"/>
              <w:rPr>
                <w:color w:val="FFFFFF" w:themeColor="background1"/>
                <w:sz w:val="20"/>
                <w:szCs w:val="20"/>
              </w:rPr>
            </w:pPr>
            <w:r w:rsidRPr="00F6205B">
              <w:rPr>
                <w:color w:val="FFFFFF" w:themeColor="background1"/>
                <w:sz w:val="20"/>
                <w:szCs w:val="20"/>
              </w:rPr>
              <w:t>5%</w:t>
            </w:r>
          </w:p>
        </w:tc>
        <w:tc>
          <w:tcPr>
            <w:tcW w:w="1355" w:type="dxa"/>
            <w:tcBorders>
              <w:bottom w:val="single" w:sz="4" w:space="0" w:color="auto"/>
              <w:right w:val="single" w:sz="4" w:space="0" w:color="auto"/>
            </w:tcBorders>
            <w:shd w:val="clear" w:color="auto" w:fill="404040" w:themeFill="text1" w:themeFillTint="BF"/>
            <w:vAlign w:val="center"/>
          </w:tcPr>
          <w:p w14:paraId="3079B28D" w14:textId="65A44C7C" w:rsidR="00AD4888" w:rsidRPr="00F6205B" w:rsidRDefault="00E122ED">
            <w:pPr>
              <w:keepNext/>
              <w:keepLines/>
              <w:tabs>
                <w:tab w:val="decimal" w:pos="578"/>
              </w:tabs>
              <w:contextualSpacing/>
              <w:jc w:val="center"/>
              <w:rPr>
                <w:color w:val="FFFFFF" w:themeColor="background1"/>
                <w:sz w:val="20"/>
                <w:szCs w:val="20"/>
              </w:rPr>
            </w:pPr>
            <w:r>
              <w:rPr>
                <w:color w:val="FFFFFF" w:themeColor="background1"/>
                <w:sz w:val="20"/>
                <w:szCs w:val="20"/>
              </w:rPr>
              <w:t>34%</w:t>
            </w:r>
          </w:p>
        </w:tc>
        <w:tc>
          <w:tcPr>
            <w:tcW w:w="1355" w:type="dxa"/>
            <w:tcBorders>
              <w:bottom w:val="single" w:sz="4" w:space="0" w:color="auto"/>
            </w:tcBorders>
            <w:shd w:val="clear" w:color="auto" w:fill="404040" w:themeFill="text1" w:themeFillTint="BF"/>
            <w:vAlign w:val="center"/>
          </w:tcPr>
          <w:p w14:paraId="5E267399" w14:textId="0B1A387E" w:rsidR="00AD4888" w:rsidRPr="00F6205B" w:rsidRDefault="00E122ED">
            <w:pPr>
              <w:keepNext/>
              <w:keepLines/>
              <w:tabs>
                <w:tab w:val="decimal" w:pos="578"/>
              </w:tabs>
              <w:contextualSpacing/>
              <w:jc w:val="center"/>
              <w:rPr>
                <w:color w:val="FFFFFF" w:themeColor="background1"/>
                <w:sz w:val="20"/>
                <w:szCs w:val="20"/>
              </w:rPr>
            </w:pPr>
            <w:r>
              <w:rPr>
                <w:color w:val="FFFFFF" w:themeColor="background1"/>
                <w:sz w:val="20"/>
                <w:szCs w:val="20"/>
              </w:rPr>
              <w:t>9%</w:t>
            </w:r>
          </w:p>
        </w:tc>
        <w:tc>
          <w:tcPr>
            <w:tcW w:w="1355" w:type="dxa"/>
            <w:tcBorders>
              <w:bottom w:val="single" w:sz="4" w:space="0" w:color="auto"/>
              <w:right w:val="single" w:sz="4" w:space="0" w:color="auto"/>
            </w:tcBorders>
            <w:shd w:val="clear" w:color="auto" w:fill="404040" w:themeFill="text1" w:themeFillTint="BF"/>
            <w:vAlign w:val="center"/>
          </w:tcPr>
          <w:p w14:paraId="5F820BB1" w14:textId="0E17B311" w:rsidR="00AD4888" w:rsidRPr="00F6205B" w:rsidRDefault="00E122ED">
            <w:pPr>
              <w:keepNext/>
              <w:keepLines/>
              <w:tabs>
                <w:tab w:val="decimal" w:pos="578"/>
              </w:tabs>
              <w:contextualSpacing/>
              <w:jc w:val="center"/>
              <w:rPr>
                <w:color w:val="FFFFFF" w:themeColor="background1"/>
                <w:sz w:val="20"/>
                <w:szCs w:val="20"/>
              </w:rPr>
            </w:pPr>
            <w:r>
              <w:rPr>
                <w:color w:val="FFFFFF" w:themeColor="background1"/>
                <w:sz w:val="20"/>
                <w:szCs w:val="20"/>
              </w:rPr>
              <w:t>12%</w:t>
            </w:r>
          </w:p>
        </w:tc>
      </w:tr>
    </w:tbl>
    <w:p w14:paraId="6D161114" w14:textId="77777777" w:rsidR="00A50E67" w:rsidRPr="00F6205B" w:rsidRDefault="00A50E67" w:rsidP="00A50E67">
      <w:pPr>
        <w:rPr>
          <w:rFonts w:cs="Times New Roman"/>
          <w:szCs w:val="24"/>
        </w:rPr>
      </w:pPr>
    </w:p>
    <w:p w14:paraId="2497AA80" w14:textId="77777777" w:rsidR="00A55F7D" w:rsidRDefault="00A55F7D">
      <w:pPr>
        <w:spacing w:after="0" w:line="240" w:lineRule="auto"/>
        <w:rPr>
          <w:rFonts w:cs="Times New Roman"/>
          <w:szCs w:val="24"/>
        </w:rPr>
      </w:pPr>
      <w:r>
        <w:rPr>
          <w:rFonts w:cs="Times New Roman"/>
          <w:szCs w:val="24"/>
        </w:rPr>
        <w:br w:type="page"/>
      </w:r>
    </w:p>
    <w:p w14:paraId="029A2F78" w14:textId="5316967A" w:rsidR="00A50E67" w:rsidRPr="00F6205B" w:rsidRDefault="001C72DE" w:rsidP="00A50E67">
      <w:pPr>
        <w:keepNext/>
        <w:rPr>
          <w:rFonts w:cs="Times New Roman"/>
          <w:szCs w:val="24"/>
        </w:rPr>
      </w:pPr>
      <w:r w:rsidRPr="00F6205B">
        <w:rPr>
          <w:rFonts w:cs="Times New Roman"/>
          <w:szCs w:val="24"/>
        </w:rPr>
        <w:lastRenderedPageBreak/>
        <w:t>A</w:t>
      </w:r>
      <w:r w:rsidR="00A50E67" w:rsidRPr="00F6205B">
        <w:rPr>
          <w:rFonts w:cs="Times New Roman"/>
          <w:szCs w:val="24"/>
        </w:rPr>
        <w:t xml:space="preserve">ll achievable fossil-fuel savings occur at the </w:t>
      </w:r>
      <w:r w:rsidR="00804E7C">
        <w:rPr>
          <w:rFonts w:cs="Times New Roman"/>
          <w:szCs w:val="24"/>
        </w:rPr>
        <w:t>spac</w:t>
      </w:r>
      <w:r w:rsidR="00A50E67" w:rsidRPr="00F6205B">
        <w:rPr>
          <w:rFonts w:cs="Times New Roman"/>
          <w:szCs w:val="24"/>
        </w:rPr>
        <w:t xml:space="preserve">e heating and water heating end uses, while </w:t>
      </w:r>
      <w:r w:rsidR="00F824E6" w:rsidRPr="00F6205B">
        <w:rPr>
          <w:rFonts w:cs="Times New Roman"/>
          <w:szCs w:val="24"/>
        </w:rPr>
        <w:t>most</w:t>
      </w:r>
      <w:r w:rsidR="00A50E67" w:rsidRPr="00F6205B">
        <w:rPr>
          <w:rFonts w:cs="Times New Roman"/>
          <w:szCs w:val="24"/>
        </w:rPr>
        <w:t xml:space="preserve"> electric savings occur in lighting and appliances. Due to gradual adoption of upgrade measures, </w:t>
      </w:r>
      <w:r w:rsidR="00F824E6" w:rsidRPr="00F6205B">
        <w:rPr>
          <w:rFonts w:cs="Times New Roman"/>
          <w:szCs w:val="24"/>
        </w:rPr>
        <w:t>the analysis estimates that fossil fuel savings in year ten will be much greater than in the first year of the window</w:t>
      </w:r>
      <w:r w:rsidR="00A50E67" w:rsidRPr="00F6205B">
        <w:rPr>
          <w:rFonts w:cs="Times New Roman"/>
          <w:szCs w:val="24"/>
        </w:rPr>
        <w:t>.</w:t>
      </w:r>
      <w:r w:rsidR="00F824E6" w:rsidRPr="00F6205B">
        <w:rPr>
          <w:rFonts w:cs="Times New Roman"/>
          <w:szCs w:val="24"/>
        </w:rPr>
        <w:t xml:space="preserve"> Conversely, </w:t>
      </w:r>
      <w:r w:rsidR="0025075C" w:rsidRPr="00F6205B">
        <w:rPr>
          <w:rFonts w:cs="Times New Roman"/>
          <w:szCs w:val="24"/>
        </w:rPr>
        <w:t xml:space="preserve">the analysis estimates </w:t>
      </w:r>
      <w:r w:rsidR="00930EBA" w:rsidRPr="00F6205B">
        <w:rPr>
          <w:rFonts w:cs="Times New Roman"/>
          <w:szCs w:val="24"/>
        </w:rPr>
        <w:t xml:space="preserve">that annual </w:t>
      </w:r>
      <w:r w:rsidR="0025075C" w:rsidRPr="00F6205B">
        <w:rPr>
          <w:rFonts w:cs="Times New Roman"/>
          <w:szCs w:val="24"/>
        </w:rPr>
        <w:t xml:space="preserve">electric savings </w:t>
      </w:r>
      <w:r w:rsidR="00930EBA" w:rsidRPr="00F6205B">
        <w:rPr>
          <w:rFonts w:cs="Times New Roman"/>
          <w:szCs w:val="24"/>
        </w:rPr>
        <w:t>will drop by year ten</w:t>
      </w:r>
      <w:r w:rsidR="0025075C" w:rsidRPr="00F6205B">
        <w:rPr>
          <w:rFonts w:cs="Times New Roman"/>
          <w:szCs w:val="24"/>
        </w:rPr>
        <w:t xml:space="preserve">; while gradual measure adoption leads to </w:t>
      </w:r>
      <w:r w:rsidR="00930EBA" w:rsidRPr="00F6205B">
        <w:rPr>
          <w:rFonts w:cs="Times New Roman"/>
          <w:szCs w:val="24"/>
        </w:rPr>
        <w:t xml:space="preserve">savings </w:t>
      </w:r>
      <w:r w:rsidR="0025075C" w:rsidRPr="00F6205B">
        <w:rPr>
          <w:rFonts w:cs="Times New Roman"/>
          <w:szCs w:val="24"/>
        </w:rPr>
        <w:t>increases at the heating, cooling, and water heating end uses, more stringent federal standards lead to a decrease in savings at the lights &amp; appliances end use.</w:t>
      </w:r>
    </w:p>
    <w:p w14:paraId="701BC42A" w14:textId="327B9625" w:rsidR="00A50E67" w:rsidRPr="00F6205B" w:rsidRDefault="00A50E67" w:rsidP="004F23CF">
      <w:pPr>
        <w:pStyle w:val="Caption"/>
      </w:pPr>
      <w:bookmarkStart w:id="306" w:name="_Toc391887368"/>
      <w:bookmarkStart w:id="307" w:name="_Toc439931863"/>
      <w:r w:rsidRPr="00F6205B">
        <w:t>Table</w:t>
      </w:r>
      <w:r w:rsidR="004F23CF" w:rsidRPr="00F6205B">
        <w:t xml:space="preserve"> </w:t>
      </w:r>
      <w:fldSimple w:instr=" SEQ Table \* ARABIC ">
        <w:r w:rsidR="00FA26A9">
          <w:rPr>
            <w:noProof/>
          </w:rPr>
          <w:t>32</w:t>
        </w:r>
      </w:fldSimple>
      <w:r w:rsidRPr="00F6205B">
        <w:t>: Achievable Potential Savings by End Use—Year One &amp; Year Ten</w:t>
      </w:r>
      <w:r w:rsidRPr="00F6205B">
        <w:rPr>
          <w:vertAlign w:val="superscript"/>
        </w:rPr>
        <w:t>*</w:t>
      </w:r>
      <w:bookmarkEnd w:id="306"/>
      <w:bookmarkEnd w:id="307"/>
    </w:p>
    <w:p w14:paraId="328AAAC0" w14:textId="77777777" w:rsidR="00346A82" w:rsidRPr="00F6205B" w:rsidRDefault="00346A82" w:rsidP="00346A82">
      <w:pPr>
        <w:pStyle w:val="Caption"/>
        <w:spacing w:before="0" w:after="120"/>
        <w:rPr>
          <w:b w:val="0"/>
          <w:bCs w:val="0"/>
          <w:sz w:val="18"/>
        </w:rPr>
      </w:pPr>
      <w:r w:rsidRPr="00F6205B">
        <w:rPr>
          <w:b w:val="0"/>
          <w:bCs w:val="0"/>
          <w:sz w:val="18"/>
        </w:rPr>
        <w:t>Base: all single-family homes (population-weighted)</w:t>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1965"/>
        <w:gridCol w:w="1099"/>
        <w:gridCol w:w="1099"/>
        <w:gridCol w:w="1099"/>
        <w:gridCol w:w="1159"/>
        <w:gridCol w:w="1159"/>
        <w:gridCol w:w="1159"/>
      </w:tblGrid>
      <w:tr w:rsidR="00A90CAF" w:rsidRPr="00F6205B" w14:paraId="5F7AE748" w14:textId="2E734AC1" w:rsidTr="00FC5126">
        <w:trPr>
          <w:trHeight w:val="288"/>
          <w:jc w:val="center"/>
        </w:trPr>
        <w:tc>
          <w:tcPr>
            <w:tcW w:w="1965" w:type="dxa"/>
            <w:tcBorders>
              <w:top w:val="single" w:sz="4" w:space="0" w:color="auto"/>
              <w:left w:val="single" w:sz="4" w:space="0" w:color="auto"/>
              <w:bottom w:val="single" w:sz="4" w:space="0" w:color="auto"/>
              <w:right w:val="single" w:sz="4" w:space="0" w:color="000000" w:themeColor="text1"/>
            </w:tcBorders>
            <w:shd w:val="clear" w:color="auto" w:fill="0B4D2C" w:themeFill="background2" w:themeFillShade="BF"/>
            <w:vAlign w:val="center"/>
          </w:tcPr>
          <w:p w14:paraId="0F08E307" w14:textId="77777777" w:rsidR="00A90CAF" w:rsidRPr="00F6205B" w:rsidRDefault="00A90CAF" w:rsidP="00A90CAF">
            <w:pPr>
              <w:keepNext/>
              <w:keepLines/>
              <w:contextualSpacing/>
              <w:rPr>
                <w:b/>
                <w:sz w:val="20"/>
                <w:szCs w:val="20"/>
              </w:rPr>
            </w:pPr>
            <w:r w:rsidRPr="00F6205B">
              <w:rPr>
                <w:b/>
                <w:sz w:val="20"/>
                <w:szCs w:val="20"/>
              </w:rPr>
              <w:t>End Use</w:t>
            </w:r>
          </w:p>
        </w:tc>
        <w:tc>
          <w:tcPr>
            <w:tcW w:w="1099" w:type="dxa"/>
            <w:tcBorders>
              <w:top w:val="single" w:sz="4" w:space="0" w:color="auto"/>
              <w:bottom w:val="single" w:sz="4" w:space="0" w:color="auto"/>
              <w:right w:val="single" w:sz="4" w:space="0" w:color="000000" w:themeColor="text1"/>
            </w:tcBorders>
            <w:shd w:val="clear" w:color="auto" w:fill="0B4D2C" w:themeFill="background2" w:themeFillShade="BF"/>
            <w:vAlign w:val="center"/>
          </w:tcPr>
          <w:p w14:paraId="62FA33DF" w14:textId="6A295B66" w:rsidR="00A90CAF" w:rsidRPr="00F6205B" w:rsidRDefault="00A90CAF" w:rsidP="00A90CAF">
            <w:pPr>
              <w:keepNext/>
              <w:keepLines/>
              <w:contextualSpacing/>
              <w:jc w:val="center"/>
              <w:rPr>
                <w:b/>
                <w:sz w:val="20"/>
                <w:szCs w:val="20"/>
              </w:rPr>
            </w:pPr>
            <w:r w:rsidRPr="00F6205B">
              <w:rPr>
                <w:b/>
                <w:sz w:val="20"/>
                <w:szCs w:val="20"/>
              </w:rPr>
              <w:t>Fuel Oil (gal)</w:t>
            </w:r>
          </w:p>
        </w:tc>
        <w:tc>
          <w:tcPr>
            <w:tcW w:w="1099" w:type="dxa"/>
            <w:tcBorders>
              <w:top w:val="single" w:sz="4" w:space="0" w:color="auto"/>
              <w:bottom w:val="single" w:sz="4" w:space="0" w:color="auto"/>
              <w:right w:val="single" w:sz="4" w:space="0" w:color="000000" w:themeColor="text1"/>
            </w:tcBorders>
            <w:shd w:val="clear" w:color="auto" w:fill="0B4D2C" w:themeFill="background2" w:themeFillShade="BF"/>
            <w:vAlign w:val="center"/>
          </w:tcPr>
          <w:p w14:paraId="33A4D1EC" w14:textId="76F8253B" w:rsidR="00A90CAF" w:rsidRPr="00F6205B" w:rsidRDefault="003C56EF" w:rsidP="00A90CAF">
            <w:pPr>
              <w:keepNext/>
              <w:keepLines/>
              <w:contextualSpacing/>
              <w:jc w:val="center"/>
              <w:rPr>
                <w:b/>
                <w:sz w:val="20"/>
                <w:szCs w:val="20"/>
              </w:rPr>
            </w:pPr>
            <w:r w:rsidRPr="00F6205B">
              <w:rPr>
                <w:b/>
                <w:sz w:val="20"/>
                <w:szCs w:val="20"/>
              </w:rPr>
              <w:t>Nat.</w:t>
            </w:r>
            <w:r w:rsidR="00A90CAF" w:rsidRPr="00F6205B">
              <w:rPr>
                <w:b/>
                <w:sz w:val="20"/>
                <w:szCs w:val="20"/>
              </w:rPr>
              <w:t xml:space="preserve"> Gas (ccf)</w:t>
            </w:r>
          </w:p>
        </w:tc>
        <w:tc>
          <w:tcPr>
            <w:tcW w:w="1099" w:type="dxa"/>
            <w:tcBorders>
              <w:top w:val="single" w:sz="4" w:space="0" w:color="auto"/>
              <w:bottom w:val="single" w:sz="4" w:space="0" w:color="auto"/>
              <w:right w:val="single" w:sz="4" w:space="0" w:color="000000" w:themeColor="text1"/>
            </w:tcBorders>
            <w:shd w:val="clear" w:color="auto" w:fill="0B4D2C" w:themeFill="background2" w:themeFillShade="BF"/>
            <w:vAlign w:val="center"/>
          </w:tcPr>
          <w:p w14:paraId="55161164" w14:textId="022D23C9" w:rsidR="00A90CAF" w:rsidRPr="00F6205B" w:rsidRDefault="00A90CAF" w:rsidP="00A90CAF">
            <w:pPr>
              <w:keepNext/>
              <w:keepLines/>
              <w:contextualSpacing/>
              <w:jc w:val="center"/>
              <w:rPr>
                <w:b/>
                <w:sz w:val="20"/>
                <w:szCs w:val="20"/>
              </w:rPr>
            </w:pPr>
            <w:r w:rsidRPr="00F6205B">
              <w:rPr>
                <w:b/>
                <w:sz w:val="20"/>
                <w:szCs w:val="20"/>
              </w:rPr>
              <w:t>Propane (gal)</w:t>
            </w:r>
          </w:p>
        </w:tc>
        <w:tc>
          <w:tcPr>
            <w:tcW w:w="1159" w:type="dxa"/>
            <w:tcBorders>
              <w:top w:val="single" w:sz="4" w:space="0" w:color="auto"/>
              <w:left w:val="single" w:sz="4" w:space="0" w:color="000000" w:themeColor="text1"/>
              <w:bottom w:val="single" w:sz="4" w:space="0" w:color="auto"/>
              <w:right w:val="single" w:sz="4" w:space="0" w:color="auto"/>
            </w:tcBorders>
            <w:shd w:val="clear" w:color="auto" w:fill="0B4D2C" w:themeFill="background2" w:themeFillShade="BF"/>
            <w:vAlign w:val="center"/>
          </w:tcPr>
          <w:p w14:paraId="4AA60E2E" w14:textId="358030A8" w:rsidR="00A90CAF" w:rsidRPr="00F6205B" w:rsidRDefault="00A90CAF" w:rsidP="00A90CAF">
            <w:pPr>
              <w:keepNext/>
              <w:keepLines/>
              <w:contextualSpacing/>
              <w:jc w:val="center"/>
              <w:rPr>
                <w:b/>
                <w:sz w:val="20"/>
                <w:szCs w:val="20"/>
              </w:rPr>
            </w:pPr>
            <w:r w:rsidRPr="00F6205B">
              <w:rPr>
                <w:b/>
                <w:sz w:val="20"/>
                <w:szCs w:val="20"/>
              </w:rPr>
              <w:t xml:space="preserve">Electric (kWh) </w:t>
            </w:r>
          </w:p>
        </w:tc>
        <w:tc>
          <w:tcPr>
            <w:tcW w:w="1159" w:type="dxa"/>
            <w:tcBorders>
              <w:top w:val="single" w:sz="4" w:space="0" w:color="auto"/>
              <w:left w:val="single" w:sz="4" w:space="0" w:color="000000" w:themeColor="text1"/>
              <w:bottom w:val="single" w:sz="4" w:space="0" w:color="auto"/>
              <w:right w:val="single" w:sz="4" w:space="0" w:color="auto"/>
            </w:tcBorders>
            <w:shd w:val="clear" w:color="auto" w:fill="0B4D2C" w:themeFill="background2" w:themeFillShade="BF"/>
            <w:vAlign w:val="center"/>
          </w:tcPr>
          <w:p w14:paraId="3AA61006" w14:textId="353E5244" w:rsidR="00A90CAF" w:rsidRPr="00F6205B" w:rsidRDefault="00A90CAF" w:rsidP="00A90CAF">
            <w:pPr>
              <w:keepNext/>
              <w:keepLines/>
              <w:contextualSpacing/>
              <w:jc w:val="center"/>
              <w:rPr>
                <w:b/>
                <w:sz w:val="20"/>
                <w:szCs w:val="20"/>
              </w:rPr>
            </w:pPr>
            <w:r w:rsidRPr="00F6205B">
              <w:rPr>
                <w:b/>
                <w:sz w:val="20"/>
                <w:szCs w:val="20"/>
              </w:rPr>
              <w:t>Fossil Fuels (MMBtu)</w:t>
            </w:r>
          </w:p>
        </w:tc>
        <w:tc>
          <w:tcPr>
            <w:tcW w:w="1159" w:type="dxa"/>
            <w:tcBorders>
              <w:top w:val="single" w:sz="4" w:space="0" w:color="auto"/>
              <w:left w:val="single" w:sz="4" w:space="0" w:color="000000" w:themeColor="text1"/>
              <w:bottom w:val="single" w:sz="4" w:space="0" w:color="auto"/>
              <w:right w:val="single" w:sz="4" w:space="0" w:color="auto"/>
            </w:tcBorders>
            <w:shd w:val="clear" w:color="auto" w:fill="0B4D2C" w:themeFill="background2" w:themeFillShade="BF"/>
            <w:vAlign w:val="center"/>
          </w:tcPr>
          <w:p w14:paraId="1807A6AE" w14:textId="32E6C99B" w:rsidR="00A90CAF" w:rsidRPr="00F6205B" w:rsidRDefault="00A90CAF" w:rsidP="00A90CAF">
            <w:pPr>
              <w:keepNext/>
              <w:keepLines/>
              <w:contextualSpacing/>
              <w:jc w:val="center"/>
              <w:rPr>
                <w:b/>
                <w:sz w:val="20"/>
                <w:szCs w:val="20"/>
              </w:rPr>
            </w:pPr>
            <w:r w:rsidRPr="00F6205B">
              <w:rPr>
                <w:b/>
                <w:sz w:val="20"/>
                <w:szCs w:val="20"/>
              </w:rPr>
              <w:t>All Fuels (MMBtu)</w:t>
            </w:r>
          </w:p>
        </w:tc>
      </w:tr>
      <w:tr w:rsidR="00A90CAF" w:rsidRPr="00F6205B" w14:paraId="0327F140" w14:textId="78922F82" w:rsidTr="00FC5126">
        <w:trPr>
          <w:trHeight w:val="288"/>
          <w:jc w:val="center"/>
        </w:trPr>
        <w:tc>
          <w:tcPr>
            <w:tcW w:w="8739" w:type="dxa"/>
            <w:gridSpan w:val="7"/>
            <w:tcBorders>
              <w:top w:val="single" w:sz="4" w:space="0" w:color="auto"/>
              <w:left w:val="single" w:sz="4" w:space="0" w:color="auto"/>
              <w:right w:val="single" w:sz="4" w:space="0" w:color="auto"/>
            </w:tcBorders>
            <w:shd w:val="clear" w:color="auto" w:fill="404040" w:themeFill="text1" w:themeFillTint="BF"/>
            <w:vAlign w:val="center"/>
          </w:tcPr>
          <w:p w14:paraId="1B358750" w14:textId="3DF82D20" w:rsidR="00A90CAF" w:rsidRPr="00F6205B" w:rsidRDefault="00A90CAF" w:rsidP="00A90CAF">
            <w:pPr>
              <w:keepNext/>
              <w:keepLines/>
              <w:contextualSpacing/>
              <w:jc w:val="center"/>
              <w:rPr>
                <w:b/>
                <w:color w:val="FFFFFF" w:themeColor="background1"/>
                <w:sz w:val="20"/>
                <w:szCs w:val="20"/>
              </w:rPr>
            </w:pPr>
            <w:r w:rsidRPr="00F6205B">
              <w:rPr>
                <w:b/>
                <w:color w:val="FFFFFF" w:themeColor="background1"/>
                <w:sz w:val="20"/>
                <w:szCs w:val="20"/>
              </w:rPr>
              <w:t>Year One (2016) Achievable Savings</w:t>
            </w:r>
          </w:p>
        </w:tc>
      </w:tr>
      <w:tr w:rsidR="00A90CAF" w:rsidRPr="00F6205B" w14:paraId="54E8C08C" w14:textId="6F94CFEB" w:rsidTr="00FC5126">
        <w:trPr>
          <w:trHeight w:val="288"/>
          <w:jc w:val="center"/>
        </w:trPr>
        <w:tc>
          <w:tcPr>
            <w:tcW w:w="1965" w:type="dxa"/>
            <w:tcBorders>
              <w:top w:val="single" w:sz="4" w:space="0" w:color="auto"/>
              <w:left w:val="single" w:sz="4" w:space="0" w:color="auto"/>
              <w:right w:val="single" w:sz="4" w:space="0" w:color="000000" w:themeColor="text1"/>
            </w:tcBorders>
            <w:vAlign w:val="center"/>
          </w:tcPr>
          <w:p w14:paraId="2E5EDD0C" w14:textId="77777777" w:rsidR="00A90CAF" w:rsidRPr="00F6205B" w:rsidRDefault="00A90CAF" w:rsidP="00A90CAF">
            <w:pPr>
              <w:keepNext/>
              <w:keepLines/>
              <w:contextualSpacing/>
              <w:rPr>
                <w:sz w:val="20"/>
                <w:szCs w:val="20"/>
              </w:rPr>
            </w:pPr>
            <w:r w:rsidRPr="00F6205B">
              <w:rPr>
                <w:sz w:val="20"/>
                <w:szCs w:val="20"/>
              </w:rPr>
              <w:t>Heating</w:t>
            </w:r>
          </w:p>
        </w:tc>
        <w:tc>
          <w:tcPr>
            <w:tcW w:w="1099" w:type="dxa"/>
            <w:tcBorders>
              <w:top w:val="single" w:sz="4" w:space="0" w:color="auto"/>
              <w:right w:val="single" w:sz="4" w:space="0" w:color="000000" w:themeColor="text1"/>
            </w:tcBorders>
            <w:vAlign w:val="center"/>
          </w:tcPr>
          <w:p w14:paraId="0852E311" w14:textId="170C68EC" w:rsidR="00A90CAF" w:rsidRPr="00F6205B" w:rsidRDefault="003C56EF" w:rsidP="00A90CAF">
            <w:pPr>
              <w:keepNext/>
              <w:keepLines/>
              <w:tabs>
                <w:tab w:val="decimal" w:pos="358"/>
              </w:tabs>
              <w:contextualSpacing/>
              <w:jc w:val="center"/>
              <w:rPr>
                <w:sz w:val="20"/>
                <w:szCs w:val="20"/>
              </w:rPr>
            </w:pPr>
            <w:r w:rsidRPr="00F6205B">
              <w:rPr>
                <w:sz w:val="20"/>
                <w:szCs w:val="20"/>
              </w:rPr>
              <w:t>9.7</w:t>
            </w:r>
          </w:p>
        </w:tc>
        <w:tc>
          <w:tcPr>
            <w:tcW w:w="1099" w:type="dxa"/>
            <w:tcBorders>
              <w:top w:val="single" w:sz="4" w:space="0" w:color="auto"/>
              <w:right w:val="single" w:sz="4" w:space="0" w:color="000000" w:themeColor="text1"/>
            </w:tcBorders>
            <w:vAlign w:val="center"/>
          </w:tcPr>
          <w:p w14:paraId="6EDDB527" w14:textId="25EB208B" w:rsidR="00A90CAF" w:rsidRPr="00F6205B" w:rsidRDefault="003C56EF" w:rsidP="00A90CAF">
            <w:pPr>
              <w:keepNext/>
              <w:keepLines/>
              <w:tabs>
                <w:tab w:val="decimal" w:pos="339"/>
              </w:tabs>
              <w:contextualSpacing/>
              <w:jc w:val="center"/>
              <w:rPr>
                <w:sz w:val="20"/>
                <w:szCs w:val="20"/>
              </w:rPr>
            </w:pPr>
            <w:r w:rsidRPr="00F6205B">
              <w:rPr>
                <w:sz w:val="20"/>
                <w:szCs w:val="20"/>
              </w:rPr>
              <w:t>6.2</w:t>
            </w:r>
          </w:p>
        </w:tc>
        <w:tc>
          <w:tcPr>
            <w:tcW w:w="1099" w:type="dxa"/>
            <w:tcBorders>
              <w:top w:val="single" w:sz="4" w:space="0" w:color="auto"/>
              <w:right w:val="single" w:sz="4" w:space="0" w:color="000000" w:themeColor="text1"/>
            </w:tcBorders>
            <w:vAlign w:val="center"/>
          </w:tcPr>
          <w:p w14:paraId="4A7B78ED" w14:textId="310C17C1" w:rsidR="00A90CAF" w:rsidRPr="00F6205B" w:rsidRDefault="003C56EF" w:rsidP="00A90CAF">
            <w:pPr>
              <w:keepNext/>
              <w:keepLines/>
              <w:tabs>
                <w:tab w:val="decimal" w:pos="395"/>
              </w:tabs>
              <w:contextualSpacing/>
              <w:jc w:val="center"/>
              <w:rPr>
                <w:sz w:val="20"/>
                <w:szCs w:val="20"/>
              </w:rPr>
            </w:pPr>
            <w:r w:rsidRPr="00F6205B">
              <w:rPr>
                <w:sz w:val="20"/>
                <w:szCs w:val="20"/>
              </w:rPr>
              <w:t>0.3</w:t>
            </w:r>
          </w:p>
        </w:tc>
        <w:tc>
          <w:tcPr>
            <w:tcW w:w="1159" w:type="dxa"/>
            <w:tcBorders>
              <w:top w:val="single" w:sz="4" w:space="0" w:color="auto"/>
              <w:left w:val="single" w:sz="4" w:space="0" w:color="000000" w:themeColor="text1"/>
              <w:right w:val="single" w:sz="4" w:space="0" w:color="auto"/>
            </w:tcBorders>
            <w:vAlign w:val="center"/>
          </w:tcPr>
          <w:p w14:paraId="7DDAFB54" w14:textId="4B203B82" w:rsidR="00A90CAF" w:rsidRPr="00F6205B" w:rsidRDefault="003C56EF" w:rsidP="00A90CAF">
            <w:pPr>
              <w:keepNext/>
              <w:keepLines/>
              <w:tabs>
                <w:tab w:val="decimal" w:pos="631"/>
              </w:tabs>
              <w:contextualSpacing/>
              <w:jc w:val="center"/>
              <w:rPr>
                <w:sz w:val="20"/>
                <w:szCs w:val="20"/>
              </w:rPr>
            </w:pPr>
            <w:r w:rsidRPr="00F6205B">
              <w:rPr>
                <w:sz w:val="20"/>
                <w:szCs w:val="20"/>
              </w:rPr>
              <w:t>12.6</w:t>
            </w:r>
          </w:p>
        </w:tc>
        <w:tc>
          <w:tcPr>
            <w:tcW w:w="1159" w:type="dxa"/>
            <w:tcBorders>
              <w:top w:val="single" w:sz="4" w:space="0" w:color="auto"/>
              <w:left w:val="single" w:sz="4" w:space="0" w:color="000000" w:themeColor="text1"/>
              <w:right w:val="single" w:sz="4" w:space="0" w:color="auto"/>
            </w:tcBorders>
            <w:vAlign w:val="center"/>
          </w:tcPr>
          <w:p w14:paraId="39CE127B" w14:textId="216D8EC3" w:rsidR="00A90CAF" w:rsidRPr="00F6205B" w:rsidRDefault="003C56EF" w:rsidP="00A90CAF">
            <w:pPr>
              <w:keepNext/>
              <w:keepLines/>
              <w:tabs>
                <w:tab w:val="decimal" w:pos="631"/>
              </w:tabs>
              <w:contextualSpacing/>
              <w:jc w:val="center"/>
              <w:rPr>
                <w:sz w:val="20"/>
                <w:szCs w:val="20"/>
              </w:rPr>
            </w:pPr>
            <w:r w:rsidRPr="00F6205B">
              <w:rPr>
                <w:sz w:val="20"/>
                <w:szCs w:val="20"/>
              </w:rPr>
              <w:t>2.0</w:t>
            </w:r>
          </w:p>
        </w:tc>
        <w:tc>
          <w:tcPr>
            <w:tcW w:w="1159" w:type="dxa"/>
            <w:tcBorders>
              <w:top w:val="single" w:sz="4" w:space="0" w:color="auto"/>
              <w:left w:val="single" w:sz="4" w:space="0" w:color="000000" w:themeColor="text1"/>
              <w:right w:val="single" w:sz="4" w:space="0" w:color="auto"/>
            </w:tcBorders>
            <w:vAlign w:val="center"/>
          </w:tcPr>
          <w:p w14:paraId="3AF94BA1" w14:textId="167DE4CC" w:rsidR="00A90CAF" w:rsidRPr="00F6205B" w:rsidRDefault="003C56EF" w:rsidP="00A90CAF">
            <w:pPr>
              <w:keepNext/>
              <w:keepLines/>
              <w:tabs>
                <w:tab w:val="decimal" w:pos="631"/>
              </w:tabs>
              <w:contextualSpacing/>
              <w:jc w:val="center"/>
              <w:rPr>
                <w:sz w:val="20"/>
                <w:szCs w:val="20"/>
              </w:rPr>
            </w:pPr>
            <w:r w:rsidRPr="00F6205B">
              <w:rPr>
                <w:sz w:val="20"/>
                <w:szCs w:val="20"/>
              </w:rPr>
              <w:t>2.0</w:t>
            </w:r>
          </w:p>
        </w:tc>
      </w:tr>
      <w:tr w:rsidR="00A90CAF" w:rsidRPr="00F6205B" w14:paraId="08CFFD61" w14:textId="08D730A4" w:rsidTr="00FC5126">
        <w:trPr>
          <w:trHeight w:val="288"/>
          <w:jc w:val="center"/>
        </w:trPr>
        <w:tc>
          <w:tcPr>
            <w:tcW w:w="1965" w:type="dxa"/>
            <w:tcBorders>
              <w:left w:val="single" w:sz="4" w:space="0" w:color="auto"/>
              <w:right w:val="single" w:sz="4" w:space="0" w:color="000000" w:themeColor="text1"/>
            </w:tcBorders>
            <w:vAlign w:val="center"/>
          </w:tcPr>
          <w:p w14:paraId="002F9E98" w14:textId="77777777" w:rsidR="00A90CAF" w:rsidRPr="00F6205B" w:rsidRDefault="00A90CAF" w:rsidP="00A90CAF">
            <w:pPr>
              <w:keepNext/>
              <w:keepLines/>
              <w:contextualSpacing/>
              <w:rPr>
                <w:sz w:val="20"/>
                <w:szCs w:val="20"/>
              </w:rPr>
            </w:pPr>
            <w:r w:rsidRPr="00F6205B">
              <w:rPr>
                <w:sz w:val="20"/>
                <w:szCs w:val="20"/>
              </w:rPr>
              <w:t>Cooling</w:t>
            </w:r>
          </w:p>
        </w:tc>
        <w:tc>
          <w:tcPr>
            <w:tcW w:w="1099" w:type="dxa"/>
            <w:tcBorders>
              <w:right w:val="single" w:sz="4" w:space="0" w:color="000000" w:themeColor="text1"/>
            </w:tcBorders>
            <w:vAlign w:val="center"/>
          </w:tcPr>
          <w:p w14:paraId="3DE3D7A1" w14:textId="52E61BC8" w:rsidR="00A90CAF" w:rsidRPr="00F6205B" w:rsidRDefault="00A90CAF" w:rsidP="00A90CAF">
            <w:pPr>
              <w:keepNext/>
              <w:keepLines/>
              <w:tabs>
                <w:tab w:val="decimal" w:pos="358"/>
              </w:tabs>
              <w:contextualSpacing/>
              <w:jc w:val="center"/>
              <w:rPr>
                <w:sz w:val="20"/>
                <w:szCs w:val="20"/>
              </w:rPr>
            </w:pPr>
            <w:r w:rsidRPr="00F6205B">
              <w:rPr>
                <w:sz w:val="20"/>
                <w:szCs w:val="20"/>
              </w:rPr>
              <w:t>--</w:t>
            </w:r>
          </w:p>
        </w:tc>
        <w:tc>
          <w:tcPr>
            <w:tcW w:w="1099" w:type="dxa"/>
            <w:tcBorders>
              <w:right w:val="single" w:sz="4" w:space="0" w:color="000000" w:themeColor="text1"/>
            </w:tcBorders>
            <w:vAlign w:val="center"/>
          </w:tcPr>
          <w:p w14:paraId="68D40DFC" w14:textId="255951FB" w:rsidR="00A90CAF" w:rsidRPr="00F6205B" w:rsidRDefault="00A90CAF" w:rsidP="00A90CAF">
            <w:pPr>
              <w:keepNext/>
              <w:keepLines/>
              <w:tabs>
                <w:tab w:val="decimal" w:pos="339"/>
              </w:tabs>
              <w:contextualSpacing/>
              <w:jc w:val="center"/>
              <w:rPr>
                <w:sz w:val="20"/>
                <w:szCs w:val="20"/>
              </w:rPr>
            </w:pPr>
            <w:r w:rsidRPr="00F6205B">
              <w:rPr>
                <w:sz w:val="20"/>
                <w:szCs w:val="20"/>
              </w:rPr>
              <w:t>--</w:t>
            </w:r>
          </w:p>
        </w:tc>
        <w:tc>
          <w:tcPr>
            <w:tcW w:w="1099" w:type="dxa"/>
            <w:tcBorders>
              <w:right w:val="single" w:sz="4" w:space="0" w:color="000000" w:themeColor="text1"/>
            </w:tcBorders>
            <w:vAlign w:val="center"/>
          </w:tcPr>
          <w:p w14:paraId="2A296440" w14:textId="3CAA8A2C" w:rsidR="00A90CAF" w:rsidRPr="00F6205B" w:rsidRDefault="00A90CAF" w:rsidP="00A90CAF">
            <w:pPr>
              <w:keepNext/>
              <w:keepLines/>
              <w:tabs>
                <w:tab w:val="decimal" w:pos="395"/>
              </w:tabs>
              <w:contextualSpacing/>
              <w:jc w:val="center"/>
              <w:rPr>
                <w:sz w:val="20"/>
                <w:szCs w:val="20"/>
              </w:rPr>
            </w:pPr>
            <w:r w:rsidRPr="00F6205B">
              <w:rPr>
                <w:sz w:val="20"/>
                <w:szCs w:val="20"/>
              </w:rPr>
              <w:t>--</w:t>
            </w:r>
          </w:p>
        </w:tc>
        <w:tc>
          <w:tcPr>
            <w:tcW w:w="1159" w:type="dxa"/>
            <w:tcBorders>
              <w:left w:val="single" w:sz="4" w:space="0" w:color="000000" w:themeColor="text1"/>
              <w:right w:val="single" w:sz="4" w:space="0" w:color="auto"/>
            </w:tcBorders>
            <w:vAlign w:val="center"/>
          </w:tcPr>
          <w:p w14:paraId="10F7ADB7" w14:textId="4E3C3466" w:rsidR="00A90CAF" w:rsidRPr="00F6205B" w:rsidRDefault="00A90CAF" w:rsidP="00A90CAF">
            <w:pPr>
              <w:keepNext/>
              <w:keepLines/>
              <w:tabs>
                <w:tab w:val="decimal" w:pos="631"/>
              </w:tabs>
              <w:contextualSpacing/>
              <w:jc w:val="center"/>
              <w:rPr>
                <w:sz w:val="20"/>
                <w:szCs w:val="20"/>
              </w:rPr>
            </w:pPr>
            <w:r w:rsidRPr="00F6205B">
              <w:rPr>
                <w:sz w:val="20"/>
                <w:szCs w:val="20"/>
              </w:rPr>
              <w:t>8.9</w:t>
            </w:r>
          </w:p>
        </w:tc>
        <w:tc>
          <w:tcPr>
            <w:tcW w:w="1159" w:type="dxa"/>
            <w:tcBorders>
              <w:left w:val="single" w:sz="4" w:space="0" w:color="000000" w:themeColor="text1"/>
              <w:right w:val="single" w:sz="4" w:space="0" w:color="auto"/>
            </w:tcBorders>
            <w:vAlign w:val="center"/>
          </w:tcPr>
          <w:p w14:paraId="0F526433" w14:textId="6A1C2522" w:rsidR="00A90CAF" w:rsidRPr="00F6205B" w:rsidRDefault="00870293" w:rsidP="00A90CAF">
            <w:pPr>
              <w:keepNext/>
              <w:keepLines/>
              <w:tabs>
                <w:tab w:val="decimal" w:pos="631"/>
              </w:tabs>
              <w:contextualSpacing/>
              <w:jc w:val="center"/>
              <w:rPr>
                <w:sz w:val="20"/>
                <w:szCs w:val="20"/>
              </w:rPr>
            </w:pPr>
            <w:r w:rsidRPr="00F6205B">
              <w:rPr>
                <w:sz w:val="20"/>
                <w:szCs w:val="20"/>
              </w:rPr>
              <w:t>--</w:t>
            </w:r>
          </w:p>
        </w:tc>
        <w:tc>
          <w:tcPr>
            <w:tcW w:w="1159" w:type="dxa"/>
            <w:tcBorders>
              <w:left w:val="single" w:sz="4" w:space="0" w:color="000000" w:themeColor="text1"/>
              <w:right w:val="single" w:sz="4" w:space="0" w:color="auto"/>
            </w:tcBorders>
            <w:vAlign w:val="center"/>
          </w:tcPr>
          <w:p w14:paraId="4271AC30" w14:textId="1ED2CCF9" w:rsidR="00A90CAF" w:rsidRPr="00F6205B" w:rsidRDefault="00870293" w:rsidP="00A90CAF">
            <w:pPr>
              <w:keepNext/>
              <w:keepLines/>
              <w:tabs>
                <w:tab w:val="decimal" w:pos="631"/>
              </w:tabs>
              <w:contextualSpacing/>
              <w:jc w:val="center"/>
              <w:rPr>
                <w:sz w:val="20"/>
                <w:szCs w:val="20"/>
              </w:rPr>
            </w:pPr>
            <w:r w:rsidRPr="00F6205B">
              <w:rPr>
                <w:sz w:val="20"/>
                <w:szCs w:val="20"/>
              </w:rPr>
              <w:t>&lt; 0.1</w:t>
            </w:r>
          </w:p>
        </w:tc>
      </w:tr>
      <w:tr w:rsidR="00A90CAF" w:rsidRPr="00F6205B" w14:paraId="73807106" w14:textId="1DE79883" w:rsidTr="00FC5126">
        <w:trPr>
          <w:trHeight w:val="288"/>
          <w:jc w:val="center"/>
        </w:trPr>
        <w:tc>
          <w:tcPr>
            <w:tcW w:w="1965" w:type="dxa"/>
            <w:tcBorders>
              <w:left w:val="single" w:sz="4" w:space="0" w:color="auto"/>
              <w:right w:val="single" w:sz="4" w:space="0" w:color="000000" w:themeColor="text1"/>
            </w:tcBorders>
            <w:vAlign w:val="center"/>
          </w:tcPr>
          <w:p w14:paraId="2E38390C" w14:textId="77777777" w:rsidR="00A90CAF" w:rsidRPr="00F6205B" w:rsidRDefault="00A90CAF" w:rsidP="00A90CAF">
            <w:pPr>
              <w:keepNext/>
              <w:keepLines/>
              <w:contextualSpacing/>
              <w:rPr>
                <w:sz w:val="20"/>
                <w:szCs w:val="20"/>
              </w:rPr>
            </w:pPr>
            <w:r w:rsidRPr="00F6205B">
              <w:rPr>
                <w:sz w:val="20"/>
                <w:szCs w:val="20"/>
              </w:rPr>
              <w:t>Water heating</w:t>
            </w:r>
          </w:p>
        </w:tc>
        <w:tc>
          <w:tcPr>
            <w:tcW w:w="1099" w:type="dxa"/>
            <w:tcBorders>
              <w:right w:val="single" w:sz="4" w:space="0" w:color="000000" w:themeColor="text1"/>
            </w:tcBorders>
            <w:vAlign w:val="center"/>
          </w:tcPr>
          <w:p w14:paraId="3DF14DC9" w14:textId="5ACDE4F1" w:rsidR="00A90CAF" w:rsidRPr="00F6205B" w:rsidRDefault="003C56EF" w:rsidP="00A90CAF">
            <w:pPr>
              <w:keepNext/>
              <w:keepLines/>
              <w:tabs>
                <w:tab w:val="decimal" w:pos="358"/>
              </w:tabs>
              <w:contextualSpacing/>
              <w:jc w:val="center"/>
              <w:rPr>
                <w:sz w:val="20"/>
                <w:szCs w:val="20"/>
              </w:rPr>
            </w:pPr>
            <w:r w:rsidRPr="00F6205B">
              <w:rPr>
                <w:sz w:val="20"/>
                <w:szCs w:val="20"/>
              </w:rPr>
              <w:t>0.6</w:t>
            </w:r>
          </w:p>
        </w:tc>
        <w:tc>
          <w:tcPr>
            <w:tcW w:w="1099" w:type="dxa"/>
            <w:tcBorders>
              <w:right w:val="single" w:sz="4" w:space="0" w:color="000000" w:themeColor="text1"/>
            </w:tcBorders>
            <w:vAlign w:val="center"/>
          </w:tcPr>
          <w:p w14:paraId="6D41FC59" w14:textId="0A5A0288" w:rsidR="00A90CAF" w:rsidRPr="00F6205B" w:rsidRDefault="003C56EF" w:rsidP="00A90CAF">
            <w:pPr>
              <w:keepNext/>
              <w:keepLines/>
              <w:tabs>
                <w:tab w:val="decimal" w:pos="339"/>
              </w:tabs>
              <w:contextualSpacing/>
              <w:jc w:val="center"/>
              <w:rPr>
                <w:sz w:val="20"/>
                <w:szCs w:val="20"/>
              </w:rPr>
            </w:pPr>
            <w:r w:rsidRPr="00F6205B">
              <w:rPr>
                <w:sz w:val="20"/>
                <w:szCs w:val="20"/>
              </w:rPr>
              <w:t>0.4</w:t>
            </w:r>
          </w:p>
        </w:tc>
        <w:tc>
          <w:tcPr>
            <w:tcW w:w="1099" w:type="dxa"/>
            <w:tcBorders>
              <w:right w:val="single" w:sz="4" w:space="0" w:color="000000" w:themeColor="text1"/>
            </w:tcBorders>
            <w:vAlign w:val="center"/>
          </w:tcPr>
          <w:p w14:paraId="177AC47E" w14:textId="3A30F48E" w:rsidR="00A90CAF" w:rsidRPr="00F6205B" w:rsidRDefault="00A90CAF" w:rsidP="00A90CAF">
            <w:pPr>
              <w:keepNext/>
              <w:keepLines/>
              <w:tabs>
                <w:tab w:val="decimal" w:pos="395"/>
              </w:tabs>
              <w:contextualSpacing/>
              <w:jc w:val="center"/>
              <w:rPr>
                <w:sz w:val="20"/>
                <w:szCs w:val="20"/>
              </w:rPr>
            </w:pPr>
            <w:r w:rsidRPr="00F6205B">
              <w:rPr>
                <w:sz w:val="20"/>
                <w:szCs w:val="20"/>
              </w:rPr>
              <w:t>&lt; 0.1</w:t>
            </w:r>
          </w:p>
        </w:tc>
        <w:tc>
          <w:tcPr>
            <w:tcW w:w="1159" w:type="dxa"/>
            <w:tcBorders>
              <w:left w:val="single" w:sz="4" w:space="0" w:color="000000" w:themeColor="text1"/>
              <w:right w:val="single" w:sz="4" w:space="0" w:color="auto"/>
            </w:tcBorders>
            <w:vAlign w:val="center"/>
          </w:tcPr>
          <w:p w14:paraId="5BD0C773" w14:textId="6DE65495" w:rsidR="00A90CAF" w:rsidRPr="00F6205B" w:rsidRDefault="003C56EF" w:rsidP="00A90CAF">
            <w:pPr>
              <w:keepNext/>
              <w:keepLines/>
              <w:tabs>
                <w:tab w:val="decimal" w:pos="631"/>
              </w:tabs>
              <w:contextualSpacing/>
              <w:jc w:val="center"/>
              <w:rPr>
                <w:sz w:val="20"/>
                <w:szCs w:val="20"/>
              </w:rPr>
            </w:pPr>
            <w:r w:rsidRPr="00F6205B">
              <w:rPr>
                <w:sz w:val="20"/>
                <w:szCs w:val="20"/>
              </w:rPr>
              <w:t>14.9</w:t>
            </w:r>
          </w:p>
        </w:tc>
        <w:tc>
          <w:tcPr>
            <w:tcW w:w="1159" w:type="dxa"/>
            <w:tcBorders>
              <w:left w:val="single" w:sz="4" w:space="0" w:color="000000" w:themeColor="text1"/>
              <w:right w:val="single" w:sz="4" w:space="0" w:color="auto"/>
            </w:tcBorders>
            <w:vAlign w:val="center"/>
          </w:tcPr>
          <w:p w14:paraId="6D647B46" w14:textId="5BA6C179" w:rsidR="00A90CAF" w:rsidRPr="00F6205B" w:rsidRDefault="003C56EF" w:rsidP="00A90CAF">
            <w:pPr>
              <w:keepNext/>
              <w:keepLines/>
              <w:tabs>
                <w:tab w:val="decimal" w:pos="631"/>
              </w:tabs>
              <w:contextualSpacing/>
              <w:jc w:val="center"/>
              <w:rPr>
                <w:sz w:val="20"/>
                <w:szCs w:val="20"/>
              </w:rPr>
            </w:pPr>
            <w:r w:rsidRPr="00F6205B">
              <w:rPr>
                <w:sz w:val="20"/>
                <w:szCs w:val="20"/>
              </w:rPr>
              <w:t>0.1</w:t>
            </w:r>
          </w:p>
        </w:tc>
        <w:tc>
          <w:tcPr>
            <w:tcW w:w="1159" w:type="dxa"/>
            <w:tcBorders>
              <w:left w:val="single" w:sz="4" w:space="0" w:color="000000" w:themeColor="text1"/>
              <w:right w:val="single" w:sz="4" w:space="0" w:color="auto"/>
            </w:tcBorders>
            <w:vAlign w:val="center"/>
          </w:tcPr>
          <w:p w14:paraId="58D2A2B8" w14:textId="09A52FD2" w:rsidR="00A90CAF" w:rsidRPr="00F6205B" w:rsidRDefault="003C56EF" w:rsidP="00A90CAF">
            <w:pPr>
              <w:keepNext/>
              <w:keepLines/>
              <w:tabs>
                <w:tab w:val="decimal" w:pos="631"/>
              </w:tabs>
              <w:contextualSpacing/>
              <w:jc w:val="center"/>
              <w:rPr>
                <w:sz w:val="20"/>
                <w:szCs w:val="20"/>
              </w:rPr>
            </w:pPr>
            <w:r w:rsidRPr="00F6205B">
              <w:rPr>
                <w:sz w:val="20"/>
                <w:szCs w:val="20"/>
              </w:rPr>
              <w:t>0.2</w:t>
            </w:r>
          </w:p>
        </w:tc>
      </w:tr>
      <w:tr w:rsidR="00A90CAF" w:rsidRPr="00F6205B" w14:paraId="2D5410DF" w14:textId="23B95179" w:rsidTr="00FC5126">
        <w:trPr>
          <w:trHeight w:val="288"/>
          <w:jc w:val="center"/>
        </w:trPr>
        <w:tc>
          <w:tcPr>
            <w:tcW w:w="1965" w:type="dxa"/>
            <w:tcBorders>
              <w:left w:val="single" w:sz="4" w:space="0" w:color="auto"/>
              <w:right w:val="single" w:sz="4" w:space="0" w:color="000000" w:themeColor="text1"/>
            </w:tcBorders>
            <w:vAlign w:val="center"/>
          </w:tcPr>
          <w:p w14:paraId="217CE2C0" w14:textId="77777777" w:rsidR="00A90CAF" w:rsidRPr="00F6205B" w:rsidRDefault="00A90CAF" w:rsidP="00A90CAF">
            <w:pPr>
              <w:keepNext/>
              <w:keepLines/>
              <w:contextualSpacing/>
              <w:rPr>
                <w:sz w:val="20"/>
                <w:szCs w:val="20"/>
              </w:rPr>
            </w:pPr>
            <w:r w:rsidRPr="00F6205B">
              <w:rPr>
                <w:sz w:val="20"/>
                <w:szCs w:val="20"/>
              </w:rPr>
              <w:t>Lights &amp; appliances</w:t>
            </w:r>
          </w:p>
        </w:tc>
        <w:tc>
          <w:tcPr>
            <w:tcW w:w="1099" w:type="dxa"/>
            <w:tcBorders>
              <w:right w:val="single" w:sz="4" w:space="0" w:color="000000" w:themeColor="text1"/>
            </w:tcBorders>
            <w:vAlign w:val="center"/>
          </w:tcPr>
          <w:p w14:paraId="4F13A50F" w14:textId="29307DAC" w:rsidR="00A90CAF" w:rsidRPr="00F6205B" w:rsidRDefault="00A90CAF" w:rsidP="00A90CAF">
            <w:pPr>
              <w:keepNext/>
              <w:keepLines/>
              <w:tabs>
                <w:tab w:val="decimal" w:pos="358"/>
              </w:tabs>
              <w:contextualSpacing/>
              <w:jc w:val="center"/>
              <w:rPr>
                <w:sz w:val="20"/>
                <w:szCs w:val="20"/>
              </w:rPr>
            </w:pPr>
            <w:r w:rsidRPr="00F6205B">
              <w:rPr>
                <w:sz w:val="20"/>
                <w:szCs w:val="20"/>
              </w:rPr>
              <w:t>--</w:t>
            </w:r>
          </w:p>
        </w:tc>
        <w:tc>
          <w:tcPr>
            <w:tcW w:w="1099" w:type="dxa"/>
            <w:tcBorders>
              <w:right w:val="single" w:sz="4" w:space="0" w:color="000000" w:themeColor="text1"/>
            </w:tcBorders>
            <w:vAlign w:val="center"/>
          </w:tcPr>
          <w:p w14:paraId="3FB00AF7" w14:textId="6122EEBB" w:rsidR="00A90CAF" w:rsidRPr="00F6205B" w:rsidRDefault="00A90CAF" w:rsidP="00A90CAF">
            <w:pPr>
              <w:keepNext/>
              <w:keepLines/>
              <w:tabs>
                <w:tab w:val="decimal" w:pos="339"/>
              </w:tabs>
              <w:contextualSpacing/>
              <w:jc w:val="center"/>
              <w:rPr>
                <w:sz w:val="20"/>
                <w:szCs w:val="20"/>
              </w:rPr>
            </w:pPr>
            <w:r w:rsidRPr="00F6205B">
              <w:rPr>
                <w:sz w:val="20"/>
                <w:szCs w:val="20"/>
              </w:rPr>
              <w:t>--</w:t>
            </w:r>
          </w:p>
        </w:tc>
        <w:tc>
          <w:tcPr>
            <w:tcW w:w="1099" w:type="dxa"/>
            <w:tcBorders>
              <w:right w:val="single" w:sz="4" w:space="0" w:color="000000" w:themeColor="text1"/>
            </w:tcBorders>
            <w:vAlign w:val="center"/>
          </w:tcPr>
          <w:p w14:paraId="5FA16964" w14:textId="7B31A47B" w:rsidR="00A90CAF" w:rsidRPr="00F6205B" w:rsidRDefault="00A90CAF" w:rsidP="00A90CAF">
            <w:pPr>
              <w:keepNext/>
              <w:keepLines/>
              <w:tabs>
                <w:tab w:val="decimal" w:pos="395"/>
              </w:tabs>
              <w:contextualSpacing/>
              <w:jc w:val="center"/>
              <w:rPr>
                <w:sz w:val="20"/>
                <w:szCs w:val="20"/>
              </w:rPr>
            </w:pPr>
            <w:r w:rsidRPr="00F6205B">
              <w:rPr>
                <w:sz w:val="20"/>
                <w:szCs w:val="20"/>
              </w:rPr>
              <w:t>--</w:t>
            </w:r>
          </w:p>
        </w:tc>
        <w:tc>
          <w:tcPr>
            <w:tcW w:w="1159" w:type="dxa"/>
            <w:tcBorders>
              <w:left w:val="single" w:sz="4" w:space="0" w:color="000000" w:themeColor="text1"/>
              <w:right w:val="single" w:sz="4" w:space="0" w:color="auto"/>
            </w:tcBorders>
            <w:vAlign w:val="center"/>
          </w:tcPr>
          <w:p w14:paraId="4E54FBFE" w14:textId="0728D9EE" w:rsidR="00A90CAF" w:rsidRPr="00F6205B" w:rsidRDefault="003C56EF" w:rsidP="00A90CAF">
            <w:pPr>
              <w:keepNext/>
              <w:keepLines/>
              <w:tabs>
                <w:tab w:val="decimal" w:pos="631"/>
              </w:tabs>
              <w:contextualSpacing/>
              <w:jc w:val="center"/>
              <w:rPr>
                <w:sz w:val="20"/>
                <w:szCs w:val="20"/>
              </w:rPr>
            </w:pPr>
            <w:r w:rsidRPr="00F6205B">
              <w:rPr>
                <w:sz w:val="20"/>
                <w:szCs w:val="20"/>
              </w:rPr>
              <w:t>551.6</w:t>
            </w:r>
          </w:p>
        </w:tc>
        <w:tc>
          <w:tcPr>
            <w:tcW w:w="1159" w:type="dxa"/>
            <w:tcBorders>
              <w:left w:val="single" w:sz="4" w:space="0" w:color="000000" w:themeColor="text1"/>
              <w:right w:val="single" w:sz="4" w:space="0" w:color="auto"/>
            </w:tcBorders>
            <w:vAlign w:val="center"/>
          </w:tcPr>
          <w:p w14:paraId="46F4D457" w14:textId="21549BD2" w:rsidR="00A90CAF" w:rsidRPr="00F6205B" w:rsidRDefault="00870293" w:rsidP="00A90CAF">
            <w:pPr>
              <w:keepNext/>
              <w:keepLines/>
              <w:tabs>
                <w:tab w:val="decimal" w:pos="631"/>
              </w:tabs>
              <w:contextualSpacing/>
              <w:jc w:val="center"/>
              <w:rPr>
                <w:sz w:val="20"/>
                <w:szCs w:val="20"/>
              </w:rPr>
            </w:pPr>
            <w:r w:rsidRPr="00F6205B">
              <w:rPr>
                <w:sz w:val="20"/>
                <w:szCs w:val="20"/>
              </w:rPr>
              <w:t>--</w:t>
            </w:r>
          </w:p>
        </w:tc>
        <w:tc>
          <w:tcPr>
            <w:tcW w:w="1159" w:type="dxa"/>
            <w:tcBorders>
              <w:left w:val="single" w:sz="4" w:space="0" w:color="000000" w:themeColor="text1"/>
              <w:right w:val="single" w:sz="4" w:space="0" w:color="auto"/>
            </w:tcBorders>
            <w:vAlign w:val="center"/>
          </w:tcPr>
          <w:p w14:paraId="177766A0" w14:textId="207A1082" w:rsidR="00A90CAF" w:rsidRPr="00F6205B" w:rsidRDefault="003C56EF" w:rsidP="00A90CAF">
            <w:pPr>
              <w:keepNext/>
              <w:keepLines/>
              <w:tabs>
                <w:tab w:val="decimal" w:pos="631"/>
              </w:tabs>
              <w:contextualSpacing/>
              <w:jc w:val="center"/>
              <w:rPr>
                <w:sz w:val="20"/>
                <w:szCs w:val="20"/>
              </w:rPr>
            </w:pPr>
            <w:r w:rsidRPr="00F6205B">
              <w:rPr>
                <w:sz w:val="20"/>
                <w:szCs w:val="20"/>
              </w:rPr>
              <w:t>1.9</w:t>
            </w:r>
          </w:p>
        </w:tc>
      </w:tr>
      <w:tr w:rsidR="00A90CAF" w:rsidRPr="00F6205B" w14:paraId="0F244EDF" w14:textId="5AA8CF88" w:rsidTr="00FC5126">
        <w:trPr>
          <w:trHeight w:val="288"/>
          <w:jc w:val="center"/>
        </w:trPr>
        <w:tc>
          <w:tcPr>
            <w:tcW w:w="1965" w:type="dxa"/>
            <w:tcBorders>
              <w:left w:val="single" w:sz="4" w:space="0" w:color="auto"/>
              <w:bottom w:val="single" w:sz="4" w:space="0" w:color="auto"/>
              <w:right w:val="single" w:sz="4" w:space="0" w:color="000000" w:themeColor="text1"/>
            </w:tcBorders>
            <w:vAlign w:val="center"/>
          </w:tcPr>
          <w:p w14:paraId="0D180D70" w14:textId="77777777" w:rsidR="00A90CAF" w:rsidRPr="00F6205B" w:rsidRDefault="00A90CAF" w:rsidP="00A90CAF">
            <w:pPr>
              <w:keepNext/>
              <w:keepLines/>
              <w:contextualSpacing/>
              <w:rPr>
                <w:i/>
                <w:sz w:val="20"/>
                <w:szCs w:val="20"/>
              </w:rPr>
            </w:pPr>
            <w:r w:rsidRPr="00F6205B">
              <w:rPr>
                <w:i/>
                <w:sz w:val="20"/>
                <w:szCs w:val="20"/>
              </w:rPr>
              <w:t>Total</w:t>
            </w:r>
          </w:p>
        </w:tc>
        <w:tc>
          <w:tcPr>
            <w:tcW w:w="1099" w:type="dxa"/>
            <w:tcBorders>
              <w:bottom w:val="single" w:sz="4" w:space="0" w:color="auto"/>
              <w:right w:val="single" w:sz="4" w:space="0" w:color="000000" w:themeColor="text1"/>
            </w:tcBorders>
            <w:vAlign w:val="center"/>
          </w:tcPr>
          <w:p w14:paraId="6EC82DAB" w14:textId="5B254DBC" w:rsidR="00A90CAF" w:rsidRPr="00F6205B" w:rsidRDefault="003C56EF" w:rsidP="00A90CAF">
            <w:pPr>
              <w:keepNext/>
              <w:keepLines/>
              <w:tabs>
                <w:tab w:val="decimal" w:pos="358"/>
              </w:tabs>
              <w:contextualSpacing/>
              <w:jc w:val="center"/>
              <w:rPr>
                <w:i/>
                <w:sz w:val="20"/>
                <w:szCs w:val="20"/>
              </w:rPr>
            </w:pPr>
            <w:r w:rsidRPr="00F6205B">
              <w:rPr>
                <w:i/>
                <w:sz w:val="20"/>
                <w:szCs w:val="20"/>
              </w:rPr>
              <w:t>10.3</w:t>
            </w:r>
          </w:p>
        </w:tc>
        <w:tc>
          <w:tcPr>
            <w:tcW w:w="1099" w:type="dxa"/>
            <w:tcBorders>
              <w:bottom w:val="single" w:sz="4" w:space="0" w:color="auto"/>
              <w:right w:val="single" w:sz="4" w:space="0" w:color="000000" w:themeColor="text1"/>
            </w:tcBorders>
            <w:vAlign w:val="center"/>
          </w:tcPr>
          <w:p w14:paraId="108CEADE" w14:textId="0270101D" w:rsidR="00A90CAF" w:rsidRPr="00F6205B" w:rsidRDefault="003C56EF" w:rsidP="00A90CAF">
            <w:pPr>
              <w:keepNext/>
              <w:keepLines/>
              <w:tabs>
                <w:tab w:val="decimal" w:pos="339"/>
              </w:tabs>
              <w:contextualSpacing/>
              <w:jc w:val="center"/>
              <w:rPr>
                <w:i/>
                <w:sz w:val="20"/>
                <w:szCs w:val="20"/>
              </w:rPr>
            </w:pPr>
            <w:r w:rsidRPr="00F6205B">
              <w:rPr>
                <w:i/>
                <w:sz w:val="20"/>
                <w:szCs w:val="20"/>
              </w:rPr>
              <w:t>6.6</w:t>
            </w:r>
          </w:p>
        </w:tc>
        <w:tc>
          <w:tcPr>
            <w:tcW w:w="1099" w:type="dxa"/>
            <w:tcBorders>
              <w:bottom w:val="single" w:sz="4" w:space="0" w:color="auto"/>
              <w:right w:val="single" w:sz="4" w:space="0" w:color="000000" w:themeColor="text1"/>
            </w:tcBorders>
            <w:vAlign w:val="center"/>
          </w:tcPr>
          <w:p w14:paraId="091AEFF0" w14:textId="2B763604" w:rsidR="00A90CAF" w:rsidRPr="00F6205B" w:rsidRDefault="003C56EF" w:rsidP="00A90CAF">
            <w:pPr>
              <w:keepNext/>
              <w:keepLines/>
              <w:tabs>
                <w:tab w:val="decimal" w:pos="395"/>
              </w:tabs>
              <w:contextualSpacing/>
              <w:jc w:val="center"/>
              <w:rPr>
                <w:i/>
                <w:sz w:val="20"/>
                <w:szCs w:val="20"/>
              </w:rPr>
            </w:pPr>
            <w:r w:rsidRPr="00F6205B">
              <w:rPr>
                <w:i/>
                <w:sz w:val="20"/>
                <w:szCs w:val="20"/>
              </w:rPr>
              <w:t>0.4</w:t>
            </w:r>
          </w:p>
        </w:tc>
        <w:tc>
          <w:tcPr>
            <w:tcW w:w="1159" w:type="dxa"/>
            <w:tcBorders>
              <w:left w:val="single" w:sz="4" w:space="0" w:color="000000" w:themeColor="text1"/>
              <w:bottom w:val="single" w:sz="4" w:space="0" w:color="auto"/>
              <w:right w:val="single" w:sz="4" w:space="0" w:color="auto"/>
            </w:tcBorders>
            <w:vAlign w:val="center"/>
          </w:tcPr>
          <w:p w14:paraId="697380E2" w14:textId="4B829EF4" w:rsidR="00A90CAF" w:rsidRPr="00F6205B" w:rsidRDefault="003C56EF" w:rsidP="00A90CAF">
            <w:pPr>
              <w:keepNext/>
              <w:keepLines/>
              <w:tabs>
                <w:tab w:val="decimal" w:pos="631"/>
              </w:tabs>
              <w:contextualSpacing/>
              <w:jc w:val="center"/>
              <w:rPr>
                <w:i/>
                <w:sz w:val="20"/>
                <w:szCs w:val="20"/>
              </w:rPr>
            </w:pPr>
            <w:r w:rsidRPr="00F6205B">
              <w:rPr>
                <w:i/>
                <w:sz w:val="20"/>
                <w:szCs w:val="20"/>
              </w:rPr>
              <w:t>588.0</w:t>
            </w:r>
          </w:p>
        </w:tc>
        <w:tc>
          <w:tcPr>
            <w:tcW w:w="1159" w:type="dxa"/>
            <w:tcBorders>
              <w:left w:val="single" w:sz="4" w:space="0" w:color="000000" w:themeColor="text1"/>
              <w:bottom w:val="single" w:sz="4" w:space="0" w:color="auto"/>
              <w:right w:val="single" w:sz="4" w:space="0" w:color="auto"/>
            </w:tcBorders>
            <w:vAlign w:val="center"/>
          </w:tcPr>
          <w:p w14:paraId="6DB3B50F" w14:textId="472CBA6D" w:rsidR="00A90CAF" w:rsidRPr="00F6205B" w:rsidRDefault="003C56EF" w:rsidP="00A90CAF">
            <w:pPr>
              <w:keepNext/>
              <w:keepLines/>
              <w:tabs>
                <w:tab w:val="decimal" w:pos="631"/>
              </w:tabs>
              <w:contextualSpacing/>
              <w:jc w:val="center"/>
              <w:rPr>
                <w:i/>
                <w:sz w:val="20"/>
                <w:szCs w:val="20"/>
              </w:rPr>
            </w:pPr>
            <w:r w:rsidRPr="00F6205B">
              <w:rPr>
                <w:i/>
                <w:sz w:val="20"/>
                <w:szCs w:val="20"/>
              </w:rPr>
              <w:t>2.1</w:t>
            </w:r>
          </w:p>
        </w:tc>
        <w:tc>
          <w:tcPr>
            <w:tcW w:w="1159" w:type="dxa"/>
            <w:tcBorders>
              <w:left w:val="single" w:sz="4" w:space="0" w:color="000000" w:themeColor="text1"/>
              <w:bottom w:val="single" w:sz="4" w:space="0" w:color="auto"/>
              <w:right w:val="single" w:sz="4" w:space="0" w:color="auto"/>
            </w:tcBorders>
            <w:vAlign w:val="center"/>
          </w:tcPr>
          <w:p w14:paraId="192E7238" w14:textId="76E426FD" w:rsidR="00A90CAF" w:rsidRPr="00F6205B" w:rsidRDefault="003C56EF" w:rsidP="00A90CAF">
            <w:pPr>
              <w:keepNext/>
              <w:keepLines/>
              <w:tabs>
                <w:tab w:val="decimal" w:pos="631"/>
              </w:tabs>
              <w:contextualSpacing/>
              <w:jc w:val="center"/>
              <w:rPr>
                <w:i/>
                <w:sz w:val="20"/>
                <w:szCs w:val="20"/>
              </w:rPr>
            </w:pPr>
            <w:r w:rsidRPr="00F6205B">
              <w:rPr>
                <w:i/>
                <w:sz w:val="20"/>
                <w:szCs w:val="20"/>
              </w:rPr>
              <w:t>4.1</w:t>
            </w:r>
          </w:p>
        </w:tc>
      </w:tr>
      <w:tr w:rsidR="00A90CAF" w:rsidRPr="00F6205B" w14:paraId="388AF8A4" w14:textId="25E091B5" w:rsidTr="00FC5126">
        <w:trPr>
          <w:trHeight w:val="288"/>
          <w:jc w:val="center"/>
        </w:trPr>
        <w:tc>
          <w:tcPr>
            <w:tcW w:w="8739" w:type="dxa"/>
            <w:gridSpan w:val="7"/>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33428B8B" w14:textId="00598317" w:rsidR="00A90CAF" w:rsidRPr="00F6205B" w:rsidRDefault="00A90CAF" w:rsidP="00A90CAF">
            <w:pPr>
              <w:keepNext/>
              <w:keepLines/>
              <w:contextualSpacing/>
              <w:jc w:val="center"/>
              <w:rPr>
                <w:b/>
                <w:color w:val="FFFFFF" w:themeColor="background1"/>
                <w:sz w:val="20"/>
                <w:szCs w:val="20"/>
              </w:rPr>
            </w:pPr>
            <w:r w:rsidRPr="00F6205B">
              <w:rPr>
                <w:b/>
                <w:color w:val="FFFFFF" w:themeColor="background1"/>
                <w:sz w:val="20"/>
                <w:szCs w:val="20"/>
              </w:rPr>
              <w:t xml:space="preserve">Year Ten (2025) Achievable Savings </w:t>
            </w:r>
          </w:p>
        </w:tc>
      </w:tr>
      <w:tr w:rsidR="00870293" w:rsidRPr="00F6205B" w14:paraId="0C3F3C09" w14:textId="1AF03594" w:rsidTr="00FC5126">
        <w:trPr>
          <w:trHeight w:val="288"/>
          <w:jc w:val="center"/>
        </w:trPr>
        <w:tc>
          <w:tcPr>
            <w:tcW w:w="1965" w:type="dxa"/>
            <w:tcBorders>
              <w:top w:val="single" w:sz="4" w:space="0" w:color="auto"/>
              <w:left w:val="single" w:sz="4" w:space="0" w:color="auto"/>
              <w:right w:val="single" w:sz="4" w:space="0" w:color="000000" w:themeColor="text1"/>
            </w:tcBorders>
            <w:vAlign w:val="center"/>
          </w:tcPr>
          <w:p w14:paraId="4671796E" w14:textId="77777777" w:rsidR="00870293" w:rsidRPr="00F6205B" w:rsidRDefault="00870293" w:rsidP="00870293">
            <w:pPr>
              <w:keepNext/>
              <w:keepLines/>
              <w:contextualSpacing/>
              <w:rPr>
                <w:sz w:val="20"/>
                <w:szCs w:val="20"/>
              </w:rPr>
            </w:pPr>
            <w:r w:rsidRPr="00F6205B">
              <w:rPr>
                <w:sz w:val="20"/>
                <w:szCs w:val="20"/>
              </w:rPr>
              <w:t>Heating</w:t>
            </w:r>
          </w:p>
        </w:tc>
        <w:tc>
          <w:tcPr>
            <w:tcW w:w="1099" w:type="dxa"/>
            <w:tcBorders>
              <w:top w:val="single" w:sz="4" w:space="0" w:color="auto"/>
              <w:right w:val="single" w:sz="4" w:space="0" w:color="000000" w:themeColor="text1"/>
            </w:tcBorders>
            <w:vAlign w:val="center"/>
          </w:tcPr>
          <w:p w14:paraId="0A4C403D" w14:textId="0122883A" w:rsidR="00870293" w:rsidRPr="00F6205B" w:rsidRDefault="00870293" w:rsidP="00870293">
            <w:pPr>
              <w:keepNext/>
              <w:keepLines/>
              <w:tabs>
                <w:tab w:val="decimal" w:pos="403"/>
              </w:tabs>
              <w:contextualSpacing/>
              <w:jc w:val="center"/>
              <w:rPr>
                <w:sz w:val="20"/>
                <w:szCs w:val="20"/>
              </w:rPr>
            </w:pPr>
            <w:r w:rsidRPr="00F6205B">
              <w:rPr>
                <w:sz w:val="20"/>
                <w:szCs w:val="20"/>
              </w:rPr>
              <w:t>30.3</w:t>
            </w:r>
          </w:p>
        </w:tc>
        <w:tc>
          <w:tcPr>
            <w:tcW w:w="1099" w:type="dxa"/>
            <w:tcBorders>
              <w:top w:val="single" w:sz="4" w:space="0" w:color="auto"/>
              <w:right w:val="single" w:sz="4" w:space="0" w:color="000000" w:themeColor="text1"/>
            </w:tcBorders>
            <w:vAlign w:val="center"/>
          </w:tcPr>
          <w:p w14:paraId="2A491E62" w14:textId="4DD1A7E8" w:rsidR="00870293" w:rsidRPr="00F6205B" w:rsidRDefault="00870293" w:rsidP="00870293">
            <w:pPr>
              <w:keepNext/>
              <w:keepLines/>
              <w:tabs>
                <w:tab w:val="decimal" w:pos="339"/>
              </w:tabs>
              <w:contextualSpacing/>
              <w:jc w:val="center"/>
              <w:rPr>
                <w:sz w:val="20"/>
                <w:szCs w:val="20"/>
              </w:rPr>
            </w:pPr>
            <w:r w:rsidRPr="00F6205B">
              <w:rPr>
                <w:sz w:val="20"/>
                <w:szCs w:val="20"/>
              </w:rPr>
              <w:t>22.7</w:t>
            </w:r>
          </w:p>
        </w:tc>
        <w:tc>
          <w:tcPr>
            <w:tcW w:w="1099" w:type="dxa"/>
            <w:tcBorders>
              <w:top w:val="single" w:sz="4" w:space="0" w:color="auto"/>
              <w:right w:val="single" w:sz="4" w:space="0" w:color="000000" w:themeColor="text1"/>
            </w:tcBorders>
            <w:vAlign w:val="center"/>
          </w:tcPr>
          <w:p w14:paraId="521F4E3F" w14:textId="154D849F" w:rsidR="00870293" w:rsidRPr="00F6205B" w:rsidRDefault="00870293" w:rsidP="00870293">
            <w:pPr>
              <w:keepNext/>
              <w:keepLines/>
              <w:tabs>
                <w:tab w:val="decimal" w:pos="395"/>
              </w:tabs>
              <w:contextualSpacing/>
              <w:jc w:val="center"/>
              <w:rPr>
                <w:sz w:val="20"/>
                <w:szCs w:val="20"/>
              </w:rPr>
            </w:pPr>
            <w:r w:rsidRPr="00F6205B">
              <w:rPr>
                <w:sz w:val="20"/>
                <w:szCs w:val="20"/>
              </w:rPr>
              <w:t>1.7</w:t>
            </w:r>
          </w:p>
        </w:tc>
        <w:tc>
          <w:tcPr>
            <w:tcW w:w="1159" w:type="dxa"/>
            <w:tcBorders>
              <w:top w:val="single" w:sz="4" w:space="0" w:color="auto"/>
              <w:left w:val="single" w:sz="4" w:space="0" w:color="000000" w:themeColor="text1"/>
              <w:right w:val="single" w:sz="4" w:space="0" w:color="auto"/>
            </w:tcBorders>
            <w:vAlign w:val="center"/>
          </w:tcPr>
          <w:p w14:paraId="1609AD04" w14:textId="3183CEC1" w:rsidR="00870293" w:rsidRPr="00F6205B" w:rsidRDefault="00870293" w:rsidP="00870293">
            <w:pPr>
              <w:keepNext/>
              <w:keepLines/>
              <w:tabs>
                <w:tab w:val="decimal" w:pos="631"/>
              </w:tabs>
              <w:contextualSpacing/>
              <w:jc w:val="center"/>
              <w:rPr>
                <w:sz w:val="20"/>
                <w:szCs w:val="20"/>
              </w:rPr>
            </w:pPr>
            <w:r w:rsidRPr="00F6205B">
              <w:rPr>
                <w:sz w:val="20"/>
                <w:szCs w:val="20"/>
              </w:rPr>
              <w:t>41.7</w:t>
            </w:r>
          </w:p>
        </w:tc>
        <w:tc>
          <w:tcPr>
            <w:tcW w:w="1159" w:type="dxa"/>
            <w:tcBorders>
              <w:top w:val="single" w:sz="4" w:space="0" w:color="auto"/>
              <w:left w:val="single" w:sz="4" w:space="0" w:color="000000" w:themeColor="text1"/>
              <w:right w:val="single" w:sz="4" w:space="0" w:color="auto"/>
            </w:tcBorders>
            <w:vAlign w:val="center"/>
          </w:tcPr>
          <w:p w14:paraId="5A5CC27A" w14:textId="09CF1B66" w:rsidR="00870293" w:rsidRPr="00F6205B" w:rsidRDefault="003C56EF" w:rsidP="00870293">
            <w:pPr>
              <w:keepNext/>
              <w:keepLines/>
              <w:tabs>
                <w:tab w:val="decimal" w:pos="631"/>
              </w:tabs>
              <w:contextualSpacing/>
              <w:jc w:val="center"/>
              <w:rPr>
                <w:sz w:val="20"/>
                <w:szCs w:val="20"/>
              </w:rPr>
            </w:pPr>
            <w:r w:rsidRPr="00F6205B">
              <w:rPr>
                <w:sz w:val="20"/>
                <w:szCs w:val="20"/>
              </w:rPr>
              <w:t>7.8</w:t>
            </w:r>
          </w:p>
        </w:tc>
        <w:tc>
          <w:tcPr>
            <w:tcW w:w="1159" w:type="dxa"/>
            <w:tcBorders>
              <w:top w:val="single" w:sz="4" w:space="0" w:color="auto"/>
              <w:left w:val="single" w:sz="4" w:space="0" w:color="000000" w:themeColor="text1"/>
              <w:right w:val="single" w:sz="4" w:space="0" w:color="auto"/>
            </w:tcBorders>
            <w:vAlign w:val="center"/>
          </w:tcPr>
          <w:p w14:paraId="0C443FB1" w14:textId="73234961" w:rsidR="00870293" w:rsidRPr="00F6205B" w:rsidRDefault="003C56EF" w:rsidP="00870293">
            <w:pPr>
              <w:keepNext/>
              <w:keepLines/>
              <w:tabs>
                <w:tab w:val="decimal" w:pos="631"/>
              </w:tabs>
              <w:contextualSpacing/>
              <w:jc w:val="center"/>
              <w:rPr>
                <w:sz w:val="20"/>
                <w:szCs w:val="20"/>
              </w:rPr>
            </w:pPr>
            <w:r w:rsidRPr="00F6205B">
              <w:rPr>
                <w:sz w:val="20"/>
                <w:szCs w:val="20"/>
              </w:rPr>
              <w:t>8.0</w:t>
            </w:r>
          </w:p>
        </w:tc>
      </w:tr>
      <w:tr w:rsidR="00870293" w:rsidRPr="00F6205B" w14:paraId="5E5E8A0D" w14:textId="314C235F" w:rsidTr="00FC5126">
        <w:trPr>
          <w:trHeight w:val="288"/>
          <w:jc w:val="center"/>
        </w:trPr>
        <w:tc>
          <w:tcPr>
            <w:tcW w:w="1965" w:type="dxa"/>
            <w:tcBorders>
              <w:left w:val="single" w:sz="4" w:space="0" w:color="auto"/>
              <w:right w:val="single" w:sz="4" w:space="0" w:color="000000" w:themeColor="text1"/>
            </w:tcBorders>
            <w:vAlign w:val="center"/>
          </w:tcPr>
          <w:p w14:paraId="70EEE6FB" w14:textId="77777777" w:rsidR="00870293" w:rsidRPr="00F6205B" w:rsidRDefault="00870293" w:rsidP="00870293">
            <w:pPr>
              <w:keepNext/>
              <w:keepLines/>
              <w:contextualSpacing/>
              <w:rPr>
                <w:sz w:val="20"/>
                <w:szCs w:val="20"/>
              </w:rPr>
            </w:pPr>
            <w:r w:rsidRPr="00F6205B">
              <w:rPr>
                <w:sz w:val="20"/>
                <w:szCs w:val="20"/>
              </w:rPr>
              <w:t>Cooling</w:t>
            </w:r>
          </w:p>
        </w:tc>
        <w:tc>
          <w:tcPr>
            <w:tcW w:w="1099" w:type="dxa"/>
            <w:tcBorders>
              <w:right w:val="single" w:sz="4" w:space="0" w:color="000000" w:themeColor="text1"/>
            </w:tcBorders>
            <w:vAlign w:val="center"/>
          </w:tcPr>
          <w:p w14:paraId="1820107D" w14:textId="59C0F5AF" w:rsidR="00870293" w:rsidRPr="00F6205B" w:rsidRDefault="00870293" w:rsidP="00870293">
            <w:pPr>
              <w:keepNext/>
              <w:keepLines/>
              <w:tabs>
                <w:tab w:val="decimal" w:pos="358"/>
              </w:tabs>
              <w:contextualSpacing/>
              <w:jc w:val="center"/>
              <w:rPr>
                <w:sz w:val="20"/>
                <w:szCs w:val="20"/>
              </w:rPr>
            </w:pPr>
            <w:r w:rsidRPr="00F6205B">
              <w:rPr>
                <w:sz w:val="20"/>
                <w:szCs w:val="20"/>
              </w:rPr>
              <w:t>--</w:t>
            </w:r>
          </w:p>
        </w:tc>
        <w:tc>
          <w:tcPr>
            <w:tcW w:w="1099" w:type="dxa"/>
            <w:tcBorders>
              <w:right w:val="single" w:sz="4" w:space="0" w:color="000000" w:themeColor="text1"/>
            </w:tcBorders>
            <w:vAlign w:val="center"/>
          </w:tcPr>
          <w:p w14:paraId="21255511" w14:textId="66FCB393" w:rsidR="00870293" w:rsidRPr="00F6205B" w:rsidRDefault="00870293" w:rsidP="00870293">
            <w:pPr>
              <w:keepNext/>
              <w:keepLines/>
              <w:tabs>
                <w:tab w:val="decimal" w:pos="339"/>
              </w:tabs>
              <w:contextualSpacing/>
              <w:jc w:val="center"/>
              <w:rPr>
                <w:sz w:val="20"/>
                <w:szCs w:val="20"/>
              </w:rPr>
            </w:pPr>
            <w:r w:rsidRPr="00F6205B">
              <w:rPr>
                <w:sz w:val="20"/>
                <w:szCs w:val="20"/>
              </w:rPr>
              <w:t>--</w:t>
            </w:r>
          </w:p>
        </w:tc>
        <w:tc>
          <w:tcPr>
            <w:tcW w:w="1099" w:type="dxa"/>
            <w:tcBorders>
              <w:right w:val="single" w:sz="4" w:space="0" w:color="000000" w:themeColor="text1"/>
            </w:tcBorders>
            <w:vAlign w:val="center"/>
          </w:tcPr>
          <w:p w14:paraId="303D35DC" w14:textId="6ACC4BE5" w:rsidR="00870293" w:rsidRPr="00F6205B" w:rsidRDefault="00870293" w:rsidP="00870293">
            <w:pPr>
              <w:keepNext/>
              <w:keepLines/>
              <w:tabs>
                <w:tab w:val="decimal" w:pos="395"/>
              </w:tabs>
              <w:contextualSpacing/>
              <w:jc w:val="center"/>
              <w:rPr>
                <w:sz w:val="20"/>
                <w:szCs w:val="20"/>
              </w:rPr>
            </w:pPr>
            <w:r w:rsidRPr="00F6205B">
              <w:rPr>
                <w:sz w:val="20"/>
                <w:szCs w:val="20"/>
              </w:rPr>
              <w:t>--</w:t>
            </w:r>
          </w:p>
        </w:tc>
        <w:tc>
          <w:tcPr>
            <w:tcW w:w="1159" w:type="dxa"/>
            <w:tcBorders>
              <w:left w:val="single" w:sz="4" w:space="0" w:color="000000" w:themeColor="text1"/>
              <w:right w:val="single" w:sz="4" w:space="0" w:color="auto"/>
            </w:tcBorders>
            <w:vAlign w:val="center"/>
          </w:tcPr>
          <w:p w14:paraId="3747F3BE" w14:textId="0A5D7767" w:rsidR="00870293" w:rsidRPr="00F6205B" w:rsidRDefault="00870293" w:rsidP="00870293">
            <w:pPr>
              <w:keepNext/>
              <w:keepLines/>
              <w:tabs>
                <w:tab w:val="decimal" w:pos="631"/>
              </w:tabs>
              <w:contextualSpacing/>
              <w:jc w:val="center"/>
              <w:rPr>
                <w:sz w:val="20"/>
                <w:szCs w:val="20"/>
              </w:rPr>
            </w:pPr>
            <w:r w:rsidRPr="00F6205B">
              <w:rPr>
                <w:sz w:val="20"/>
                <w:szCs w:val="20"/>
              </w:rPr>
              <w:t>38.7</w:t>
            </w:r>
          </w:p>
        </w:tc>
        <w:tc>
          <w:tcPr>
            <w:tcW w:w="1159" w:type="dxa"/>
            <w:tcBorders>
              <w:left w:val="single" w:sz="4" w:space="0" w:color="000000" w:themeColor="text1"/>
              <w:right w:val="single" w:sz="4" w:space="0" w:color="auto"/>
            </w:tcBorders>
            <w:vAlign w:val="center"/>
          </w:tcPr>
          <w:p w14:paraId="40F55D23" w14:textId="0F5E0B20" w:rsidR="00870293" w:rsidRPr="00F6205B" w:rsidRDefault="00870293" w:rsidP="00870293">
            <w:pPr>
              <w:keepNext/>
              <w:keepLines/>
              <w:tabs>
                <w:tab w:val="decimal" w:pos="631"/>
              </w:tabs>
              <w:contextualSpacing/>
              <w:jc w:val="center"/>
              <w:rPr>
                <w:sz w:val="20"/>
                <w:szCs w:val="20"/>
              </w:rPr>
            </w:pPr>
            <w:r w:rsidRPr="00F6205B">
              <w:rPr>
                <w:sz w:val="20"/>
                <w:szCs w:val="20"/>
              </w:rPr>
              <w:t>--</w:t>
            </w:r>
          </w:p>
        </w:tc>
        <w:tc>
          <w:tcPr>
            <w:tcW w:w="1159" w:type="dxa"/>
            <w:tcBorders>
              <w:left w:val="single" w:sz="4" w:space="0" w:color="000000" w:themeColor="text1"/>
              <w:right w:val="single" w:sz="4" w:space="0" w:color="auto"/>
            </w:tcBorders>
            <w:vAlign w:val="center"/>
          </w:tcPr>
          <w:p w14:paraId="50F5C495" w14:textId="23134B3D" w:rsidR="00870293" w:rsidRPr="00F6205B" w:rsidRDefault="00870293" w:rsidP="00870293">
            <w:pPr>
              <w:keepNext/>
              <w:keepLines/>
              <w:tabs>
                <w:tab w:val="decimal" w:pos="631"/>
              </w:tabs>
              <w:contextualSpacing/>
              <w:jc w:val="center"/>
              <w:rPr>
                <w:sz w:val="20"/>
                <w:szCs w:val="20"/>
              </w:rPr>
            </w:pPr>
            <w:r w:rsidRPr="00F6205B">
              <w:rPr>
                <w:sz w:val="20"/>
                <w:szCs w:val="20"/>
              </w:rPr>
              <w:t>0.1</w:t>
            </w:r>
          </w:p>
        </w:tc>
      </w:tr>
      <w:tr w:rsidR="00870293" w:rsidRPr="00F6205B" w14:paraId="4EA94888" w14:textId="7F83767F" w:rsidTr="00FC5126">
        <w:trPr>
          <w:trHeight w:val="288"/>
          <w:jc w:val="center"/>
        </w:trPr>
        <w:tc>
          <w:tcPr>
            <w:tcW w:w="1965" w:type="dxa"/>
            <w:tcBorders>
              <w:left w:val="single" w:sz="4" w:space="0" w:color="auto"/>
              <w:right w:val="single" w:sz="4" w:space="0" w:color="000000" w:themeColor="text1"/>
            </w:tcBorders>
            <w:vAlign w:val="center"/>
          </w:tcPr>
          <w:p w14:paraId="6BE3003E" w14:textId="77777777" w:rsidR="00870293" w:rsidRPr="00F6205B" w:rsidRDefault="00870293" w:rsidP="00870293">
            <w:pPr>
              <w:keepNext/>
              <w:keepLines/>
              <w:contextualSpacing/>
              <w:rPr>
                <w:sz w:val="20"/>
                <w:szCs w:val="20"/>
              </w:rPr>
            </w:pPr>
            <w:r w:rsidRPr="00F6205B">
              <w:rPr>
                <w:sz w:val="20"/>
                <w:szCs w:val="20"/>
              </w:rPr>
              <w:t>Water heating</w:t>
            </w:r>
          </w:p>
        </w:tc>
        <w:tc>
          <w:tcPr>
            <w:tcW w:w="1099" w:type="dxa"/>
            <w:tcBorders>
              <w:right w:val="single" w:sz="4" w:space="0" w:color="000000" w:themeColor="text1"/>
            </w:tcBorders>
            <w:vAlign w:val="center"/>
          </w:tcPr>
          <w:p w14:paraId="7E8D3D76" w14:textId="4CC9AB41" w:rsidR="00870293" w:rsidRPr="00F6205B" w:rsidRDefault="00870293" w:rsidP="00870293">
            <w:pPr>
              <w:keepNext/>
              <w:keepLines/>
              <w:tabs>
                <w:tab w:val="decimal" w:pos="403"/>
              </w:tabs>
              <w:contextualSpacing/>
              <w:jc w:val="center"/>
              <w:rPr>
                <w:sz w:val="20"/>
                <w:szCs w:val="20"/>
              </w:rPr>
            </w:pPr>
            <w:r w:rsidRPr="00F6205B">
              <w:rPr>
                <w:sz w:val="20"/>
                <w:szCs w:val="20"/>
              </w:rPr>
              <w:t>1.7</w:t>
            </w:r>
          </w:p>
        </w:tc>
        <w:tc>
          <w:tcPr>
            <w:tcW w:w="1099" w:type="dxa"/>
            <w:tcBorders>
              <w:right w:val="single" w:sz="4" w:space="0" w:color="000000" w:themeColor="text1"/>
            </w:tcBorders>
            <w:vAlign w:val="center"/>
          </w:tcPr>
          <w:p w14:paraId="0B7BCA49" w14:textId="7A114F60" w:rsidR="00870293" w:rsidRPr="00F6205B" w:rsidRDefault="00870293" w:rsidP="00870293">
            <w:pPr>
              <w:keepNext/>
              <w:keepLines/>
              <w:tabs>
                <w:tab w:val="decimal" w:pos="339"/>
              </w:tabs>
              <w:contextualSpacing/>
              <w:jc w:val="center"/>
              <w:rPr>
                <w:sz w:val="20"/>
                <w:szCs w:val="20"/>
              </w:rPr>
            </w:pPr>
            <w:r w:rsidRPr="00F6205B">
              <w:rPr>
                <w:sz w:val="20"/>
                <w:szCs w:val="20"/>
              </w:rPr>
              <w:t>1.0</w:t>
            </w:r>
          </w:p>
        </w:tc>
        <w:tc>
          <w:tcPr>
            <w:tcW w:w="1099" w:type="dxa"/>
            <w:tcBorders>
              <w:right w:val="single" w:sz="4" w:space="0" w:color="000000" w:themeColor="text1"/>
            </w:tcBorders>
            <w:vAlign w:val="center"/>
          </w:tcPr>
          <w:p w14:paraId="270C1415" w14:textId="672BDF15" w:rsidR="00870293" w:rsidRPr="00F6205B" w:rsidRDefault="00870293" w:rsidP="00870293">
            <w:pPr>
              <w:keepNext/>
              <w:keepLines/>
              <w:tabs>
                <w:tab w:val="decimal" w:pos="395"/>
              </w:tabs>
              <w:contextualSpacing/>
              <w:jc w:val="center"/>
              <w:rPr>
                <w:sz w:val="20"/>
                <w:szCs w:val="20"/>
              </w:rPr>
            </w:pPr>
            <w:r w:rsidRPr="00F6205B">
              <w:rPr>
                <w:sz w:val="20"/>
                <w:szCs w:val="20"/>
              </w:rPr>
              <w:t>0.2</w:t>
            </w:r>
          </w:p>
        </w:tc>
        <w:tc>
          <w:tcPr>
            <w:tcW w:w="1159" w:type="dxa"/>
            <w:tcBorders>
              <w:left w:val="single" w:sz="4" w:space="0" w:color="000000" w:themeColor="text1"/>
              <w:right w:val="single" w:sz="4" w:space="0" w:color="auto"/>
            </w:tcBorders>
            <w:vAlign w:val="center"/>
          </w:tcPr>
          <w:p w14:paraId="156B4100" w14:textId="16352FB3" w:rsidR="00870293" w:rsidRPr="00F6205B" w:rsidRDefault="00870293" w:rsidP="00870293">
            <w:pPr>
              <w:keepNext/>
              <w:keepLines/>
              <w:tabs>
                <w:tab w:val="decimal" w:pos="631"/>
              </w:tabs>
              <w:contextualSpacing/>
              <w:jc w:val="center"/>
              <w:rPr>
                <w:sz w:val="20"/>
                <w:szCs w:val="20"/>
              </w:rPr>
            </w:pPr>
            <w:r w:rsidRPr="00F6205B">
              <w:rPr>
                <w:sz w:val="20"/>
                <w:szCs w:val="20"/>
              </w:rPr>
              <w:t>77.0</w:t>
            </w:r>
          </w:p>
        </w:tc>
        <w:tc>
          <w:tcPr>
            <w:tcW w:w="1159" w:type="dxa"/>
            <w:tcBorders>
              <w:left w:val="single" w:sz="4" w:space="0" w:color="000000" w:themeColor="text1"/>
              <w:right w:val="single" w:sz="4" w:space="0" w:color="auto"/>
            </w:tcBorders>
            <w:vAlign w:val="center"/>
          </w:tcPr>
          <w:p w14:paraId="269178EB" w14:textId="6617FC31" w:rsidR="00870293" w:rsidRPr="00F6205B" w:rsidRDefault="003C56EF" w:rsidP="00870293">
            <w:pPr>
              <w:keepNext/>
              <w:keepLines/>
              <w:tabs>
                <w:tab w:val="decimal" w:pos="631"/>
              </w:tabs>
              <w:contextualSpacing/>
              <w:jc w:val="center"/>
              <w:rPr>
                <w:sz w:val="20"/>
                <w:szCs w:val="20"/>
              </w:rPr>
            </w:pPr>
            <w:r w:rsidRPr="00F6205B">
              <w:rPr>
                <w:sz w:val="20"/>
                <w:szCs w:val="20"/>
              </w:rPr>
              <w:t>0.4</w:t>
            </w:r>
          </w:p>
        </w:tc>
        <w:tc>
          <w:tcPr>
            <w:tcW w:w="1159" w:type="dxa"/>
            <w:tcBorders>
              <w:left w:val="single" w:sz="4" w:space="0" w:color="000000" w:themeColor="text1"/>
              <w:right w:val="single" w:sz="4" w:space="0" w:color="auto"/>
            </w:tcBorders>
            <w:vAlign w:val="center"/>
          </w:tcPr>
          <w:p w14:paraId="7165D554" w14:textId="41D54EA0" w:rsidR="00870293" w:rsidRPr="00F6205B" w:rsidRDefault="003C56EF" w:rsidP="00870293">
            <w:pPr>
              <w:keepNext/>
              <w:keepLines/>
              <w:tabs>
                <w:tab w:val="decimal" w:pos="631"/>
              </w:tabs>
              <w:contextualSpacing/>
              <w:jc w:val="center"/>
              <w:rPr>
                <w:sz w:val="20"/>
                <w:szCs w:val="20"/>
              </w:rPr>
            </w:pPr>
            <w:r w:rsidRPr="00F6205B">
              <w:rPr>
                <w:sz w:val="20"/>
                <w:szCs w:val="20"/>
              </w:rPr>
              <w:t>0.7</w:t>
            </w:r>
          </w:p>
        </w:tc>
      </w:tr>
      <w:tr w:rsidR="00870293" w:rsidRPr="00F6205B" w14:paraId="7C8973C9" w14:textId="6AB5E6A2" w:rsidTr="00FC5126">
        <w:trPr>
          <w:trHeight w:val="288"/>
          <w:jc w:val="center"/>
        </w:trPr>
        <w:tc>
          <w:tcPr>
            <w:tcW w:w="1965" w:type="dxa"/>
            <w:tcBorders>
              <w:left w:val="single" w:sz="4" w:space="0" w:color="auto"/>
              <w:right w:val="single" w:sz="4" w:space="0" w:color="000000" w:themeColor="text1"/>
            </w:tcBorders>
            <w:vAlign w:val="center"/>
          </w:tcPr>
          <w:p w14:paraId="4F5077B3" w14:textId="77777777" w:rsidR="00870293" w:rsidRPr="00F6205B" w:rsidRDefault="00870293" w:rsidP="00870293">
            <w:pPr>
              <w:keepNext/>
              <w:keepLines/>
              <w:contextualSpacing/>
              <w:rPr>
                <w:sz w:val="20"/>
                <w:szCs w:val="20"/>
              </w:rPr>
            </w:pPr>
            <w:r w:rsidRPr="00F6205B">
              <w:rPr>
                <w:sz w:val="20"/>
                <w:szCs w:val="20"/>
              </w:rPr>
              <w:t>Lights &amp; appliances</w:t>
            </w:r>
          </w:p>
        </w:tc>
        <w:tc>
          <w:tcPr>
            <w:tcW w:w="1099" w:type="dxa"/>
            <w:tcBorders>
              <w:right w:val="single" w:sz="4" w:space="0" w:color="000000" w:themeColor="text1"/>
            </w:tcBorders>
            <w:vAlign w:val="center"/>
          </w:tcPr>
          <w:p w14:paraId="5D0CF640" w14:textId="110D7885" w:rsidR="00870293" w:rsidRPr="00F6205B" w:rsidRDefault="00870293" w:rsidP="00870293">
            <w:pPr>
              <w:keepNext/>
              <w:keepLines/>
              <w:tabs>
                <w:tab w:val="decimal" w:pos="358"/>
              </w:tabs>
              <w:contextualSpacing/>
              <w:jc w:val="center"/>
              <w:rPr>
                <w:sz w:val="20"/>
                <w:szCs w:val="20"/>
              </w:rPr>
            </w:pPr>
            <w:r w:rsidRPr="00F6205B">
              <w:rPr>
                <w:sz w:val="20"/>
                <w:szCs w:val="20"/>
              </w:rPr>
              <w:t>--</w:t>
            </w:r>
          </w:p>
        </w:tc>
        <w:tc>
          <w:tcPr>
            <w:tcW w:w="1099" w:type="dxa"/>
            <w:tcBorders>
              <w:right w:val="single" w:sz="4" w:space="0" w:color="000000" w:themeColor="text1"/>
            </w:tcBorders>
            <w:vAlign w:val="center"/>
          </w:tcPr>
          <w:p w14:paraId="554FE87D" w14:textId="0DD38AFC" w:rsidR="00870293" w:rsidRPr="00F6205B" w:rsidRDefault="00870293" w:rsidP="00870293">
            <w:pPr>
              <w:keepNext/>
              <w:keepLines/>
              <w:tabs>
                <w:tab w:val="decimal" w:pos="339"/>
              </w:tabs>
              <w:contextualSpacing/>
              <w:jc w:val="center"/>
              <w:rPr>
                <w:sz w:val="20"/>
                <w:szCs w:val="20"/>
              </w:rPr>
            </w:pPr>
            <w:r w:rsidRPr="00F6205B">
              <w:rPr>
                <w:sz w:val="20"/>
                <w:szCs w:val="20"/>
              </w:rPr>
              <w:t>--</w:t>
            </w:r>
          </w:p>
        </w:tc>
        <w:tc>
          <w:tcPr>
            <w:tcW w:w="1099" w:type="dxa"/>
            <w:tcBorders>
              <w:right w:val="single" w:sz="4" w:space="0" w:color="000000" w:themeColor="text1"/>
            </w:tcBorders>
            <w:vAlign w:val="center"/>
          </w:tcPr>
          <w:p w14:paraId="7596EB2F" w14:textId="7FA1B61B" w:rsidR="00870293" w:rsidRPr="00F6205B" w:rsidRDefault="00870293" w:rsidP="00870293">
            <w:pPr>
              <w:keepNext/>
              <w:keepLines/>
              <w:tabs>
                <w:tab w:val="decimal" w:pos="395"/>
              </w:tabs>
              <w:contextualSpacing/>
              <w:jc w:val="center"/>
              <w:rPr>
                <w:sz w:val="20"/>
                <w:szCs w:val="20"/>
              </w:rPr>
            </w:pPr>
            <w:r w:rsidRPr="00F6205B">
              <w:rPr>
                <w:sz w:val="20"/>
                <w:szCs w:val="20"/>
              </w:rPr>
              <w:t>--</w:t>
            </w:r>
          </w:p>
        </w:tc>
        <w:tc>
          <w:tcPr>
            <w:tcW w:w="1159" w:type="dxa"/>
            <w:tcBorders>
              <w:left w:val="single" w:sz="4" w:space="0" w:color="000000" w:themeColor="text1"/>
              <w:right w:val="single" w:sz="4" w:space="0" w:color="auto"/>
            </w:tcBorders>
            <w:vAlign w:val="center"/>
          </w:tcPr>
          <w:p w14:paraId="39C959DE" w14:textId="0D65D8CF" w:rsidR="00870293" w:rsidRPr="00F6205B" w:rsidRDefault="00870293" w:rsidP="00870293">
            <w:pPr>
              <w:keepNext/>
              <w:keepLines/>
              <w:tabs>
                <w:tab w:val="decimal" w:pos="631"/>
              </w:tabs>
              <w:contextualSpacing/>
              <w:jc w:val="center"/>
              <w:rPr>
                <w:sz w:val="20"/>
                <w:szCs w:val="20"/>
              </w:rPr>
            </w:pPr>
            <w:r w:rsidRPr="00F6205B">
              <w:rPr>
                <w:sz w:val="20"/>
                <w:szCs w:val="20"/>
              </w:rPr>
              <w:t>387.9</w:t>
            </w:r>
          </w:p>
        </w:tc>
        <w:tc>
          <w:tcPr>
            <w:tcW w:w="1159" w:type="dxa"/>
            <w:tcBorders>
              <w:left w:val="single" w:sz="4" w:space="0" w:color="000000" w:themeColor="text1"/>
              <w:right w:val="single" w:sz="4" w:space="0" w:color="auto"/>
            </w:tcBorders>
            <w:vAlign w:val="center"/>
          </w:tcPr>
          <w:p w14:paraId="52989D08" w14:textId="4CF80916" w:rsidR="00870293" w:rsidRPr="00F6205B" w:rsidRDefault="00870293" w:rsidP="00870293">
            <w:pPr>
              <w:keepNext/>
              <w:keepLines/>
              <w:tabs>
                <w:tab w:val="decimal" w:pos="631"/>
              </w:tabs>
              <w:contextualSpacing/>
              <w:jc w:val="center"/>
              <w:rPr>
                <w:sz w:val="20"/>
                <w:szCs w:val="20"/>
              </w:rPr>
            </w:pPr>
            <w:r w:rsidRPr="00F6205B">
              <w:rPr>
                <w:sz w:val="20"/>
                <w:szCs w:val="20"/>
              </w:rPr>
              <w:t>--</w:t>
            </w:r>
          </w:p>
        </w:tc>
        <w:tc>
          <w:tcPr>
            <w:tcW w:w="1159" w:type="dxa"/>
            <w:tcBorders>
              <w:left w:val="single" w:sz="4" w:space="0" w:color="000000" w:themeColor="text1"/>
              <w:right w:val="single" w:sz="4" w:space="0" w:color="auto"/>
            </w:tcBorders>
            <w:vAlign w:val="center"/>
          </w:tcPr>
          <w:p w14:paraId="5F5DBD13" w14:textId="60DCD7B4" w:rsidR="00870293" w:rsidRPr="00F6205B" w:rsidRDefault="003C56EF" w:rsidP="00870293">
            <w:pPr>
              <w:keepNext/>
              <w:keepLines/>
              <w:tabs>
                <w:tab w:val="decimal" w:pos="631"/>
              </w:tabs>
              <w:contextualSpacing/>
              <w:jc w:val="center"/>
              <w:rPr>
                <w:sz w:val="20"/>
                <w:szCs w:val="20"/>
              </w:rPr>
            </w:pPr>
            <w:r w:rsidRPr="00F6205B">
              <w:rPr>
                <w:sz w:val="20"/>
                <w:szCs w:val="20"/>
              </w:rPr>
              <w:t>1.4</w:t>
            </w:r>
          </w:p>
        </w:tc>
      </w:tr>
      <w:tr w:rsidR="00870293" w:rsidRPr="00F6205B" w14:paraId="752762BD" w14:textId="2A2B7525" w:rsidTr="00FC5126">
        <w:trPr>
          <w:trHeight w:val="288"/>
          <w:jc w:val="center"/>
        </w:trPr>
        <w:tc>
          <w:tcPr>
            <w:tcW w:w="1965" w:type="dxa"/>
            <w:tcBorders>
              <w:left w:val="single" w:sz="4" w:space="0" w:color="auto"/>
              <w:bottom w:val="single" w:sz="4" w:space="0" w:color="auto"/>
              <w:right w:val="single" w:sz="4" w:space="0" w:color="000000" w:themeColor="text1"/>
            </w:tcBorders>
            <w:vAlign w:val="center"/>
          </w:tcPr>
          <w:p w14:paraId="402BD391" w14:textId="77777777" w:rsidR="00870293" w:rsidRPr="00F6205B" w:rsidRDefault="00870293" w:rsidP="00870293">
            <w:pPr>
              <w:keepNext/>
              <w:keepLines/>
              <w:contextualSpacing/>
              <w:rPr>
                <w:i/>
                <w:sz w:val="20"/>
                <w:szCs w:val="20"/>
              </w:rPr>
            </w:pPr>
            <w:r w:rsidRPr="00F6205B">
              <w:rPr>
                <w:i/>
                <w:sz w:val="20"/>
                <w:szCs w:val="20"/>
              </w:rPr>
              <w:t>Total</w:t>
            </w:r>
          </w:p>
        </w:tc>
        <w:tc>
          <w:tcPr>
            <w:tcW w:w="1099" w:type="dxa"/>
            <w:tcBorders>
              <w:bottom w:val="single" w:sz="4" w:space="0" w:color="auto"/>
              <w:right w:val="single" w:sz="4" w:space="0" w:color="000000" w:themeColor="text1"/>
            </w:tcBorders>
            <w:vAlign w:val="center"/>
          </w:tcPr>
          <w:p w14:paraId="6C602ABA" w14:textId="52D99B3C" w:rsidR="00870293" w:rsidRPr="00F6205B" w:rsidRDefault="00870293" w:rsidP="00870293">
            <w:pPr>
              <w:keepNext/>
              <w:keepLines/>
              <w:tabs>
                <w:tab w:val="decimal" w:pos="403"/>
              </w:tabs>
              <w:contextualSpacing/>
              <w:jc w:val="center"/>
              <w:rPr>
                <w:i/>
                <w:sz w:val="20"/>
                <w:szCs w:val="20"/>
              </w:rPr>
            </w:pPr>
            <w:r w:rsidRPr="00F6205B">
              <w:rPr>
                <w:i/>
                <w:sz w:val="20"/>
                <w:szCs w:val="20"/>
              </w:rPr>
              <w:t>32.1</w:t>
            </w:r>
          </w:p>
        </w:tc>
        <w:tc>
          <w:tcPr>
            <w:tcW w:w="1099" w:type="dxa"/>
            <w:tcBorders>
              <w:bottom w:val="single" w:sz="4" w:space="0" w:color="auto"/>
              <w:right w:val="single" w:sz="4" w:space="0" w:color="000000" w:themeColor="text1"/>
            </w:tcBorders>
            <w:vAlign w:val="center"/>
          </w:tcPr>
          <w:p w14:paraId="40542598" w14:textId="07C6DD96" w:rsidR="00870293" w:rsidRPr="00F6205B" w:rsidRDefault="00870293" w:rsidP="00870293">
            <w:pPr>
              <w:keepNext/>
              <w:keepLines/>
              <w:tabs>
                <w:tab w:val="decimal" w:pos="339"/>
              </w:tabs>
              <w:contextualSpacing/>
              <w:jc w:val="center"/>
              <w:rPr>
                <w:i/>
                <w:sz w:val="20"/>
                <w:szCs w:val="20"/>
              </w:rPr>
            </w:pPr>
            <w:r w:rsidRPr="00F6205B">
              <w:rPr>
                <w:i/>
                <w:sz w:val="20"/>
                <w:szCs w:val="20"/>
              </w:rPr>
              <w:t>23.7</w:t>
            </w:r>
          </w:p>
        </w:tc>
        <w:tc>
          <w:tcPr>
            <w:tcW w:w="1099" w:type="dxa"/>
            <w:tcBorders>
              <w:bottom w:val="single" w:sz="4" w:space="0" w:color="auto"/>
              <w:right w:val="single" w:sz="4" w:space="0" w:color="000000" w:themeColor="text1"/>
            </w:tcBorders>
            <w:vAlign w:val="center"/>
          </w:tcPr>
          <w:p w14:paraId="77331427" w14:textId="04DEE366" w:rsidR="00870293" w:rsidRPr="00F6205B" w:rsidRDefault="00870293" w:rsidP="00870293">
            <w:pPr>
              <w:keepNext/>
              <w:keepLines/>
              <w:tabs>
                <w:tab w:val="decimal" w:pos="395"/>
              </w:tabs>
              <w:contextualSpacing/>
              <w:jc w:val="center"/>
              <w:rPr>
                <w:i/>
                <w:sz w:val="20"/>
                <w:szCs w:val="20"/>
              </w:rPr>
            </w:pPr>
            <w:r w:rsidRPr="00F6205B">
              <w:rPr>
                <w:i/>
                <w:sz w:val="20"/>
                <w:szCs w:val="20"/>
              </w:rPr>
              <w:t>1.9</w:t>
            </w:r>
          </w:p>
        </w:tc>
        <w:tc>
          <w:tcPr>
            <w:tcW w:w="1159" w:type="dxa"/>
            <w:tcBorders>
              <w:left w:val="single" w:sz="4" w:space="0" w:color="000000" w:themeColor="text1"/>
              <w:bottom w:val="single" w:sz="4" w:space="0" w:color="auto"/>
              <w:right w:val="single" w:sz="4" w:space="0" w:color="auto"/>
            </w:tcBorders>
            <w:vAlign w:val="center"/>
          </w:tcPr>
          <w:p w14:paraId="7D99177F" w14:textId="6A4B79EE" w:rsidR="00870293" w:rsidRPr="00F6205B" w:rsidRDefault="00870293" w:rsidP="00870293">
            <w:pPr>
              <w:keepNext/>
              <w:keepLines/>
              <w:tabs>
                <w:tab w:val="decimal" w:pos="631"/>
              </w:tabs>
              <w:contextualSpacing/>
              <w:jc w:val="center"/>
              <w:rPr>
                <w:i/>
                <w:sz w:val="20"/>
                <w:szCs w:val="20"/>
              </w:rPr>
            </w:pPr>
            <w:r w:rsidRPr="00F6205B">
              <w:rPr>
                <w:i/>
                <w:sz w:val="20"/>
                <w:szCs w:val="20"/>
              </w:rPr>
              <w:t>545.4</w:t>
            </w:r>
          </w:p>
        </w:tc>
        <w:tc>
          <w:tcPr>
            <w:tcW w:w="1159" w:type="dxa"/>
            <w:tcBorders>
              <w:left w:val="single" w:sz="4" w:space="0" w:color="000000" w:themeColor="text1"/>
              <w:bottom w:val="single" w:sz="4" w:space="0" w:color="auto"/>
              <w:right w:val="single" w:sz="4" w:space="0" w:color="auto"/>
            </w:tcBorders>
            <w:vAlign w:val="center"/>
          </w:tcPr>
          <w:p w14:paraId="2F21028A" w14:textId="56F5CEEE" w:rsidR="00870293" w:rsidRPr="00F6205B" w:rsidRDefault="003C56EF" w:rsidP="00870293">
            <w:pPr>
              <w:keepNext/>
              <w:keepLines/>
              <w:tabs>
                <w:tab w:val="decimal" w:pos="631"/>
              </w:tabs>
              <w:contextualSpacing/>
              <w:jc w:val="center"/>
              <w:rPr>
                <w:i/>
                <w:sz w:val="20"/>
                <w:szCs w:val="20"/>
              </w:rPr>
            </w:pPr>
            <w:r w:rsidRPr="00F6205B">
              <w:rPr>
                <w:i/>
                <w:sz w:val="20"/>
                <w:szCs w:val="20"/>
              </w:rPr>
              <w:t>8.2</w:t>
            </w:r>
          </w:p>
        </w:tc>
        <w:tc>
          <w:tcPr>
            <w:tcW w:w="1159" w:type="dxa"/>
            <w:tcBorders>
              <w:left w:val="single" w:sz="4" w:space="0" w:color="000000" w:themeColor="text1"/>
              <w:bottom w:val="single" w:sz="4" w:space="0" w:color="auto"/>
              <w:right w:val="single" w:sz="4" w:space="0" w:color="auto"/>
            </w:tcBorders>
            <w:vAlign w:val="center"/>
          </w:tcPr>
          <w:p w14:paraId="6039CDDA" w14:textId="0D8C4106" w:rsidR="00870293" w:rsidRPr="00F6205B" w:rsidRDefault="003C56EF" w:rsidP="00870293">
            <w:pPr>
              <w:keepNext/>
              <w:keepLines/>
              <w:tabs>
                <w:tab w:val="decimal" w:pos="631"/>
              </w:tabs>
              <w:contextualSpacing/>
              <w:jc w:val="center"/>
              <w:rPr>
                <w:i/>
                <w:sz w:val="20"/>
                <w:szCs w:val="20"/>
              </w:rPr>
            </w:pPr>
            <w:r w:rsidRPr="00F6205B">
              <w:rPr>
                <w:i/>
                <w:sz w:val="20"/>
                <w:szCs w:val="20"/>
              </w:rPr>
              <w:t>10.2</w:t>
            </w:r>
          </w:p>
        </w:tc>
      </w:tr>
    </w:tbl>
    <w:p w14:paraId="0303D364" w14:textId="0A5CBBEF" w:rsidR="00A50E67" w:rsidRPr="00F6205B" w:rsidRDefault="00A50E67" w:rsidP="00870293">
      <w:pPr>
        <w:keepNext/>
        <w:spacing w:after="0" w:line="240" w:lineRule="auto"/>
        <w:ind w:left="180" w:right="1530"/>
        <w:contextualSpacing/>
        <w:rPr>
          <w:rFonts w:cs="Times New Roman"/>
          <w:sz w:val="18"/>
          <w:szCs w:val="18"/>
        </w:rPr>
      </w:pPr>
      <w:r w:rsidRPr="00F6205B">
        <w:rPr>
          <w:rFonts w:cs="Times New Roman"/>
          <w:sz w:val="18"/>
          <w:szCs w:val="18"/>
        </w:rPr>
        <w:t>*</w:t>
      </w:r>
      <w:r w:rsidR="00EB6B52" w:rsidRPr="00F6205B">
        <w:rPr>
          <w:rFonts w:cs="Times New Roman"/>
          <w:sz w:val="18"/>
          <w:szCs w:val="18"/>
        </w:rPr>
        <w:t xml:space="preserve"> In millions.</w:t>
      </w:r>
    </w:p>
    <w:p w14:paraId="44D15801" w14:textId="77777777" w:rsidR="00A50E67" w:rsidRPr="00F6205B" w:rsidRDefault="00A50E67" w:rsidP="00A50E67">
      <w:pPr>
        <w:rPr>
          <w:rFonts w:cs="Times New Roman"/>
          <w:szCs w:val="24"/>
        </w:rPr>
      </w:pPr>
    </w:p>
    <w:p w14:paraId="13658199" w14:textId="77777777" w:rsidR="00A55F7D" w:rsidRDefault="00A55F7D">
      <w:pPr>
        <w:spacing w:after="0" w:line="240" w:lineRule="auto"/>
        <w:rPr>
          <w:rFonts w:cs="Times New Roman"/>
          <w:szCs w:val="24"/>
        </w:rPr>
      </w:pPr>
      <w:r>
        <w:rPr>
          <w:rFonts w:cs="Times New Roman"/>
          <w:szCs w:val="24"/>
        </w:rPr>
        <w:br w:type="page"/>
      </w:r>
    </w:p>
    <w:p w14:paraId="2E29EC71" w14:textId="75E3B1E9" w:rsidR="00A50E67" w:rsidRPr="00F6205B" w:rsidRDefault="00CD5957" w:rsidP="00A50E67">
      <w:pPr>
        <w:keepNext/>
        <w:rPr>
          <w:rFonts w:cs="Times New Roman"/>
          <w:szCs w:val="24"/>
        </w:rPr>
      </w:pPr>
      <w:r w:rsidRPr="00F6205B">
        <w:rPr>
          <w:rFonts w:cs="Times New Roman"/>
          <w:szCs w:val="24"/>
        </w:rPr>
        <w:lastRenderedPageBreak/>
        <w:fldChar w:fldCharType="begin"/>
      </w:r>
      <w:r w:rsidRPr="00F6205B">
        <w:rPr>
          <w:rFonts w:cs="Times New Roman"/>
          <w:szCs w:val="24"/>
        </w:rPr>
        <w:instrText xml:space="preserve"> REF _Ref439330214 \h </w:instrText>
      </w:r>
      <w:r w:rsidR="00F6205B">
        <w:rPr>
          <w:rFonts w:cs="Times New Roman"/>
          <w:szCs w:val="24"/>
        </w:rPr>
        <w:instrText xml:space="preserve"> \* MERGEFORMAT </w:instrText>
      </w:r>
      <w:r w:rsidRPr="00F6205B">
        <w:rPr>
          <w:rFonts w:cs="Times New Roman"/>
          <w:szCs w:val="24"/>
        </w:rPr>
      </w:r>
      <w:r w:rsidRPr="00F6205B">
        <w:rPr>
          <w:rFonts w:cs="Times New Roman"/>
          <w:szCs w:val="24"/>
        </w:rPr>
        <w:fldChar w:fldCharType="separate"/>
      </w:r>
      <w:r w:rsidR="00FA26A9" w:rsidRPr="00F6205B">
        <w:t xml:space="preserve">Table </w:t>
      </w:r>
      <w:r w:rsidR="00FA26A9">
        <w:rPr>
          <w:noProof/>
        </w:rPr>
        <w:t>33</w:t>
      </w:r>
      <w:r w:rsidRPr="00F6205B">
        <w:rPr>
          <w:rFonts w:cs="Times New Roman"/>
          <w:szCs w:val="24"/>
        </w:rPr>
        <w:fldChar w:fldCharType="end"/>
      </w:r>
      <w:r w:rsidRPr="00F6205B">
        <w:rPr>
          <w:rFonts w:cs="Times New Roman"/>
          <w:szCs w:val="24"/>
        </w:rPr>
        <w:t xml:space="preserve"> </w:t>
      </w:r>
      <w:r w:rsidR="00A50E67" w:rsidRPr="00F6205B">
        <w:rPr>
          <w:rFonts w:cs="Times New Roman"/>
          <w:szCs w:val="24"/>
        </w:rPr>
        <w:t>presents achievable potential savings</w:t>
      </w:r>
      <w:r w:rsidR="00DE3A70">
        <w:rPr>
          <w:rFonts w:cs="Times New Roman"/>
          <w:szCs w:val="24"/>
        </w:rPr>
        <w:t>, by end use and fuel type,</w:t>
      </w:r>
      <w:r w:rsidR="00A50E67" w:rsidRPr="00F6205B">
        <w:rPr>
          <w:rFonts w:cs="Times New Roman"/>
          <w:szCs w:val="24"/>
        </w:rPr>
        <w:t xml:space="preserve"> in year one and year ten as a percentage of overall sav</w:t>
      </w:r>
      <w:r w:rsidRPr="00F6205B">
        <w:rPr>
          <w:rFonts w:cs="Times New Roman"/>
          <w:szCs w:val="24"/>
        </w:rPr>
        <w:t>ings in MMBtu. In year one (2016</w:t>
      </w:r>
      <w:r w:rsidR="00A50E67" w:rsidRPr="00F6205B">
        <w:rPr>
          <w:rFonts w:cs="Times New Roman"/>
          <w:szCs w:val="24"/>
        </w:rPr>
        <w:t xml:space="preserve">), </w:t>
      </w:r>
      <w:r w:rsidR="00860C39" w:rsidRPr="00F6205B">
        <w:rPr>
          <w:rFonts w:cs="Times New Roman"/>
          <w:szCs w:val="24"/>
        </w:rPr>
        <w:t>electricity</w:t>
      </w:r>
      <w:r w:rsidR="00A50E67" w:rsidRPr="00F6205B">
        <w:rPr>
          <w:rFonts w:cs="Times New Roman"/>
          <w:szCs w:val="24"/>
        </w:rPr>
        <w:t xml:space="preserve"> accounts for a higher percentage of </w:t>
      </w:r>
      <w:r w:rsidR="00860C39" w:rsidRPr="00F6205B">
        <w:rPr>
          <w:rFonts w:cs="Times New Roman"/>
          <w:szCs w:val="24"/>
        </w:rPr>
        <w:t xml:space="preserve">achievable </w:t>
      </w:r>
      <w:r w:rsidR="00A50E67" w:rsidRPr="00F6205B">
        <w:rPr>
          <w:rFonts w:cs="Times New Roman"/>
          <w:szCs w:val="24"/>
        </w:rPr>
        <w:t xml:space="preserve">savings </w:t>
      </w:r>
      <w:r w:rsidR="005167DF" w:rsidRPr="00F6205B">
        <w:rPr>
          <w:rFonts w:cs="Times New Roman"/>
          <w:szCs w:val="24"/>
        </w:rPr>
        <w:t xml:space="preserve">overall </w:t>
      </w:r>
      <w:r w:rsidR="00A50E67" w:rsidRPr="00F6205B">
        <w:rPr>
          <w:rFonts w:cs="Times New Roman"/>
          <w:szCs w:val="24"/>
        </w:rPr>
        <w:t>than a</w:t>
      </w:r>
      <w:r w:rsidR="005167DF" w:rsidRPr="00F6205B">
        <w:rPr>
          <w:rFonts w:cs="Times New Roman"/>
          <w:szCs w:val="24"/>
        </w:rPr>
        <w:t>ny other fuel (</w:t>
      </w:r>
      <w:r w:rsidR="00995CCD" w:rsidRPr="00F6205B">
        <w:rPr>
          <w:rFonts w:cs="Times New Roman"/>
          <w:szCs w:val="24"/>
        </w:rPr>
        <w:t xml:space="preserve">49%, </w:t>
      </w:r>
      <w:r w:rsidR="005167DF" w:rsidRPr="00F6205B">
        <w:rPr>
          <w:rFonts w:cs="Times New Roman"/>
          <w:szCs w:val="24"/>
        </w:rPr>
        <w:t>measured in MMBtu for direct comparison)</w:t>
      </w:r>
      <w:r w:rsidR="00375C45" w:rsidRPr="00F6205B">
        <w:rPr>
          <w:rFonts w:cs="Times New Roman"/>
          <w:szCs w:val="24"/>
        </w:rPr>
        <w:t>.</w:t>
      </w:r>
      <w:r w:rsidR="005167DF" w:rsidRPr="00F6205B">
        <w:rPr>
          <w:rFonts w:cs="Times New Roman"/>
          <w:szCs w:val="24"/>
        </w:rPr>
        <w:t xml:space="preserve"> </w:t>
      </w:r>
      <w:r w:rsidR="00375C45" w:rsidRPr="00F6205B">
        <w:rPr>
          <w:rFonts w:cs="Times New Roman"/>
          <w:szCs w:val="24"/>
        </w:rPr>
        <w:t>B</w:t>
      </w:r>
      <w:r w:rsidR="005167DF" w:rsidRPr="00F6205B">
        <w:rPr>
          <w:rFonts w:cs="Times New Roman"/>
          <w:szCs w:val="24"/>
        </w:rPr>
        <w:t>y year ten (2025</w:t>
      </w:r>
      <w:r w:rsidR="00A50E67" w:rsidRPr="00F6205B">
        <w:rPr>
          <w:rFonts w:cs="Times New Roman"/>
          <w:szCs w:val="24"/>
        </w:rPr>
        <w:t>), the proportion of savings acc</w:t>
      </w:r>
      <w:r w:rsidR="00995CCD" w:rsidRPr="00F6205B">
        <w:rPr>
          <w:rFonts w:cs="Times New Roman"/>
          <w:szCs w:val="24"/>
        </w:rPr>
        <w:t>ounted for by fuel oil grows to</w:t>
      </w:r>
      <w:r w:rsidR="005167DF" w:rsidRPr="00F6205B">
        <w:rPr>
          <w:rFonts w:cs="Times New Roman"/>
          <w:szCs w:val="24"/>
        </w:rPr>
        <w:t xml:space="preserve"> </w:t>
      </w:r>
      <w:r w:rsidR="00995CCD" w:rsidRPr="00F6205B">
        <w:rPr>
          <w:rFonts w:cs="Times New Roman"/>
          <w:szCs w:val="24"/>
        </w:rPr>
        <w:t xml:space="preserve">slightly more than </w:t>
      </w:r>
      <w:r w:rsidR="00A50E67" w:rsidRPr="00F6205B">
        <w:rPr>
          <w:rFonts w:cs="Times New Roman"/>
          <w:szCs w:val="24"/>
        </w:rPr>
        <w:t>hal</w:t>
      </w:r>
      <w:r w:rsidR="005167DF" w:rsidRPr="00F6205B">
        <w:rPr>
          <w:rFonts w:cs="Times New Roman"/>
          <w:szCs w:val="24"/>
        </w:rPr>
        <w:t>f</w:t>
      </w:r>
      <w:r w:rsidR="00995CCD" w:rsidRPr="00F6205B">
        <w:rPr>
          <w:rFonts w:cs="Times New Roman"/>
          <w:szCs w:val="24"/>
        </w:rPr>
        <w:t xml:space="preserve"> (52%)</w:t>
      </w:r>
      <w:r w:rsidR="005167DF" w:rsidRPr="00F6205B">
        <w:rPr>
          <w:rFonts w:cs="Times New Roman"/>
          <w:szCs w:val="24"/>
        </w:rPr>
        <w:t xml:space="preserve"> of all achievable savings</w:t>
      </w:r>
      <w:r w:rsidR="00995CCD" w:rsidRPr="00F6205B">
        <w:rPr>
          <w:rFonts w:cs="Times New Roman"/>
          <w:szCs w:val="24"/>
        </w:rPr>
        <w:t>, while electric savings drop to 20%</w:t>
      </w:r>
      <w:r w:rsidR="00A50E67" w:rsidRPr="00F6205B">
        <w:rPr>
          <w:rFonts w:cs="Times New Roman"/>
          <w:szCs w:val="24"/>
        </w:rPr>
        <w:t>. The proportion of savings accounted for by natural gas also grows substantially from yea</w:t>
      </w:r>
      <w:r w:rsidR="00995CCD" w:rsidRPr="00F6205B">
        <w:rPr>
          <w:rFonts w:cs="Times New Roman"/>
          <w:szCs w:val="24"/>
        </w:rPr>
        <w:t>r one to year ten, from about 16</w:t>
      </w:r>
      <w:r w:rsidR="00A50E67" w:rsidRPr="00F6205B">
        <w:rPr>
          <w:rFonts w:cs="Times New Roman"/>
          <w:szCs w:val="24"/>
        </w:rPr>
        <w:t xml:space="preserve">% to </w:t>
      </w:r>
      <w:r w:rsidR="0029206E" w:rsidRPr="00F6205B">
        <w:rPr>
          <w:rFonts w:cs="Times New Roman"/>
          <w:szCs w:val="24"/>
        </w:rPr>
        <w:t>about</w:t>
      </w:r>
      <w:r w:rsidR="00A50E67" w:rsidRPr="00F6205B">
        <w:rPr>
          <w:rFonts w:cs="Times New Roman"/>
          <w:szCs w:val="24"/>
        </w:rPr>
        <w:t xml:space="preserve"> </w:t>
      </w:r>
      <w:r w:rsidR="0029206E" w:rsidRPr="00F6205B">
        <w:rPr>
          <w:rFonts w:cs="Times New Roman"/>
          <w:szCs w:val="24"/>
        </w:rPr>
        <w:t>2</w:t>
      </w:r>
      <w:r w:rsidR="00234F00">
        <w:rPr>
          <w:rFonts w:cs="Times New Roman"/>
          <w:szCs w:val="24"/>
        </w:rPr>
        <w:t>6</w:t>
      </w:r>
      <w:r w:rsidR="00A50E67" w:rsidRPr="00F6205B">
        <w:rPr>
          <w:rFonts w:cs="Times New Roman"/>
          <w:szCs w:val="24"/>
        </w:rPr>
        <w:t>%.</w:t>
      </w:r>
    </w:p>
    <w:p w14:paraId="19607FDF" w14:textId="1DA14957" w:rsidR="00A50E67" w:rsidRPr="00F6205B" w:rsidRDefault="00A50E67" w:rsidP="004F23CF">
      <w:pPr>
        <w:pStyle w:val="Caption"/>
      </w:pPr>
      <w:bookmarkStart w:id="308" w:name="_Ref390955704"/>
      <w:bookmarkStart w:id="309" w:name="_Ref439330214"/>
      <w:bookmarkStart w:id="310" w:name="_Toc391887369"/>
      <w:bookmarkStart w:id="311" w:name="_Toc439931864"/>
      <w:r w:rsidRPr="00F6205B">
        <w:t>Table</w:t>
      </w:r>
      <w:bookmarkEnd w:id="308"/>
      <w:r w:rsidR="004F23CF" w:rsidRPr="00F6205B">
        <w:t xml:space="preserve"> </w:t>
      </w:r>
      <w:fldSimple w:instr=" SEQ Table \* ARABIC ">
        <w:r w:rsidR="00FA26A9">
          <w:rPr>
            <w:noProof/>
          </w:rPr>
          <w:t>33</w:t>
        </w:r>
      </w:fldSimple>
      <w:bookmarkEnd w:id="309"/>
      <w:r w:rsidRPr="00F6205B">
        <w:t>: Achievable Potential Savings by End Use as a Percentage of Overall Savings in MMBtu—Year One and Year Ten</w:t>
      </w:r>
      <w:bookmarkEnd w:id="310"/>
      <w:bookmarkEnd w:id="311"/>
    </w:p>
    <w:p w14:paraId="00598A9C" w14:textId="77777777" w:rsidR="00346A82" w:rsidRPr="00F6205B" w:rsidRDefault="00346A82" w:rsidP="00346A82">
      <w:pPr>
        <w:pStyle w:val="Caption"/>
        <w:spacing w:before="0" w:after="120"/>
        <w:rPr>
          <w:b w:val="0"/>
          <w:bCs w:val="0"/>
          <w:sz w:val="18"/>
        </w:rPr>
      </w:pPr>
      <w:r w:rsidRPr="00F6205B">
        <w:rPr>
          <w:b w:val="0"/>
          <w:bCs w:val="0"/>
          <w:sz w:val="18"/>
        </w:rPr>
        <w:t>Base: all single-family homes (population-weighted)</w:t>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1965"/>
        <w:gridCol w:w="1099"/>
        <w:gridCol w:w="1099"/>
        <w:gridCol w:w="1099"/>
        <w:gridCol w:w="1159"/>
        <w:gridCol w:w="1159"/>
        <w:gridCol w:w="1159"/>
      </w:tblGrid>
      <w:tr w:rsidR="00CD5957" w:rsidRPr="00F6205B" w14:paraId="08C32E44" w14:textId="30E06B9D" w:rsidTr="00A90CAF">
        <w:trPr>
          <w:trHeight w:val="288"/>
          <w:jc w:val="center"/>
        </w:trPr>
        <w:tc>
          <w:tcPr>
            <w:tcW w:w="1965" w:type="dxa"/>
            <w:tcBorders>
              <w:top w:val="single" w:sz="4" w:space="0" w:color="auto"/>
              <w:left w:val="single" w:sz="4" w:space="0" w:color="auto"/>
              <w:bottom w:val="single" w:sz="4" w:space="0" w:color="auto"/>
              <w:right w:val="single" w:sz="4" w:space="0" w:color="000000" w:themeColor="text1"/>
            </w:tcBorders>
            <w:shd w:val="clear" w:color="auto" w:fill="0B4D2C" w:themeFill="background2" w:themeFillShade="BF"/>
            <w:vAlign w:val="center"/>
          </w:tcPr>
          <w:p w14:paraId="42678137" w14:textId="77777777" w:rsidR="00CD5957" w:rsidRPr="00F6205B" w:rsidRDefault="00CD5957" w:rsidP="004F23CF">
            <w:pPr>
              <w:keepNext/>
              <w:keepLines/>
              <w:contextualSpacing/>
              <w:rPr>
                <w:b/>
                <w:sz w:val="20"/>
                <w:szCs w:val="20"/>
              </w:rPr>
            </w:pPr>
            <w:r w:rsidRPr="00F6205B">
              <w:rPr>
                <w:b/>
                <w:sz w:val="20"/>
                <w:szCs w:val="20"/>
              </w:rPr>
              <w:t>End Use</w:t>
            </w:r>
          </w:p>
        </w:tc>
        <w:tc>
          <w:tcPr>
            <w:tcW w:w="1099" w:type="dxa"/>
            <w:tcBorders>
              <w:top w:val="single" w:sz="4" w:space="0" w:color="auto"/>
              <w:bottom w:val="single" w:sz="4" w:space="0" w:color="auto"/>
              <w:right w:val="single" w:sz="4" w:space="0" w:color="000000" w:themeColor="text1"/>
            </w:tcBorders>
            <w:shd w:val="clear" w:color="auto" w:fill="0B4D2C" w:themeFill="background2" w:themeFillShade="BF"/>
            <w:vAlign w:val="center"/>
          </w:tcPr>
          <w:p w14:paraId="17D4F678" w14:textId="0CD6DD92" w:rsidR="00CD5957" w:rsidRPr="00F6205B" w:rsidRDefault="00860C39" w:rsidP="004F23CF">
            <w:pPr>
              <w:keepNext/>
              <w:keepLines/>
              <w:contextualSpacing/>
              <w:jc w:val="center"/>
              <w:rPr>
                <w:b/>
                <w:sz w:val="20"/>
                <w:szCs w:val="20"/>
              </w:rPr>
            </w:pPr>
            <w:r w:rsidRPr="00F6205B">
              <w:rPr>
                <w:b/>
                <w:sz w:val="20"/>
                <w:szCs w:val="20"/>
              </w:rPr>
              <w:t>Fuel Oil (MMBtu</w:t>
            </w:r>
            <w:r w:rsidR="00CD5957" w:rsidRPr="00F6205B">
              <w:rPr>
                <w:b/>
                <w:sz w:val="20"/>
                <w:szCs w:val="20"/>
              </w:rPr>
              <w:t>)</w:t>
            </w:r>
          </w:p>
        </w:tc>
        <w:tc>
          <w:tcPr>
            <w:tcW w:w="1099" w:type="dxa"/>
            <w:tcBorders>
              <w:top w:val="single" w:sz="4" w:space="0" w:color="auto"/>
              <w:bottom w:val="single" w:sz="4" w:space="0" w:color="auto"/>
              <w:right w:val="single" w:sz="4" w:space="0" w:color="000000" w:themeColor="text1"/>
            </w:tcBorders>
            <w:shd w:val="clear" w:color="auto" w:fill="0B4D2C" w:themeFill="background2" w:themeFillShade="BF"/>
            <w:vAlign w:val="center"/>
          </w:tcPr>
          <w:p w14:paraId="60002B1D" w14:textId="339AC26B" w:rsidR="00CD5957" w:rsidRPr="00F6205B" w:rsidRDefault="00860C39" w:rsidP="004F23CF">
            <w:pPr>
              <w:keepNext/>
              <w:keepLines/>
              <w:contextualSpacing/>
              <w:jc w:val="center"/>
              <w:rPr>
                <w:b/>
                <w:sz w:val="20"/>
                <w:szCs w:val="20"/>
              </w:rPr>
            </w:pPr>
            <w:r w:rsidRPr="00F6205B">
              <w:rPr>
                <w:b/>
                <w:sz w:val="20"/>
                <w:szCs w:val="20"/>
              </w:rPr>
              <w:t>Nat. Gas (MMBtu</w:t>
            </w:r>
            <w:r w:rsidR="00CD5957" w:rsidRPr="00F6205B">
              <w:rPr>
                <w:b/>
                <w:sz w:val="20"/>
                <w:szCs w:val="20"/>
              </w:rPr>
              <w:t>)</w:t>
            </w:r>
          </w:p>
        </w:tc>
        <w:tc>
          <w:tcPr>
            <w:tcW w:w="1099" w:type="dxa"/>
            <w:tcBorders>
              <w:top w:val="single" w:sz="4" w:space="0" w:color="auto"/>
              <w:bottom w:val="single" w:sz="4" w:space="0" w:color="auto"/>
              <w:right w:val="single" w:sz="4" w:space="0" w:color="000000" w:themeColor="text1"/>
            </w:tcBorders>
            <w:shd w:val="clear" w:color="auto" w:fill="0B4D2C" w:themeFill="background2" w:themeFillShade="BF"/>
            <w:vAlign w:val="center"/>
          </w:tcPr>
          <w:p w14:paraId="0182E95B" w14:textId="6BCE8DF6" w:rsidR="00CD5957" w:rsidRPr="00F6205B" w:rsidRDefault="00860C39" w:rsidP="004F23CF">
            <w:pPr>
              <w:keepNext/>
              <w:keepLines/>
              <w:contextualSpacing/>
              <w:jc w:val="center"/>
              <w:rPr>
                <w:b/>
                <w:sz w:val="20"/>
                <w:szCs w:val="20"/>
              </w:rPr>
            </w:pPr>
            <w:r w:rsidRPr="00F6205B">
              <w:rPr>
                <w:b/>
                <w:sz w:val="20"/>
                <w:szCs w:val="20"/>
              </w:rPr>
              <w:t>Propane (MMBtu</w:t>
            </w:r>
            <w:r w:rsidR="00CD5957" w:rsidRPr="00F6205B">
              <w:rPr>
                <w:b/>
                <w:sz w:val="20"/>
                <w:szCs w:val="20"/>
              </w:rPr>
              <w:t>)</w:t>
            </w:r>
          </w:p>
        </w:tc>
        <w:tc>
          <w:tcPr>
            <w:tcW w:w="1159" w:type="dxa"/>
            <w:tcBorders>
              <w:top w:val="single" w:sz="4" w:space="0" w:color="auto"/>
              <w:left w:val="single" w:sz="4" w:space="0" w:color="000000" w:themeColor="text1"/>
              <w:bottom w:val="single" w:sz="4" w:space="0" w:color="auto"/>
              <w:right w:val="single" w:sz="4" w:space="0" w:color="auto"/>
            </w:tcBorders>
            <w:shd w:val="clear" w:color="auto" w:fill="0B4D2C" w:themeFill="background2" w:themeFillShade="BF"/>
            <w:vAlign w:val="center"/>
          </w:tcPr>
          <w:p w14:paraId="163EF82A" w14:textId="0D0F642F" w:rsidR="00CD5957" w:rsidRPr="00F6205B" w:rsidRDefault="00CD5957" w:rsidP="00CD5957">
            <w:pPr>
              <w:keepNext/>
              <w:keepLines/>
              <w:contextualSpacing/>
              <w:jc w:val="center"/>
              <w:rPr>
                <w:b/>
                <w:sz w:val="20"/>
                <w:szCs w:val="20"/>
              </w:rPr>
            </w:pPr>
            <w:r w:rsidRPr="00F6205B">
              <w:rPr>
                <w:b/>
                <w:sz w:val="20"/>
                <w:szCs w:val="20"/>
              </w:rPr>
              <w:t>Electric</w:t>
            </w:r>
            <w:r w:rsidR="00860C39" w:rsidRPr="00F6205B">
              <w:rPr>
                <w:b/>
                <w:sz w:val="20"/>
                <w:szCs w:val="20"/>
              </w:rPr>
              <w:t xml:space="preserve"> (MMBtu</w:t>
            </w:r>
            <w:r w:rsidRPr="00F6205B">
              <w:rPr>
                <w:b/>
                <w:sz w:val="20"/>
                <w:szCs w:val="20"/>
              </w:rPr>
              <w:t xml:space="preserve">) </w:t>
            </w:r>
          </w:p>
        </w:tc>
        <w:tc>
          <w:tcPr>
            <w:tcW w:w="1159" w:type="dxa"/>
            <w:tcBorders>
              <w:top w:val="single" w:sz="4" w:space="0" w:color="auto"/>
              <w:left w:val="single" w:sz="4" w:space="0" w:color="auto"/>
              <w:bottom w:val="single" w:sz="4" w:space="0" w:color="auto"/>
              <w:right w:val="single" w:sz="4" w:space="0" w:color="auto"/>
            </w:tcBorders>
            <w:shd w:val="clear" w:color="auto" w:fill="0B4D2C" w:themeFill="background2" w:themeFillShade="BF"/>
            <w:vAlign w:val="center"/>
          </w:tcPr>
          <w:p w14:paraId="6A7E69F5" w14:textId="6953FE0B" w:rsidR="00CD5957" w:rsidRPr="00F6205B" w:rsidRDefault="00234F00" w:rsidP="00CD5957">
            <w:pPr>
              <w:keepNext/>
              <w:keepLines/>
              <w:contextualSpacing/>
              <w:jc w:val="center"/>
              <w:rPr>
                <w:b/>
                <w:sz w:val="20"/>
                <w:szCs w:val="20"/>
              </w:rPr>
            </w:pPr>
            <w:r>
              <w:rPr>
                <w:b/>
                <w:sz w:val="20"/>
                <w:szCs w:val="20"/>
              </w:rPr>
              <w:t xml:space="preserve">All </w:t>
            </w:r>
            <w:r w:rsidR="00CD5957" w:rsidRPr="00F6205B">
              <w:rPr>
                <w:b/>
                <w:sz w:val="20"/>
                <w:szCs w:val="20"/>
              </w:rPr>
              <w:t>Fossil Fuels (MMBtu)</w:t>
            </w:r>
          </w:p>
        </w:tc>
        <w:tc>
          <w:tcPr>
            <w:tcW w:w="1159" w:type="dxa"/>
            <w:tcBorders>
              <w:top w:val="single" w:sz="4" w:space="0" w:color="auto"/>
              <w:left w:val="single" w:sz="4" w:space="0" w:color="auto"/>
              <w:bottom w:val="single" w:sz="4" w:space="0" w:color="auto"/>
              <w:right w:val="single" w:sz="4" w:space="0" w:color="auto"/>
            </w:tcBorders>
            <w:shd w:val="clear" w:color="auto" w:fill="0B4D2C" w:themeFill="background2" w:themeFillShade="BF"/>
            <w:vAlign w:val="center"/>
          </w:tcPr>
          <w:p w14:paraId="2C8D2EA4" w14:textId="6E10CA1A" w:rsidR="00CD5957" w:rsidRPr="00F6205B" w:rsidRDefault="00CD5957" w:rsidP="00CD5957">
            <w:pPr>
              <w:keepNext/>
              <w:keepLines/>
              <w:contextualSpacing/>
              <w:jc w:val="center"/>
              <w:rPr>
                <w:b/>
                <w:sz w:val="20"/>
                <w:szCs w:val="20"/>
              </w:rPr>
            </w:pPr>
            <w:r w:rsidRPr="00F6205B">
              <w:rPr>
                <w:b/>
                <w:sz w:val="20"/>
                <w:szCs w:val="20"/>
              </w:rPr>
              <w:t>All Fuels (MMBtu)</w:t>
            </w:r>
          </w:p>
        </w:tc>
      </w:tr>
      <w:tr w:rsidR="00A90CAF" w:rsidRPr="00F6205B" w14:paraId="2525504D" w14:textId="3F4323CB" w:rsidTr="00A90CAF">
        <w:trPr>
          <w:trHeight w:val="288"/>
          <w:jc w:val="center"/>
        </w:trPr>
        <w:tc>
          <w:tcPr>
            <w:tcW w:w="8739" w:type="dxa"/>
            <w:gridSpan w:val="7"/>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0DC0F0E6" w14:textId="41628F3A" w:rsidR="00A90CAF" w:rsidRPr="00F6205B" w:rsidRDefault="00C44244" w:rsidP="004F23CF">
            <w:pPr>
              <w:keepNext/>
              <w:keepLines/>
              <w:contextualSpacing/>
              <w:jc w:val="center"/>
              <w:rPr>
                <w:b/>
                <w:color w:val="FFFFFF" w:themeColor="background1"/>
                <w:sz w:val="20"/>
                <w:szCs w:val="20"/>
              </w:rPr>
            </w:pPr>
            <w:r>
              <w:rPr>
                <w:b/>
                <w:color w:val="FFFFFF" w:themeColor="background1"/>
                <w:sz w:val="20"/>
                <w:szCs w:val="20"/>
              </w:rPr>
              <w:t>Year One (2016</w:t>
            </w:r>
            <w:r w:rsidR="00A90CAF" w:rsidRPr="00F6205B">
              <w:rPr>
                <w:b/>
                <w:color w:val="FFFFFF" w:themeColor="background1"/>
                <w:sz w:val="20"/>
                <w:szCs w:val="20"/>
              </w:rPr>
              <w:t>) Achievable Savings</w:t>
            </w:r>
          </w:p>
        </w:tc>
      </w:tr>
      <w:tr w:rsidR="00CD5957" w:rsidRPr="00F6205B" w14:paraId="5BE191FA" w14:textId="3DE66C57" w:rsidTr="00CD5957">
        <w:trPr>
          <w:trHeight w:val="288"/>
          <w:jc w:val="center"/>
        </w:trPr>
        <w:tc>
          <w:tcPr>
            <w:tcW w:w="1965" w:type="dxa"/>
            <w:tcBorders>
              <w:top w:val="single" w:sz="4" w:space="0" w:color="auto"/>
              <w:left w:val="single" w:sz="4" w:space="0" w:color="auto"/>
              <w:right w:val="single" w:sz="4" w:space="0" w:color="000000" w:themeColor="text1"/>
            </w:tcBorders>
            <w:vAlign w:val="center"/>
          </w:tcPr>
          <w:p w14:paraId="23866B32" w14:textId="77777777" w:rsidR="00CD5957" w:rsidRPr="00F6205B" w:rsidRDefault="00CD5957" w:rsidP="004F23CF">
            <w:pPr>
              <w:keepNext/>
              <w:keepLines/>
              <w:contextualSpacing/>
              <w:rPr>
                <w:sz w:val="20"/>
                <w:szCs w:val="20"/>
              </w:rPr>
            </w:pPr>
            <w:r w:rsidRPr="00F6205B">
              <w:rPr>
                <w:sz w:val="20"/>
                <w:szCs w:val="20"/>
              </w:rPr>
              <w:t>Heating</w:t>
            </w:r>
          </w:p>
        </w:tc>
        <w:tc>
          <w:tcPr>
            <w:tcW w:w="1099" w:type="dxa"/>
            <w:tcBorders>
              <w:top w:val="single" w:sz="4" w:space="0" w:color="auto"/>
              <w:right w:val="single" w:sz="4" w:space="0" w:color="000000" w:themeColor="text1"/>
            </w:tcBorders>
            <w:vAlign w:val="center"/>
          </w:tcPr>
          <w:p w14:paraId="76CB331B" w14:textId="1F323A52" w:rsidR="00CD5957" w:rsidRPr="00F6205B" w:rsidRDefault="00375C45" w:rsidP="004F23CF">
            <w:pPr>
              <w:keepNext/>
              <w:keepLines/>
              <w:tabs>
                <w:tab w:val="decimal" w:pos="358"/>
              </w:tabs>
              <w:contextualSpacing/>
              <w:jc w:val="center"/>
              <w:rPr>
                <w:sz w:val="20"/>
                <w:szCs w:val="20"/>
              </w:rPr>
            </w:pPr>
            <w:r w:rsidRPr="00F6205B">
              <w:rPr>
                <w:sz w:val="20"/>
                <w:szCs w:val="20"/>
              </w:rPr>
              <w:t>33</w:t>
            </w:r>
            <w:r w:rsidR="00CD5957" w:rsidRPr="00F6205B">
              <w:rPr>
                <w:sz w:val="20"/>
                <w:szCs w:val="20"/>
              </w:rPr>
              <w:t>%</w:t>
            </w:r>
          </w:p>
        </w:tc>
        <w:tc>
          <w:tcPr>
            <w:tcW w:w="1099" w:type="dxa"/>
            <w:tcBorders>
              <w:top w:val="single" w:sz="4" w:space="0" w:color="auto"/>
              <w:right w:val="single" w:sz="4" w:space="0" w:color="000000" w:themeColor="text1"/>
            </w:tcBorders>
            <w:vAlign w:val="center"/>
          </w:tcPr>
          <w:p w14:paraId="6C7479C2" w14:textId="772896AB" w:rsidR="00CD5957" w:rsidRPr="00F6205B" w:rsidRDefault="00375C45" w:rsidP="004F23CF">
            <w:pPr>
              <w:keepNext/>
              <w:keepLines/>
              <w:tabs>
                <w:tab w:val="decimal" w:pos="339"/>
              </w:tabs>
              <w:contextualSpacing/>
              <w:jc w:val="center"/>
              <w:rPr>
                <w:sz w:val="20"/>
                <w:szCs w:val="20"/>
              </w:rPr>
            </w:pPr>
            <w:r w:rsidRPr="00F6205B">
              <w:rPr>
                <w:sz w:val="20"/>
                <w:szCs w:val="20"/>
              </w:rPr>
              <w:t>15</w:t>
            </w:r>
            <w:r w:rsidR="00CD5957" w:rsidRPr="00F6205B">
              <w:rPr>
                <w:sz w:val="20"/>
                <w:szCs w:val="20"/>
              </w:rPr>
              <w:t>%</w:t>
            </w:r>
          </w:p>
        </w:tc>
        <w:tc>
          <w:tcPr>
            <w:tcW w:w="1099" w:type="dxa"/>
            <w:tcBorders>
              <w:top w:val="single" w:sz="4" w:space="0" w:color="auto"/>
              <w:right w:val="single" w:sz="4" w:space="0" w:color="000000" w:themeColor="text1"/>
            </w:tcBorders>
            <w:vAlign w:val="center"/>
          </w:tcPr>
          <w:p w14:paraId="4B6FF77E" w14:textId="55291115" w:rsidR="00CD5957" w:rsidRPr="00F6205B" w:rsidRDefault="00375C45" w:rsidP="004F23CF">
            <w:pPr>
              <w:keepNext/>
              <w:keepLines/>
              <w:tabs>
                <w:tab w:val="decimal" w:pos="395"/>
              </w:tabs>
              <w:contextualSpacing/>
              <w:jc w:val="center"/>
              <w:rPr>
                <w:sz w:val="20"/>
                <w:szCs w:val="20"/>
              </w:rPr>
            </w:pPr>
            <w:r w:rsidRPr="00F6205B">
              <w:rPr>
                <w:sz w:val="20"/>
                <w:szCs w:val="20"/>
              </w:rPr>
              <w:t>1</w:t>
            </w:r>
            <w:r w:rsidR="00144E33" w:rsidRPr="00F6205B">
              <w:rPr>
                <w:sz w:val="20"/>
                <w:szCs w:val="20"/>
              </w:rPr>
              <w:t>%</w:t>
            </w:r>
          </w:p>
        </w:tc>
        <w:tc>
          <w:tcPr>
            <w:tcW w:w="1159" w:type="dxa"/>
            <w:tcBorders>
              <w:top w:val="single" w:sz="4" w:space="0" w:color="auto"/>
              <w:left w:val="single" w:sz="4" w:space="0" w:color="000000" w:themeColor="text1"/>
              <w:right w:val="single" w:sz="4" w:space="0" w:color="auto"/>
            </w:tcBorders>
            <w:vAlign w:val="center"/>
          </w:tcPr>
          <w:p w14:paraId="21768BE5" w14:textId="1C240E33" w:rsidR="00CD5957" w:rsidRPr="00F6205B" w:rsidRDefault="00375C45" w:rsidP="004F23CF">
            <w:pPr>
              <w:keepNext/>
              <w:keepLines/>
              <w:tabs>
                <w:tab w:val="decimal" w:pos="631"/>
              </w:tabs>
              <w:contextualSpacing/>
              <w:jc w:val="center"/>
              <w:rPr>
                <w:sz w:val="20"/>
                <w:szCs w:val="20"/>
              </w:rPr>
            </w:pPr>
            <w:r w:rsidRPr="00F6205B">
              <w:rPr>
                <w:sz w:val="20"/>
                <w:szCs w:val="20"/>
              </w:rPr>
              <w:t>1</w:t>
            </w:r>
            <w:r w:rsidR="00CD5957" w:rsidRPr="00F6205B">
              <w:rPr>
                <w:sz w:val="20"/>
                <w:szCs w:val="20"/>
              </w:rPr>
              <w:t>%</w:t>
            </w:r>
          </w:p>
        </w:tc>
        <w:tc>
          <w:tcPr>
            <w:tcW w:w="1159" w:type="dxa"/>
            <w:tcBorders>
              <w:top w:val="single" w:sz="4" w:space="0" w:color="auto"/>
              <w:left w:val="single" w:sz="4" w:space="0" w:color="auto"/>
              <w:right w:val="single" w:sz="4" w:space="0" w:color="auto"/>
            </w:tcBorders>
            <w:vAlign w:val="center"/>
          </w:tcPr>
          <w:p w14:paraId="04916FC6" w14:textId="145860CD" w:rsidR="00CD5957" w:rsidRPr="00F6205B" w:rsidRDefault="00375C45" w:rsidP="004F23CF">
            <w:pPr>
              <w:keepNext/>
              <w:keepLines/>
              <w:tabs>
                <w:tab w:val="decimal" w:pos="631"/>
              </w:tabs>
              <w:contextualSpacing/>
              <w:jc w:val="center"/>
              <w:rPr>
                <w:sz w:val="20"/>
                <w:szCs w:val="20"/>
              </w:rPr>
            </w:pPr>
            <w:r w:rsidRPr="00F6205B">
              <w:rPr>
                <w:sz w:val="20"/>
                <w:szCs w:val="20"/>
              </w:rPr>
              <w:t>48</w:t>
            </w:r>
            <w:r w:rsidR="00144E33" w:rsidRPr="00F6205B">
              <w:rPr>
                <w:sz w:val="20"/>
                <w:szCs w:val="20"/>
              </w:rPr>
              <w:t>%</w:t>
            </w:r>
          </w:p>
        </w:tc>
        <w:tc>
          <w:tcPr>
            <w:tcW w:w="1159" w:type="dxa"/>
            <w:tcBorders>
              <w:top w:val="single" w:sz="4" w:space="0" w:color="auto"/>
              <w:left w:val="single" w:sz="4" w:space="0" w:color="auto"/>
              <w:right w:val="single" w:sz="4" w:space="0" w:color="auto"/>
            </w:tcBorders>
            <w:vAlign w:val="center"/>
          </w:tcPr>
          <w:p w14:paraId="4BD715B4" w14:textId="5EF20296" w:rsidR="00CD5957" w:rsidRPr="00F6205B" w:rsidRDefault="00375C45" w:rsidP="004F23CF">
            <w:pPr>
              <w:keepNext/>
              <w:keepLines/>
              <w:tabs>
                <w:tab w:val="decimal" w:pos="631"/>
              </w:tabs>
              <w:contextualSpacing/>
              <w:jc w:val="center"/>
              <w:rPr>
                <w:sz w:val="20"/>
                <w:szCs w:val="20"/>
              </w:rPr>
            </w:pPr>
            <w:r w:rsidRPr="00F6205B">
              <w:rPr>
                <w:sz w:val="20"/>
                <w:szCs w:val="20"/>
              </w:rPr>
              <w:t>49</w:t>
            </w:r>
            <w:r w:rsidR="00144E33" w:rsidRPr="00F6205B">
              <w:rPr>
                <w:sz w:val="20"/>
                <w:szCs w:val="20"/>
              </w:rPr>
              <w:t>%</w:t>
            </w:r>
          </w:p>
        </w:tc>
      </w:tr>
      <w:tr w:rsidR="00CD5957" w:rsidRPr="00F6205B" w14:paraId="60263172" w14:textId="15687AE7" w:rsidTr="00CD5957">
        <w:trPr>
          <w:trHeight w:val="288"/>
          <w:jc w:val="center"/>
        </w:trPr>
        <w:tc>
          <w:tcPr>
            <w:tcW w:w="1965" w:type="dxa"/>
            <w:tcBorders>
              <w:left w:val="single" w:sz="4" w:space="0" w:color="auto"/>
              <w:right w:val="single" w:sz="4" w:space="0" w:color="000000" w:themeColor="text1"/>
            </w:tcBorders>
            <w:vAlign w:val="center"/>
          </w:tcPr>
          <w:p w14:paraId="77AA1017" w14:textId="77777777" w:rsidR="00CD5957" w:rsidRPr="00F6205B" w:rsidRDefault="00CD5957" w:rsidP="004F23CF">
            <w:pPr>
              <w:keepNext/>
              <w:keepLines/>
              <w:contextualSpacing/>
              <w:rPr>
                <w:sz w:val="20"/>
                <w:szCs w:val="20"/>
              </w:rPr>
            </w:pPr>
            <w:r w:rsidRPr="00F6205B">
              <w:rPr>
                <w:sz w:val="20"/>
                <w:szCs w:val="20"/>
              </w:rPr>
              <w:t>Cooling</w:t>
            </w:r>
          </w:p>
        </w:tc>
        <w:tc>
          <w:tcPr>
            <w:tcW w:w="1099" w:type="dxa"/>
            <w:tcBorders>
              <w:right w:val="single" w:sz="4" w:space="0" w:color="000000" w:themeColor="text1"/>
            </w:tcBorders>
            <w:vAlign w:val="center"/>
          </w:tcPr>
          <w:p w14:paraId="52382E40" w14:textId="77777777" w:rsidR="00CD5957" w:rsidRPr="00F6205B" w:rsidRDefault="00CD5957" w:rsidP="004F23CF">
            <w:pPr>
              <w:keepNext/>
              <w:keepLines/>
              <w:tabs>
                <w:tab w:val="decimal" w:pos="358"/>
              </w:tabs>
              <w:contextualSpacing/>
              <w:jc w:val="center"/>
              <w:rPr>
                <w:sz w:val="20"/>
                <w:szCs w:val="20"/>
              </w:rPr>
            </w:pPr>
            <w:r w:rsidRPr="00F6205B">
              <w:rPr>
                <w:sz w:val="20"/>
                <w:szCs w:val="20"/>
              </w:rPr>
              <w:t>--</w:t>
            </w:r>
          </w:p>
        </w:tc>
        <w:tc>
          <w:tcPr>
            <w:tcW w:w="1099" w:type="dxa"/>
            <w:tcBorders>
              <w:right w:val="single" w:sz="4" w:space="0" w:color="000000" w:themeColor="text1"/>
            </w:tcBorders>
            <w:vAlign w:val="center"/>
          </w:tcPr>
          <w:p w14:paraId="50533CAB" w14:textId="77777777" w:rsidR="00CD5957" w:rsidRPr="00F6205B" w:rsidRDefault="00CD5957" w:rsidP="004F23CF">
            <w:pPr>
              <w:keepNext/>
              <w:keepLines/>
              <w:tabs>
                <w:tab w:val="decimal" w:pos="339"/>
              </w:tabs>
              <w:contextualSpacing/>
              <w:jc w:val="center"/>
              <w:rPr>
                <w:sz w:val="20"/>
                <w:szCs w:val="20"/>
              </w:rPr>
            </w:pPr>
            <w:r w:rsidRPr="00F6205B">
              <w:rPr>
                <w:sz w:val="20"/>
                <w:szCs w:val="20"/>
              </w:rPr>
              <w:t>--</w:t>
            </w:r>
          </w:p>
        </w:tc>
        <w:tc>
          <w:tcPr>
            <w:tcW w:w="1099" w:type="dxa"/>
            <w:tcBorders>
              <w:right w:val="single" w:sz="4" w:space="0" w:color="000000" w:themeColor="text1"/>
            </w:tcBorders>
            <w:vAlign w:val="center"/>
          </w:tcPr>
          <w:p w14:paraId="244B49C9" w14:textId="77777777" w:rsidR="00CD5957" w:rsidRPr="00F6205B" w:rsidRDefault="00CD5957" w:rsidP="004F23CF">
            <w:pPr>
              <w:keepNext/>
              <w:keepLines/>
              <w:tabs>
                <w:tab w:val="decimal" w:pos="395"/>
              </w:tabs>
              <w:contextualSpacing/>
              <w:jc w:val="center"/>
              <w:rPr>
                <w:sz w:val="20"/>
                <w:szCs w:val="20"/>
              </w:rPr>
            </w:pPr>
            <w:r w:rsidRPr="00F6205B">
              <w:rPr>
                <w:sz w:val="20"/>
                <w:szCs w:val="20"/>
              </w:rPr>
              <w:t>--</w:t>
            </w:r>
          </w:p>
        </w:tc>
        <w:tc>
          <w:tcPr>
            <w:tcW w:w="1159" w:type="dxa"/>
            <w:tcBorders>
              <w:left w:val="single" w:sz="4" w:space="0" w:color="000000" w:themeColor="text1"/>
              <w:right w:val="single" w:sz="4" w:space="0" w:color="auto"/>
            </w:tcBorders>
            <w:vAlign w:val="center"/>
          </w:tcPr>
          <w:p w14:paraId="775A5971" w14:textId="069F5D90" w:rsidR="00CD5957" w:rsidRPr="00F6205B" w:rsidRDefault="00375C45" w:rsidP="004F23CF">
            <w:pPr>
              <w:keepNext/>
              <w:keepLines/>
              <w:tabs>
                <w:tab w:val="decimal" w:pos="631"/>
              </w:tabs>
              <w:contextualSpacing/>
              <w:jc w:val="center"/>
              <w:rPr>
                <w:sz w:val="20"/>
                <w:szCs w:val="20"/>
              </w:rPr>
            </w:pPr>
            <w:r w:rsidRPr="00F6205B">
              <w:rPr>
                <w:sz w:val="20"/>
                <w:szCs w:val="20"/>
              </w:rPr>
              <w:t>1</w:t>
            </w:r>
            <w:r w:rsidR="00CD5957" w:rsidRPr="00F6205B">
              <w:rPr>
                <w:sz w:val="20"/>
                <w:szCs w:val="20"/>
              </w:rPr>
              <w:t>%</w:t>
            </w:r>
          </w:p>
        </w:tc>
        <w:tc>
          <w:tcPr>
            <w:tcW w:w="1159" w:type="dxa"/>
            <w:tcBorders>
              <w:left w:val="single" w:sz="4" w:space="0" w:color="auto"/>
              <w:right w:val="single" w:sz="4" w:space="0" w:color="auto"/>
            </w:tcBorders>
            <w:vAlign w:val="center"/>
          </w:tcPr>
          <w:p w14:paraId="0856C19F" w14:textId="27E26AAA" w:rsidR="00CD5957" w:rsidRPr="00F6205B" w:rsidRDefault="00144E33" w:rsidP="004F23CF">
            <w:pPr>
              <w:keepNext/>
              <w:keepLines/>
              <w:tabs>
                <w:tab w:val="decimal" w:pos="631"/>
              </w:tabs>
              <w:contextualSpacing/>
              <w:jc w:val="center"/>
              <w:rPr>
                <w:sz w:val="20"/>
                <w:szCs w:val="20"/>
              </w:rPr>
            </w:pPr>
            <w:r w:rsidRPr="00F6205B">
              <w:rPr>
                <w:sz w:val="20"/>
                <w:szCs w:val="20"/>
              </w:rPr>
              <w:t>--</w:t>
            </w:r>
          </w:p>
        </w:tc>
        <w:tc>
          <w:tcPr>
            <w:tcW w:w="1159" w:type="dxa"/>
            <w:tcBorders>
              <w:left w:val="single" w:sz="4" w:space="0" w:color="auto"/>
              <w:right w:val="single" w:sz="4" w:space="0" w:color="auto"/>
            </w:tcBorders>
            <w:vAlign w:val="center"/>
          </w:tcPr>
          <w:p w14:paraId="643FA198" w14:textId="2B8ED33B" w:rsidR="00CD5957" w:rsidRPr="00F6205B" w:rsidRDefault="00375C45" w:rsidP="004F23CF">
            <w:pPr>
              <w:keepNext/>
              <w:keepLines/>
              <w:tabs>
                <w:tab w:val="decimal" w:pos="631"/>
              </w:tabs>
              <w:contextualSpacing/>
              <w:jc w:val="center"/>
              <w:rPr>
                <w:sz w:val="20"/>
                <w:szCs w:val="20"/>
              </w:rPr>
            </w:pPr>
            <w:r w:rsidRPr="00F6205B">
              <w:rPr>
                <w:sz w:val="20"/>
                <w:szCs w:val="20"/>
              </w:rPr>
              <w:t>1</w:t>
            </w:r>
            <w:r w:rsidR="00144E33" w:rsidRPr="00F6205B">
              <w:rPr>
                <w:sz w:val="20"/>
                <w:szCs w:val="20"/>
              </w:rPr>
              <w:t>%</w:t>
            </w:r>
          </w:p>
        </w:tc>
      </w:tr>
      <w:tr w:rsidR="00CD5957" w:rsidRPr="00F6205B" w14:paraId="3B711BD3" w14:textId="78272E77" w:rsidTr="00CD5957">
        <w:trPr>
          <w:trHeight w:val="288"/>
          <w:jc w:val="center"/>
        </w:trPr>
        <w:tc>
          <w:tcPr>
            <w:tcW w:w="1965" w:type="dxa"/>
            <w:tcBorders>
              <w:left w:val="single" w:sz="4" w:space="0" w:color="auto"/>
              <w:right w:val="single" w:sz="4" w:space="0" w:color="000000" w:themeColor="text1"/>
            </w:tcBorders>
            <w:vAlign w:val="center"/>
          </w:tcPr>
          <w:p w14:paraId="3443C3BF" w14:textId="77777777" w:rsidR="00CD5957" w:rsidRPr="00F6205B" w:rsidRDefault="00CD5957" w:rsidP="004F23CF">
            <w:pPr>
              <w:keepNext/>
              <w:keepLines/>
              <w:contextualSpacing/>
              <w:rPr>
                <w:sz w:val="20"/>
                <w:szCs w:val="20"/>
              </w:rPr>
            </w:pPr>
            <w:r w:rsidRPr="00F6205B">
              <w:rPr>
                <w:sz w:val="20"/>
                <w:szCs w:val="20"/>
              </w:rPr>
              <w:t>Water heating</w:t>
            </w:r>
          </w:p>
        </w:tc>
        <w:tc>
          <w:tcPr>
            <w:tcW w:w="1099" w:type="dxa"/>
            <w:tcBorders>
              <w:right w:val="single" w:sz="4" w:space="0" w:color="000000" w:themeColor="text1"/>
            </w:tcBorders>
            <w:vAlign w:val="center"/>
          </w:tcPr>
          <w:p w14:paraId="26B94E5B" w14:textId="794D3D8B" w:rsidR="00CD5957" w:rsidRPr="00F6205B" w:rsidRDefault="00375C45" w:rsidP="004F23CF">
            <w:pPr>
              <w:keepNext/>
              <w:keepLines/>
              <w:tabs>
                <w:tab w:val="decimal" w:pos="358"/>
              </w:tabs>
              <w:contextualSpacing/>
              <w:jc w:val="center"/>
              <w:rPr>
                <w:sz w:val="20"/>
                <w:szCs w:val="20"/>
              </w:rPr>
            </w:pPr>
            <w:r w:rsidRPr="00F6205B">
              <w:rPr>
                <w:sz w:val="20"/>
                <w:szCs w:val="20"/>
              </w:rPr>
              <w:t>2</w:t>
            </w:r>
            <w:r w:rsidR="00CD5957" w:rsidRPr="00F6205B">
              <w:rPr>
                <w:sz w:val="20"/>
                <w:szCs w:val="20"/>
              </w:rPr>
              <w:t>%</w:t>
            </w:r>
          </w:p>
        </w:tc>
        <w:tc>
          <w:tcPr>
            <w:tcW w:w="1099" w:type="dxa"/>
            <w:tcBorders>
              <w:right w:val="single" w:sz="4" w:space="0" w:color="000000" w:themeColor="text1"/>
            </w:tcBorders>
            <w:vAlign w:val="center"/>
          </w:tcPr>
          <w:p w14:paraId="2DFFB5FA" w14:textId="4D288DC0" w:rsidR="00CD5957" w:rsidRPr="00F6205B" w:rsidRDefault="00375C45" w:rsidP="004F23CF">
            <w:pPr>
              <w:keepNext/>
              <w:keepLines/>
              <w:tabs>
                <w:tab w:val="decimal" w:pos="339"/>
              </w:tabs>
              <w:contextualSpacing/>
              <w:jc w:val="center"/>
              <w:rPr>
                <w:sz w:val="20"/>
                <w:szCs w:val="20"/>
              </w:rPr>
            </w:pPr>
            <w:r w:rsidRPr="00F6205B">
              <w:rPr>
                <w:sz w:val="20"/>
                <w:szCs w:val="20"/>
              </w:rPr>
              <w:t>1</w:t>
            </w:r>
            <w:r w:rsidR="00CD5957" w:rsidRPr="00F6205B">
              <w:rPr>
                <w:sz w:val="20"/>
                <w:szCs w:val="20"/>
              </w:rPr>
              <w:t>%</w:t>
            </w:r>
          </w:p>
        </w:tc>
        <w:tc>
          <w:tcPr>
            <w:tcW w:w="1099" w:type="dxa"/>
            <w:tcBorders>
              <w:right w:val="single" w:sz="4" w:space="0" w:color="000000" w:themeColor="text1"/>
            </w:tcBorders>
            <w:vAlign w:val="center"/>
          </w:tcPr>
          <w:p w14:paraId="45F50525" w14:textId="70207FA2" w:rsidR="00CD5957" w:rsidRPr="00F6205B" w:rsidRDefault="00375C45" w:rsidP="004F23CF">
            <w:pPr>
              <w:keepNext/>
              <w:keepLines/>
              <w:tabs>
                <w:tab w:val="decimal" w:pos="395"/>
              </w:tabs>
              <w:contextualSpacing/>
              <w:jc w:val="center"/>
              <w:rPr>
                <w:sz w:val="20"/>
                <w:szCs w:val="20"/>
              </w:rPr>
            </w:pPr>
            <w:r w:rsidRPr="00F6205B">
              <w:rPr>
                <w:sz w:val="20"/>
                <w:szCs w:val="20"/>
              </w:rPr>
              <w:t>&lt; 1</w:t>
            </w:r>
            <w:r w:rsidR="00CD5957" w:rsidRPr="00F6205B">
              <w:rPr>
                <w:sz w:val="20"/>
                <w:szCs w:val="20"/>
              </w:rPr>
              <w:t>%</w:t>
            </w:r>
          </w:p>
        </w:tc>
        <w:tc>
          <w:tcPr>
            <w:tcW w:w="1159" w:type="dxa"/>
            <w:tcBorders>
              <w:left w:val="single" w:sz="4" w:space="0" w:color="000000" w:themeColor="text1"/>
              <w:right w:val="single" w:sz="4" w:space="0" w:color="auto"/>
            </w:tcBorders>
            <w:vAlign w:val="center"/>
          </w:tcPr>
          <w:p w14:paraId="63D347A9" w14:textId="7FBF1146" w:rsidR="00CD5957" w:rsidRPr="00F6205B" w:rsidRDefault="00375C45" w:rsidP="004F23CF">
            <w:pPr>
              <w:keepNext/>
              <w:keepLines/>
              <w:tabs>
                <w:tab w:val="decimal" w:pos="631"/>
              </w:tabs>
              <w:contextualSpacing/>
              <w:jc w:val="center"/>
              <w:rPr>
                <w:sz w:val="20"/>
                <w:szCs w:val="20"/>
              </w:rPr>
            </w:pPr>
            <w:r w:rsidRPr="00F6205B">
              <w:rPr>
                <w:sz w:val="20"/>
                <w:szCs w:val="20"/>
              </w:rPr>
              <w:t>1</w:t>
            </w:r>
            <w:r w:rsidR="00CD5957" w:rsidRPr="00F6205B">
              <w:rPr>
                <w:sz w:val="20"/>
                <w:szCs w:val="20"/>
              </w:rPr>
              <w:t>%</w:t>
            </w:r>
          </w:p>
        </w:tc>
        <w:tc>
          <w:tcPr>
            <w:tcW w:w="1159" w:type="dxa"/>
            <w:tcBorders>
              <w:left w:val="single" w:sz="4" w:space="0" w:color="auto"/>
              <w:right w:val="single" w:sz="4" w:space="0" w:color="auto"/>
            </w:tcBorders>
            <w:vAlign w:val="center"/>
          </w:tcPr>
          <w:p w14:paraId="7D63CE48" w14:textId="4D177AC3" w:rsidR="00CD5957" w:rsidRPr="00F6205B" w:rsidRDefault="00375C45" w:rsidP="004F23CF">
            <w:pPr>
              <w:keepNext/>
              <w:keepLines/>
              <w:tabs>
                <w:tab w:val="decimal" w:pos="631"/>
              </w:tabs>
              <w:contextualSpacing/>
              <w:jc w:val="center"/>
              <w:rPr>
                <w:sz w:val="20"/>
                <w:szCs w:val="20"/>
              </w:rPr>
            </w:pPr>
            <w:r w:rsidRPr="00F6205B">
              <w:rPr>
                <w:sz w:val="20"/>
                <w:szCs w:val="20"/>
              </w:rPr>
              <w:t>3</w:t>
            </w:r>
            <w:r w:rsidR="00144E33" w:rsidRPr="00F6205B">
              <w:rPr>
                <w:sz w:val="20"/>
                <w:szCs w:val="20"/>
              </w:rPr>
              <w:t>%</w:t>
            </w:r>
          </w:p>
        </w:tc>
        <w:tc>
          <w:tcPr>
            <w:tcW w:w="1159" w:type="dxa"/>
            <w:tcBorders>
              <w:left w:val="single" w:sz="4" w:space="0" w:color="auto"/>
              <w:right w:val="single" w:sz="4" w:space="0" w:color="auto"/>
            </w:tcBorders>
            <w:vAlign w:val="center"/>
          </w:tcPr>
          <w:p w14:paraId="122E7ACD" w14:textId="08DCE84C" w:rsidR="00CD5957" w:rsidRPr="00F6205B" w:rsidRDefault="00375C45" w:rsidP="004F23CF">
            <w:pPr>
              <w:keepNext/>
              <w:keepLines/>
              <w:tabs>
                <w:tab w:val="decimal" w:pos="631"/>
              </w:tabs>
              <w:contextualSpacing/>
              <w:jc w:val="center"/>
              <w:rPr>
                <w:sz w:val="20"/>
                <w:szCs w:val="20"/>
              </w:rPr>
            </w:pPr>
            <w:r w:rsidRPr="00F6205B">
              <w:rPr>
                <w:sz w:val="20"/>
                <w:szCs w:val="20"/>
              </w:rPr>
              <w:t>4</w:t>
            </w:r>
            <w:r w:rsidR="00144E33" w:rsidRPr="00F6205B">
              <w:rPr>
                <w:sz w:val="20"/>
                <w:szCs w:val="20"/>
              </w:rPr>
              <w:t>%</w:t>
            </w:r>
          </w:p>
        </w:tc>
      </w:tr>
      <w:tr w:rsidR="00CD5957" w:rsidRPr="00F6205B" w14:paraId="6A388F78" w14:textId="1C29CFC9" w:rsidTr="00CD5957">
        <w:trPr>
          <w:trHeight w:val="288"/>
          <w:jc w:val="center"/>
        </w:trPr>
        <w:tc>
          <w:tcPr>
            <w:tcW w:w="1965" w:type="dxa"/>
            <w:tcBorders>
              <w:left w:val="single" w:sz="4" w:space="0" w:color="auto"/>
              <w:right w:val="single" w:sz="4" w:space="0" w:color="000000" w:themeColor="text1"/>
            </w:tcBorders>
            <w:vAlign w:val="center"/>
          </w:tcPr>
          <w:p w14:paraId="7D454A09" w14:textId="77777777" w:rsidR="00CD5957" w:rsidRPr="00F6205B" w:rsidRDefault="00CD5957" w:rsidP="004F23CF">
            <w:pPr>
              <w:keepNext/>
              <w:keepLines/>
              <w:contextualSpacing/>
              <w:rPr>
                <w:sz w:val="20"/>
                <w:szCs w:val="20"/>
              </w:rPr>
            </w:pPr>
            <w:r w:rsidRPr="00F6205B">
              <w:rPr>
                <w:sz w:val="20"/>
                <w:szCs w:val="20"/>
              </w:rPr>
              <w:t>Lights &amp; appliances</w:t>
            </w:r>
          </w:p>
        </w:tc>
        <w:tc>
          <w:tcPr>
            <w:tcW w:w="1099" w:type="dxa"/>
            <w:tcBorders>
              <w:right w:val="single" w:sz="4" w:space="0" w:color="000000" w:themeColor="text1"/>
            </w:tcBorders>
            <w:vAlign w:val="center"/>
          </w:tcPr>
          <w:p w14:paraId="66363A0C" w14:textId="77777777" w:rsidR="00CD5957" w:rsidRPr="00F6205B" w:rsidRDefault="00CD5957" w:rsidP="004F23CF">
            <w:pPr>
              <w:keepNext/>
              <w:keepLines/>
              <w:tabs>
                <w:tab w:val="decimal" w:pos="358"/>
              </w:tabs>
              <w:contextualSpacing/>
              <w:jc w:val="center"/>
              <w:rPr>
                <w:sz w:val="20"/>
                <w:szCs w:val="20"/>
              </w:rPr>
            </w:pPr>
            <w:r w:rsidRPr="00F6205B">
              <w:rPr>
                <w:sz w:val="20"/>
                <w:szCs w:val="20"/>
              </w:rPr>
              <w:t>--</w:t>
            </w:r>
          </w:p>
        </w:tc>
        <w:tc>
          <w:tcPr>
            <w:tcW w:w="1099" w:type="dxa"/>
            <w:tcBorders>
              <w:right w:val="single" w:sz="4" w:space="0" w:color="000000" w:themeColor="text1"/>
            </w:tcBorders>
            <w:vAlign w:val="center"/>
          </w:tcPr>
          <w:p w14:paraId="495DC516" w14:textId="77777777" w:rsidR="00CD5957" w:rsidRPr="00F6205B" w:rsidRDefault="00CD5957" w:rsidP="004F23CF">
            <w:pPr>
              <w:keepNext/>
              <w:keepLines/>
              <w:tabs>
                <w:tab w:val="decimal" w:pos="339"/>
              </w:tabs>
              <w:contextualSpacing/>
              <w:jc w:val="center"/>
              <w:rPr>
                <w:sz w:val="20"/>
                <w:szCs w:val="20"/>
              </w:rPr>
            </w:pPr>
            <w:r w:rsidRPr="00F6205B">
              <w:rPr>
                <w:sz w:val="20"/>
                <w:szCs w:val="20"/>
              </w:rPr>
              <w:t>--</w:t>
            </w:r>
          </w:p>
        </w:tc>
        <w:tc>
          <w:tcPr>
            <w:tcW w:w="1099" w:type="dxa"/>
            <w:tcBorders>
              <w:right w:val="single" w:sz="4" w:space="0" w:color="000000" w:themeColor="text1"/>
            </w:tcBorders>
            <w:vAlign w:val="center"/>
          </w:tcPr>
          <w:p w14:paraId="2D5EB7F5" w14:textId="77777777" w:rsidR="00CD5957" w:rsidRPr="00F6205B" w:rsidRDefault="00CD5957" w:rsidP="004F23CF">
            <w:pPr>
              <w:keepNext/>
              <w:keepLines/>
              <w:tabs>
                <w:tab w:val="decimal" w:pos="395"/>
              </w:tabs>
              <w:contextualSpacing/>
              <w:jc w:val="center"/>
              <w:rPr>
                <w:sz w:val="20"/>
                <w:szCs w:val="20"/>
              </w:rPr>
            </w:pPr>
            <w:r w:rsidRPr="00F6205B">
              <w:rPr>
                <w:sz w:val="20"/>
                <w:szCs w:val="20"/>
              </w:rPr>
              <w:t>--</w:t>
            </w:r>
          </w:p>
        </w:tc>
        <w:tc>
          <w:tcPr>
            <w:tcW w:w="1159" w:type="dxa"/>
            <w:tcBorders>
              <w:left w:val="single" w:sz="4" w:space="0" w:color="000000" w:themeColor="text1"/>
              <w:right w:val="single" w:sz="4" w:space="0" w:color="auto"/>
            </w:tcBorders>
            <w:vAlign w:val="center"/>
          </w:tcPr>
          <w:p w14:paraId="25C3F91D" w14:textId="408AF005" w:rsidR="00CD5957" w:rsidRPr="00F6205B" w:rsidRDefault="00375C45" w:rsidP="004F23CF">
            <w:pPr>
              <w:keepNext/>
              <w:keepLines/>
              <w:tabs>
                <w:tab w:val="decimal" w:pos="631"/>
              </w:tabs>
              <w:contextualSpacing/>
              <w:jc w:val="center"/>
              <w:rPr>
                <w:sz w:val="20"/>
                <w:szCs w:val="20"/>
              </w:rPr>
            </w:pPr>
            <w:r w:rsidRPr="00F6205B">
              <w:rPr>
                <w:sz w:val="20"/>
                <w:szCs w:val="20"/>
              </w:rPr>
              <w:t>46</w:t>
            </w:r>
            <w:r w:rsidR="00CD5957" w:rsidRPr="00F6205B">
              <w:rPr>
                <w:sz w:val="20"/>
                <w:szCs w:val="20"/>
              </w:rPr>
              <w:t>%</w:t>
            </w:r>
          </w:p>
        </w:tc>
        <w:tc>
          <w:tcPr>
            <w:tcW w:w="1159" w:type="dxa"/>
            <w:tcBorders>
              <w:left w:val="single" w:sz="4" w:space="0" w:color="auto"/>
              <w:right w:val="single" w:sz="4" w:space="0" w:color="auto"/>
            </w:tcBorders>
            <w:vAlign w:val="center"/>
          </w:tcPr>
          <w:p w14:paraId="4FCBEB0F" w14:textId="5DDCA7B5" w:rsidR="00CD5957" w:rsidRPr="00F6205B" w:rsidRDefault="00144E33" w:rsidP="004F23CF">
            <w:pPr>
              <w:keepNext/>
              <w:keepLines/>
              <w:tabs>
                <w:tab w:val="decimal" w:pos="631"/>
              </w:tabs>
              <w:contextualSpacing/>
              <w:jc w:val="center"/>
              <w:rPr>
                <w:sz w:val="20"/>
                <w:szCs w:val="20"/>
              </w:rPr>
            </w:pPr>
            <w:r w:rsidRPr="00F6205B">
              <w:rPr>
                <w:sz w:val="20"/>
                <w:szCs w:val="20"/>
              </w:rPr>
              <w:t>--</w:t>
            </w:r>
          </w:p>
        </w:tc>
        <w:tc>
          <w:tcPr>
            <w:tcW w:w="1159" w:type="dxa"/>
            <w:tcBorders>
              <w:left w:val="single" w:sz="4" w:space="0" w:color="auto"/>
              <w:right w:val="single" w:sz="4" w:space="0" w:color="auto"/>
            </w:tcBorders>
            <w:vAlign w:val="center"/>
          </w:tcPr>
          <w:p w14:paraId="0B15062C" w14:textId="2EA28953" w:rsidR="00CD5957" w:rsidRPr="00F6205B" w:rsidRDefault="00375C45" w:rsidP="004F23CF">
            <w:pPr>
              <w:keepNext/>
              <w:keepLines/>
              <w:tabs>
                <w:tab w:val="decimal" w:pos="631"/>
              </w:tabs>
              <w:contextualSpacing/>
              <w:jc w:val="center"/>
              <w:rPr>
                <w:sz w:val="20"/>
                <w:szCs w:val="20"/>
              </w:rPr>
            </w:pPr>
            <w:r w:rsidRPr="00F6205B">
              <w:rPr>
                <w:sz w:val="20"/>
                <w:szCs w:val="20"/>
              </w:rPr>
              <w:t>46</w:t>
            </w:r>
            <w:r w:rsidR="00144E33" w:rsidRPr="00F6205B">
              <w:rPr>
                <w:sz w:val="20"/>
                <w:szCs w:val="20"/>
              </w:rPr>
              <w:t>%</w:t>
            </w:r>
          </w:p>
        </w:tc>
      </w:tr>
      <w:tr w:rsidR="00CD5957" w:rsidRPr="00F6205B" w14:paraId="295DEF6D" w14:textId="409A89A5" w:rsidTr="00CD5957">
        <w:trPr>
          <w:trHeight w:val="288"/>
          <w:jc w:val="center"/>
        </w:trPr>
        <w:tc>
          <w:tcPr>
            <w:tcW w:w="1965" w:type="dxa"/>
            <w:tcBorders>
              <w:left w:val="single" w:sz="4" w:space="0" w:color="auto"/>
              <w:bottom w:val="single" w:sz="4" w:space="0" w:color="auto"/>
              <w:right w:val="single" w:sz="4" w:space="0" w:color="000000" w:themeColor="text1"/>
            </w:tcBorders>
            <w:vAlign w:val="center"/>
          </w:tcPr>
          <w:p w14:paraId="16E4E8CE" w14:textId="77777777" w:rsidR="00CD5957" w:rsidRPr="00F6205B" w:rsidRDefault="00CD5957" w:rsidP="004F23CF">
            <w:pPr>
              <w:keepNext/>
              <w:keepLines/>
              <w:contextualSpacing/>
              <w:rPr>
                <w:i/>
                <w:sz w:val="20"/>
                <w:szCs w:val="20"/>
              </w:rPr>
            </w:pPr>
            <w:r w:rsidRPr="00F6205B">
              <w:rPr>
                <w:i/>
                <w:sz w:val="20"/>
                <w:szCs w:val="20"/>
              </w:rPr>
              <w:t>Total</w:t>
            </w:r>
          </w:p>
        </w:tc>
        <w:tc>
          <w:tcPr>
            <w:tcW w:w="1099" w:type="dxa"/>
            <w:tcBorders>
              <w:bottom w:val="single" w:sz="4" w:space="0" w:color="auto"/>
              <w:right w:val="single" w:sz="4" w:space="0" w:color="000000" w:themeColor="text1"/>
            </w:tcBorders>
            <w:vAlign w:val="center"/>
          </w:tcPr>
          <w:p w14:paraId="66C3E420" w14:textId="5A379E0B" w:rsidR="00CD5957" w:rsidRPr="00F6205B" w:rsidRDefault="00375C45" w:rsidP="004F23CF">
            <w:pPr>
              <w:keepNext/>
              <w:keepLines/>
              <w:tabs>
                <w:tab w:val="decimal" w:pos="358"/>
              </w:tabs>
              <w:contextualSpacing/>
              <w:jc w:val="center"/>
              <w:rPr>
                <w:i/>
                <w:sz w:val="20"/>
                <w:szCs w:val="20"/>
              </w:rPr>
            </w:pPr>
            <w:r w:rsidRPr="00F6205B">
              <w:rPr>
                <w:i/>
                <w:sz w:val="20"/>
                <w:szCs w:val="20"/>
              </w:rPr>
              <w:t>35</w:t>
            </w:r>
            <w:r w:rsidR="00CD5957" w:rsidRPr="00F6205B">
              <w:rPr>
                <w:i/>
                <w:sz w:val="20"/>
                <w:szCs w:val="20"/>
              </w:rPr>
              <w:t>%</w:t>
            </w:r>
          </w:p>
        </w:tc>
        <w:tc>
          <w:tcPr>
            <w:tcW w:w="1099" w:type="dxa"/>
            <w:tcBorders>
              <w:bottom w:val="single" w:sz="4" w:space="0" w:color="auto"/>
              <w:right w:val="single" w:sz="4" w:space="0" w:color="000000" w:themeColor="text1"/>
            </w:tcBorders>
            <w:vAlign w:val="center"/>
          </w:tcPr>
          <w:p w14:paraId="04138FCC" w14:textId="78213DC2" w:rsidR="00CD5957" w:rsidRPr="00F6205B" w:rsidRDefault="00375C45" w:rsidP="004F23CF">
            <w:pPr>
              <w:keepNext/>
              <w:keepLines/>
              <w:tabs>
                <w:tab w:val="decimal" w:pos="339"/>
              </w:tabs>
              <w:contextualSpacing/>
              <w:jc w:val="center"/>
              <w:rPr>
                <w:i/>
                <w:sz w:val="20"/>
                <w:szCs w:val="20"/>
              </w:rPr>
            </w:pPr>
            <w:r w:rsidRPr="00F6205B">
              <w:rPr>
                <w:i/>
                <w:sz w:val="20"/>
                <w:szCs w:val="20"/>
              </w:rPr>
              <w:t>16</w:t>
            </w:r>
            <w:r w:rsidR="00CD5957" w:rsidRPr="00F6205B">
              <w:rPr>
                <w:i/>
                <w:sz w:val="20"/>
                <w:szCs w:val="20"/>
              </w:rPr>
              <w:t>%</w:t>
            </w:r>
          </w:p>
        </w:tc>
        <w:tc>
          <w:tcPr>
            <w:tcW w:w="1099" w:type="dxa"/>
            <w:tcBorders>
              <w:bottom w:val="single" w:sz="4" w:space="0" w:color="auto"/>
              <w:right w:val="single" w:sz="4" w:space="0" w:color="000000" w:themeColor="text1"/>
            </w:tcBorders>
            <w:vAlign w:val="center"/>
          </w:tcPr>
          <w:p w14:paraId="7D80355C" w14:textId="4D355681" w:rsidR="00CD5957" w:rsidRPr="00F6205B" w:rsidRDefault="00375C45" w:rsidP="004F23CF">
            <w:pPr>
              <w:keepNext/>
              <w:keepLines/>
              <w:tabs>
                <w:tab w:val="decimal" w:pos="395"/>
              </w:tabs>
              <w:contextualSpacing/>
              <w:jc w:val="center"/>
              <w:rPr>
                <w:i/>
                <w:sz w:val="20"/>
                <w:szCs w:val="20"/>
              </w:rPr>
            </w:pPr>
            <w:r w:rsidRPr="00F6205B">
              <w:rPr>
                <w:i/>
                <w:sz w:val="20"/>
                <w:szCs w:val="20"/>
              </w:rPr>
              <w:t>1</w:t>
            </w:r>
            <w:r w:rsidR="00CD5957" w:rsidRPr="00F6205B">
              <w:rPr>
                <w:i/>
                <w:sz w:val="20"/>
                <w:szCs w:val="20"/>
              </w:rPr>
              <w:t>%</w:t>
            </w:r>
          </w:p>
        </w:tc>
        <w:tc>
          <w:tcPr>
            <w:tcW w:w="1159" w:type="dxa"/>
            <w:tcBorders>
              <w:left w:val="single" w:sz="4" w:space="0" w:color="000000" w:themeColor="text1"/>
              <w:bottom w:val="single" w:sz="4" w:space="0" w:color="auto"/>
              <w:right w:val="single" w:sz="4" w:space="0" w:color="auto"/>
            </w:tcBorders>
            <w:vAlign w:val="center"/>
          </w:tcPr>
          <w:p w14:paraId="3A8C09BA" w14:textId="5B3A85ED" w:rsidR="00CD5957" w:rsidRPr="00F6205B" w:rsidRDefault="00375C45" w:rsidP="004F23CF">
            <w:pPr>
              <w:keepNext/>
              <w:keepLines/>
              <w:tabs>
                <w:tab w:val="decimal" w:pos="631"/>
              </w:tabs>
              <w:contextualSpacing/>
              <w:jc w:val="center"/>
              <w:rPr>
                <w:i/>
                <w:sz w:val="20"/>
                <w:szCs w:val="20"/>
              </w:rPr>
            </w:pPr>
            <w:r w:rsidRPr="00F6205B">
              <w:rPr>
                <w:i/>
                <w:sz w:val="20"/>
                <w:szCs w:val="20"/>
              </w:rPr>
              <w:t>49</w:t>
            </w:r>
            <w:r w:rsidR="00CD5957" w:rsidRPr="00F6205B">
              <w:rPr>
                <w:i/>
                <w:sz w:val="20"/>
                <w:szCs w:val="20"/>
              </w:rPr>
              <w:t>%</w:t>
            </w:r>
          </w:p>
        </w:tc>
        <w:tc>
          <w:tcPr>
            <w:tcW w:w="1159" w:type="dxa"/>
            <w:tcBorders>
              <w:left w:val="single" w:sz="4" w:space="0" w:color="auto"/>
              <w:bottom w:val="single" w:sz="4" w:space="0" w:color="auto"/>
              <w:right w:val="single" w:sz="4" w:space="0" w:color="auto"/>
            </w:tcBorders>
            <w:vAlign w:val="center"/>
          </w:tcPr>
          <w:p w14:paraId="360CBEBF" w14:textId="580FED8A" w:rsidR="00CD5957" w:rsidRPr="00F6205B" w:rsidRDefault="00375C45" w:rsidP="004F23CF">
            <w:pPr>
              <w:keepNext/>
              <w:keepLines/>
              <w:tabs>
                <w:tab w:val="decimal" w:pos="631"/>
              </w:tabs>
              <w:contextualSpacing/>
              <w:jc w:val="center"/>
              <w:rPr>
                <w:i/>
                <w:sz w:val="20"/>
                <w:szCs w:val="20"/>
              </w:rPr>
            </w:pPr>
            <w:r w:rsidRPr="00F6205B">
              <w:rPr>
                <w:i/>
                <w:sz w:val="20"/>
                <w:szCs w:val="20"/>
              </w:rPr>
              <w:t>51</w:t>
            </w:r>
            <w:r w:rsidR="00144E33" w:rsidRPr="00F6205B">
              <w:rPr>
                <w:i/>
                <w:sz w:val="20"/>
                <w:szCs w:val="20"/>
              </w:rPr>
              <w:t>%</w:t>
            </w:r>
          </w:p>
        </w:tc>
        <w:tc>
          <w:tcPr>
            <w:tcW w:w="1159" w:type="dxa"/>
            <w:tcBorders>
              <w:left w:val="single" w:sz="4" w:space="0" w:color="auto"/>
              <w:bottom w:val="single" w:sz="4" w:space="0" w:color="auto"/>
              <w:right w:val="single" w:sz="4" w:space="0" w:color="auto"/>
            </w:tcBorders>
            <w:vAlign w:val="center"/>
          </w:tcPr>
          <w:p w14:paraId="039F599C" w14:textId="15BBD3B4" w:rsidR="00CD5957" w:rsidRPr="00F6205B" w:rsidRDefault="00375C45" w:rsidP="004F23CF">
            <w:pPr>
              <w:keepNext/>
              <w:keepLines/>
              <w:tabs>
                <w:tab w:val="decimal" w:pos="631"/>
              </w:tabs>
              <w:contextualSpacing/>
              <w:jc w:val="center"/>
              <w:rPr>
                <w:i/>
                <w:sz w:val="20"/>
                <w:szCs w:val="20"/>
              </w:rPr>
            </w:pPr>
            <w:r w:rsidRPr="00F6205B">
              <w:rPr>
                <w:i/>
                <w:sz w:val="20"/>
                <w:szCs w:val="20"/>
              </w:rPr>
              <w:t>100</w:t>
            </w:r>
            <w:r w:rsidR="00144E33" w:rsidRPr="00F6205B">
              <w:rPr>
                <w:i/>
                <w:sz w:val="20"/>
                <w:szCs w:val="20"/>
              </w:rPr>
              <w:t>%</w:t>
            </w:r>
          </w:p>
        </w:tc>
      </w:tr>
      <w:tr w:rsidR="00A90CAF" w:rsidRPr="00F6205B" w14:paraId="6BC9182E" w14:textId="133D60E9" w:rsidTr="00A90CAF">
        <w:trPr>
          <w:trHeight w:val="288"/>
          <w:jc w:val="center"/>
        </w:trPr>
        <w:tc>
          <w:tcPr>
            <w:tcW w:w="8739" w:type="dxa"/>
            <w:gridSpan w:val="7"/>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34BB76B4" w14:textId="7927AF46" w:rsidR="00A90CAF" w:rsidRPr="00F6205B" w:rsidRDefault="00C44244" w:rsidP="004F23CF">
            <w:pPr>
              <w:keepNext/>
              <w:keepLines/>
              <w:contextualSpacing/>
              <w:jc w:val="center"/>
              <w:rPr>
                <w:b/>
                <w:color w:val="FFFFFF" w:themeColor="background1"/>
                <w:sz w:val="20"/>
                <w:szCs w:val="20"/>
              </w:rPr>
            </w:pPr>
            <w:r>
              <w:rPr>
                <w:b/>
                <w:color w:val="FFFFFF" w:themeColor="background1"/>
                <w:sz w:val="20"/>
                <w:szCs w:val="20"/>
              </w:rPr>
              <w:t>Year Ten (2025</w:t>
            </w:r>
            <w:r w:rsidR="00A90CAF" w:rsidRPr="00F6205B">
              <w:rPr>
                <w:b/>
                <w:color w:val="FFFFFF" w:themeColor="background1"/>
                <w:sz w:val="20"/>
                <w:szCs w:val="20"/>
              </w:rPr>
              <w:t xml:space="preserve">) Achievable Savings </w:t>
            </w:r>
          </w:p>
        </w:tc>
      </w:tr>
      <w:tr w:rsidR="00CD5957" w:rsidRPr="00F6205B" w14:paraId="61BDD4E4" w14:textId="16C5A9BD" w:rsidTr="00CD5957">
        <w:trPr>
          <w:trHeight w:val="288"/>
          <w:jc w:val="center"/>
        </w:trPr>
        <w:tc>
          <w:tcPr>
            <w:tcW w:w="1965" w:type="dxa"/>
            <w:tcBorders>
              <w:top w:val="single" w:sz="4" w:space="0" w:color="auto"/>
              <w:left w:val="single" w:sz="4" w:space="0" w:color="auto"/>
              <w:right w:val="single" w:sz="4" w:space="0" w:color="000000" w:themeColor="text1"/>
            </w:tcBorders>
            <w:vAlign w:val="center"/>
          </w:tcPr>
          <w:p w14:paraId="1CB1931A" w14:textId="77777777" w:rsidR="00CD5957" w:rsidRPr="00F6205B" w:rsidRDefault="00CD5957" w:rsidP="004F23CF">
            <w:pPr>
              <w:keepNext/>
              <w:keepLines/>
              <w:contextualSpacing/>
              <w:rPr>
                <w:sz w:val="20"/>
                <w:szCs w:val="20"/>
              </w:rPr>
            </w:pPr>
            <w:r w:rsidRPr="00F6205B">
              <w:rPr>
                <w:sz w:val="20"/>
                <w:szCs w:val="20"/>
              </w:rPr>
              <w:t>Heating</w:t>
            </w:r>
          </w:p>
        </w:tc>
        <w:tc>
          <w:tcPr>
            <w:tcW w:w="1099" w:type="dxa"/>
            <w:tcBorders>
              <w:top w:val="single" w:sz="4" w:space="0" w:color="auto"/>
              <w:right w:val="single" w:sz="4" w:space="0" w:color="000000" w:themeColor="text1"/>
            </w:tcBorders>
            <w:vAlign w:val="center"/>
          </w:tcPr>
          <w:p w14:paraId="6364FF9F" w14:textId="4868FB6B" w:rsidR="00CD5957" w:rsidRPr="00F6205B" w:rsidRDefault="00375C45" w:rsidP="004F23CF">
            <w:pPr>
              <w:keepNext/>
              <w:keepLines/>
              <w:tabs>
                <w:tab w:val="decimal" w:pos="403"/>
              </w:tabs>
              <w:contextualSpacing/>
              <w:jc w:val="center"/>
              <w:rPr>
                <w:sz w:val="20"/>
                <w:szCs w:val="20"/>
              </w:rPr>
            </w:pPr>
            <w:r w:rsidRPr="00F6205B">
              <w:rPr>
                <w:sz w:val="20"/>
                <w:szCs w:val="20"/>
              </w:rPr>
              <w:t>50</w:t>
            </w:r>
            <w:r w:rsidR="00CD5957" w:rsidRPr="00F6205B">
              <w:rPr>
                <w:sz w:val="20"/>
                <w:szCs w:val="20"/>
              </w:rPr>
              <w:t>%</w:t>
            </w:r>
          </w:p>
        </w:tc>
        <w:tc>
          <w:tcPr>
            <w:tcW w:w="1099" w:type="dxa"/>
            <w:tcBorders>
              <w:top w:val="single" w:sz="4" w:space="0" w:color="auto"/>
              <w:right w:val="single" w:sz="4" w:space="0" w:color="000000" w:themeColor="text1"/>
            </w:tcBorders>
            <w:vAlign w:val="center"/>
          </w:tcPr>
          <w:p w14:paraId="34AF52ED" w14:textId="2C8C4FD3" w:rsidR="00CD5957" w:rsidRPr="00F6205B" w:rsidRDefault="00375C45" w:rsidP="004F23CF">
            <w:pPr>
              <w:keepNext/>
              <w:keepLines/>
              <w:tabs>
                <w:tab w:val="decimal" w:pos="339"/>
              </w:tabs>
              <w:contextualSpacing/>
              <w:jc w:val="center"/>
              <w:rPr>
                <w:sz w:val="20"/>
                <w:szCs w:val="20"/>
              </w:rPr>
            </w:pPr>
            <w:r w:rsidRPr="00F6205B">
              <w:rPr>
                <w:sz w:val="20"/>
                <w:szCs w:val="20"/>
              </w:rPr>
              <w:t>25</w:t>
            </w:r>
            <w:r w:rsidR="00CD5957" w:rsidRPr="00F6205B">
              <w:rPr>
                <w:sz w:val="20"/>
                <w:szCs w:val="20"/>
              </w:rPr>
              <w:t>%</w:t>
            </w:r>
          </w:p>
        </w:tc>
        <w:tc>
          <w:tcPr>
            <w:tcW w:w="1099" w:type="dxa"/>
            <w:tcBorders>
              <w:top w:val="single" w:sz="4" w:space="0" w:color="auto"/>
              <w:right w:val="single" w:sz="4" w:space="0" w:color="000000" w:themeColor="text1"/>
            </w:tcBorders>
            <w:vAlign w:val="center"/>
          </w:tcPr>
          <w:p w14:paraId="450D119C" w14:textId="007FEFCE" w:rsidR="00CD5957" w:rsidRPr="00F6205B" w:rsidRDefault="00375C45" w:rsidP="004F23CF">
            <w:pPr>
              <w:keepNext/>
              <w:keepLines/>
              <w:tabs>
                <w:tab w:val="decimal" w:pos="395"/>
              </w:tabs>
              <w:contextualSpacing/>
              <w:jc w:val="center"/>
              <w:rPr>
                <w:sz w:val="20"/>
                <w:szCs w:val="20"/>
              </w:rPr>
            </w:pPr>
            <w:r w:rsidRPr="00F6205B">
              <w:rPr>
                <w:sz w:val="20"/>
                <w:szCs w:val="20"/>
              </w:rPr>
              <w:t>2</w:t>
            </w:r>
            <w:r w:rsidR="00CD5957" w:rsidRPr="00F6205B">
              <w:rPr>
                <w:sz w:val="20"/>
                <w:szCs w:val="20"/>
              </w:rPr>
              <w:t>%</w:t>
            </w:r>
          </w:p>
        </w:tc>
        <w:tc>
          <w:tcPr>
            <w:tcW w:w="1159" w:type="dxa"/>
            <w:tcBorders>
              <w:top w:val="single" w:sz="4" w:space="0" w:color="auto"/>
              <w:left w:val="single" w:sz="4" w:space="0" w:color="000000" w:themeColor="text1"/>
              <w:right w:val="single" w:sz="4" w:space="0" w:color="auto"/>
            </w:tcBorders>
            <w:vAlign w:val="center"/>
          </w:tcPr>
          <w:p w14:paraId="21695A67" w14:textId="51DFD6CA" w:rsidR="00CD5957" w:rsidRPr="00F6205B" w:rsidRDefault="00375C45" w:rsidP="004F23CF">
            <w:pPr>
              <w:keepNext/>
              <w:keepLines/>
              <w:tabs>
                <w:tab w:val="decimal" w:pos="631"/>
              </w:tabs>
              <w:contextualSpacing/>
              <w:jc w:val="center"/>
              <w:rPr>
                <w:sz w:val="20"/>
                <w:szCs w:val="20"/>
              </w:rPr>
            </w:pPr>
            <w:r w:rsidRPr="00F6205B">
              <w:rPr>
                <w:sz w:val="20"/>
                <w:szCs w:val="20"/>
              </w:rPr>
              <w:t>2</w:t>
            </w:r>
            <w:r w:rsidR="00CD5957" w:rsidRPr="00F6205B">
              <w:rPr>
                <w:sz w:val="20"/>
                <w:szCs w:val="20"/>
              </w:rPr>
              <w:t>%</w:t>
            </w:r>
          </w:p>
        </w:tc>
        <w:tc>
          <w:tcPr>
            <w:tcW w:w="1159" w:type="dxa"/>
            <w:tcBorders>
              <w:top w:val="single" w:sz="4" w:space="0" w:color="auto"/>
              <w:left w:val="single" w:sz="4" w:space="0" w:color="auto"/>
              <w:right w:val="single" w:sz="4" w:space="0" w:color="auto"/>
            </w:tcBorders>
            <w:vAlign w:val="center"/>
          </w:tcPr>
          <w:p w14:paraId="01A65235" w14:textId="3B9E4373" w:rsidR="00CD5957" w:rsidRPr="00F6205B" w:rsidRDefault="00375C45" w:rsidP="004F23CF">
            <w:pPr>
              <w:keepNext/>
              <w:keepLines/>
              <w:tabs>
                <w:tab w:val="decimal" w:pos="631"/>
              </w:tabs>
              <w:contextualSpacing/>
              <w:jc w:val="center"/>
              <w:rPr>
                <w:sz w:val="20"/>
                <w:szCs w:val="20"/>
              </w:rPr>
            </w:pPr>
            <w:r w:rsidRPr="00F6205B">
              <w:rPr>
                <w:sz w:val="20"/>
                <w:szCs w:val="20"/>
              </w:rPr>
              <w:t>77</w:t>
            </w:r>
            <w:r w:rsidR="00C97EAE" w:rsidRPr="00F6205B">
              <w:rPr>
                <w:sz w:val="20"/>
                <w:szCs w:val="20"/>
              </w:rPr>
              <w:t>%</w:t>
            </w:r>
          </w:p>
        </w:tc>
        <w:tc>
          <w:tcPr>
            <w:tcW w:w="1159" w:type="dxa"/>
            <w:tcBorders>
              <w:top w:val="single" w:sz="4" w:space="0" w:color="auto"/>
              <w:left w:val="single" w:sz="4" w:space="0" w:color="auto"/>
              <w:right w:val="single" w:sz="4" w:space="0" w:color="auto"/>
            </w:tcBorders>
            <w:vAlign w:val="center"/>
          </w:tcPr>
          <w:p w14:paraId="380D830A" w14:textId="7EBC1EF0" w:rsidR="00CD5957" w:rsidRPr="00F6205B" w:rsidRDefault="00375C45" w:rsidP="004F23CF">
            <w:pPr>
              <w:keepNext/>
              <w:keepLines/>
              <w:tabs>
                <w:tab w:val="decimal" w:pos="631"/>
              </w:tabs>
              <w:contextualSpacing/>
              <w:jc w:val="center"/>
              <w:rPr>
                <w:sz w:val="20"/>
                <w:szCs w:val="20"/>
              </w:rPr>
            </w:pPr>
            <w:r w:rsidRPr="00F6205B">
              <w:rPr>
                <w:sz w:val="20"/>
                <w:szCs w:val="20"/>
              </w:rPr>
              <w:t>78</w:t>
            </w:r>
            <w:r w:rsidR="00144E33" w:rsidRPr="00F6205B">
              <w:rPr>
                <w:sz w:val="20"/>
                <w:szCs w:val="20"/>
              </w:rPr>
              <w:t>%</w:t>
            </w:r>
          </w:p>
        </w:tc>
      </w:tr>
      <w:tr w:rsidR="00CD5957" w:rsidRPr="00F6205B" w14:paraId="0B4FE29D" w14:textId="7968E621" w:rsidTr="00CD5957">
        <w:trPr>
          <w:trHeight w:val="288"/>
          <w:jc w:val="center"/>
        </w:trPr>
        <w:tc>
          <w:tcPr>
            <w:tcW w:w="1965" w:type="dxa"/>
            <w:tcBorders>
              <w:left w:val="single" w:sz="4" w:space="0" w:color="auto"/>
              <w:right w:val="single" w:sz="4" w:space="0" w:color="000000" w:themeColor="text1"/>
            </w:tcBorders>
            <w:vAlign w:val="center"/>
          </w:tcPr>
          <w:p w14:paraId="4A9D26DD" w14:textId="77777777" w:rsidR="00CD5957" w:rsidRPr="00F6205B" w:rsidRDefault="00CD5957" w:rsidP="004F23CF">
            <w:pPr>
              <w:keepNext/>
              <w:keepLines/>
              <w:contextualSpacing/>
              <w:rPr>
                <w:sz w:val="20"/>
                <w:szCs w:val="20"/>
              </w:rPr>
            </w:pPr>
            <w:r w:rsidRPr="00F6205B">
              <w:rPr>
                <w:sz w:val="20"/>
                <w:szCs w:val="20"/>
              </w:rPr>
              <w:t>Cooling</w:t>
            </w:r>
          </w:p>
        </w:tc>
        <w:tc>
          <w:tcPr>
            <w:tcW w:w="1099" w:type="dxa"/>
            <w:tcBorders>
              <w:right w:val="single" w:sz="4" w:space="0" w:color="000000" w:themeColor="text1"/>
            </w:tcBorders>
            <w:vAlign w:val="center"/>
          </w:tcPr>
          <w:p w14:paraId="09E8C5AE" w14:textId="77777777" w:rsidR="00CD5957" w:rsidRPr="00F6205B" w:rsidRDefault="00CD5957" w:rsidP="004F23CF">
            <w:pPr>
              <w:keepNext/>
              <w:keepLines/>
              <w:tabs>
                <w:tab w:val="decimal" w:pos="358"/>
              </w:tabs>
              <w:contextualSpacing/>
              <w:jc w:val="center"/>
              <w:rPr>
                <w:sz w:val="20"/>
                <w:szCs w:val="20"/>
              </w:rPr>
            </w:pPr>
            <w:r w:rsidRPr="00F6205B">
              <w:rPr>
                <w:sz w:val="20"/>
                <w:szCs w:val="20"/>
              </w:rPr>
              <w:t>--</w:t>
            </w:r>
          </w:p>
        </w:tc>
        <w:tc>
          <w:tcPr>
            <w:tcW w:w="1099" w:type="dxa"/>
            <w:tcBorders>
              <w:right w:val="single" w:sz="4" w:space="0" w:color="000000" w:themeColor="text1"/>
            </w:tcBorders>
            <w:vAlign w:val="center"/>
          </w:tcPr>
          <w:p w14:paraId="41F44C13" w14:textId="77777777" w:rsidR="00CD5957" w:rsidRPr="00F6205B" w:rsidRDefault="00CD5957" w:rsidP="004F23CF">
            <w:pPr>
              <w:keepNext/>
              <w:keepLines/>
              <w:tabs>
                <w:tab w:val="decimal" w:pos="339"/>
              </w:tabs>
              <w:contextualSpacing/>
              <w:jc w:val="center"/>
              <w:rPr>
                <w:sz w:val="20"/>
                <w:szCs w:val="20"/>
              </w:rPr>
            </w:pPr>
            <w:r w:rsidRPr="00F6205B">
              <w:rPr>
                <w:sz w:val="20"/>
                <w:szCs w:val="20"/>
              </w:rPr>
              <w:t>--</w:t>
            </w:r>
          </w:p>
        </w:tc>
        <w:tc>
          <w:tcPr>
            <w:tcW w:w="1099" w:type="dxa"/>
            <w:tcBorders>
              <w:right w:val="single" w:sz="4" w:space="0" w:color="000000" w:themeColor="text1"/>
            </w:tcBorders>
            <w:vAlign w:val="center"/>
          </w:tcPr>
          <w:p w14:paraId="541740A7" w14:textId="77777777" w:rsidR="00CD5957" w:rsidRPr="00F6205B" w:rsidRDefault="00CD5957" w:rsidP="004F23CF">
            <w:pPr>
              <w:keepNext/>
              <w:keepLines/>
              <w:tabs>
                <w:tab w:val="decimal" w:pos="395"/>
              </w:tabs>
              <w:contextualSpacing/>
              <w:jc w:val="center"/>
              <w:rPr>
                <w:sz w:val="20"/>
                <w:szCs w:val="20"/>
              </w:rPr>
            </w:pPr>
            <w:r w:rsidRPr="00F6205B">
              <w:rPr>
                <w:sz w:val="20"/>
                <w:szCs w:val="20"/>
              </w:rPr>
              <w:t>--</w:t>
            </w:r>
          </w:p>
        </w:tc>
        <w:tc>
          <w:tcPr>
            <w:tcW w:w="1159" w:type="dxa"/>
            <w:tcBorders>
              <w:left w:val="single" w:sz="4" w:space="0" w:color="000000" w:themeColor="text1"/>
              <w:right w:val="single" w:sz="4" w:space="0" w:color="auto"/>
            </w:tcBorders>
            <w:vAlign w:val="center"/>
          </w:tcPr>
          <w:p w14:paraId="1B183903" w14:textId="53EB903F" w:rsidR="00CD5957" w:rsidRPr="00F6205B" w:rsidRDefault="00375C45" w:rsidP="004F23CF">
            <w:pPr>
              <w:keepNext/>
              <w:keepLines/>
              <w:tabs>
                <w:tab w:val="decimal" w:pos="631"/>
              </w:tabs>
              <w:contextualSpacing/>
              <w:jc w:val="center"/>
              <w:rPr>
                <w:sz w:val="20"/>
                <w:szCs w:val="20"/>
              </w:rPr>
            </w:pPr>
            <w:r w:rsidRPr="00F6205B">
              <w:rPr>
                <w:sz w:val="20"/>
                <w:szCs w:val="20"/>
              </w:rPr>
              <w:t>1</w:t>
            </w:r>
            <w:r w:rsidR="00CD5957" w:rsidRPr="00F6205B">
              <w:rPr>
                <w:sz w:val="20"/>
                <w:szCs w:val="20"/>
              </w:rPr>
              <w:t>%</w:t>
            </w:r>
          </w:p>
        </w:tc>
        <w:tc>
          <w:tcPr>
            <w:tcW w:w="1159" w:type="dxa"/>
            <w:tcBorders>
              <w:left w:val="single" w:sz="4" w:space="0" w:color="auto"/>
              <w:right w:val="single" w:sz="4" w:space="0" w:color="auto"/>
            </w:tcBorders>
            <w:vAlign w:val="center"/>
          </w:tcPr>
          <w:p w14:paraId="455D5667" w14:textId="058E07B3" w:rsidR="00CD5957" w:rsidRPr="00F6205B" w:rsidRDefault="00144E33" w:rsidP="004F23CF">
            <w:pPr>
              <w:keepNext/>
              <w:keepLines/>
              <w:tabs>
                <w:tab w:val="decimal" w:pos="631"/>
              </w:tabs>
              <w:contextualSpacing/>
              <w:jc w:val="center"/>
              <w:rPr>
                <w:sz w:val="20"/>
                <w:szCs w:val="20"/>
              </w:rPr>
            </w:pPr>
            <w:r w:rsidRPr="00F6205B">
              <w:rPr>
                <w:sz w:val="20"/>
                <w:szCs w:val="20"/>
              </w:rPr>
              <w:t>--</w:t>
            </w:r>
          </w:p>
        </w:tc>
        <w:tc>
          <w:tcPr>
            <w:tcW w:w="1159" w:type="dxa"/>
            <w:tcBorders>
              <w:left w:val="single" w:sz="4" w:space="0" w:color="auto"/>
              <w:right w:val="single" w:sz="4" w:space="0" w:color="auto"/>
            </w:tcBorders>
            <w:vAlign w:val="center"/>
          </w:tcPr>
          <w:p w14:paraId="4851757A" w14:textId="0BD40F4C" w:rsidR="00CD5957" w:rsidRPr="00F6205B" w:rsidRDefault="00375C45" w:rsidP="004F23CF">
            <w:pPr>
              <w:keepNext/>
              <w:keepLines/>
              <w:tabs>
                <w:tab w:val="decimal" w:pos="631"/>
              </w:tabs>
              <w:contextualSpacing/>
              <w:jc w:val="center"/>
              <w:rPr>
                <w:sz w:val="20"/>
                <w:szCs w:val="20"/>
              </w:rPr>
            </w:pPr>
            <w:r w:rsidRPr="00F6205B">
              <w:rPr>
                <w:sz w:val="20"/>
                <w:szCs w:val="20"/>
              </w:rPr>
              <w:t>1</w:t>
            </w:r>
            <w:r w:rsidR="00144E33" w:rsidRPr="00F6205B">
              <w:rPr>
                <w:sz w:val="20"/>
                <w:szCs w:val="20"/>
              </w:rPr>
              <w:t>%</w:t>
            </w:r>
          </w:p>
        </w:tc>
      </w:tr>
      <w:tr w:rsidR="00CD5957" w:rsidRPr="00F6205B" w14:paraId="78FBB7CB" w14:textId="78149BF7" w:rsidTr="00CD5957">
        <w:trPr>
          <w:trHeight w:val="288"/>
          <w:jc w:val="center"/>
        </w:trPr>
        <w:tc>
          <w:tcPr>
            <w:tcW w:w="1965" w:type="dxa"/>
            <w:tcBorders>
              <w:left w:val="single" w:sz="4" w:space="0" w:color="auto"/>
              <w:right w:val="single" w:sz="4" w:space="0" w:color="000000" w:themeColor="text1"/>
            </w:tcBorders>
            <w:vAlign w:val="center"/>
          </w:tcPr>
          <w:p w14:paraId="12B54F32" w14:textId="77777777" w:rsidR="00CD5957" w:rsidRPr="00F6205B" w:rsidRDefault="00CD5957" w:rsidP="004F23CF">
            <w:pPr>
              <w:keepNext/>
              <w:keepLines/>
              <w:contextualSpacing/>
              <w:rPr>
                <w:sz w:val="20"/>
                <w:szCs w:val="20"/>
              </w:rPr>
            </w:pPr>
            <w:r w:rsidRPr="00F6205B">
              <w:rPr>
                <w:sz w:val="20"/>
                <w:szCs w:val="20"/>
              </w:rPr>
              <w:t>Water heating</w:t>
            </w:r>
          </w:p>
        </w:tc>
        <w:tc>
          <w:tcPr>
            <w:tcW w:w="1099" w:type="dxa"/>
            <w:tcBorders>
              <w:right w:val="single" w:sz="4" w:space="0" w:color="000000" w:themeColor="text1"/>
            </w:tcBorders>
            <w:vAlign w:val="center"/>
          </w:tcPr>
          <w:p w14:paraId="50ABE071" w14:textId="15E0E0E0" w:rsidR="00CD5957" w:rsidRPr="00F6205B" w:rsidRDefault="00375C45" w:rsidP="004F23CF">
            <w:pPr>
              <w:keepNext/>
              <w:keepLines/>
              <w:tabs>
                <w:tab w:val="decimal" w:pos="403"/>
              </w:tabs>
              <w:contextualSpacing/>
              <w:jc w:val="center"/>
              <w:rPr>
                <w:sz w:val="20"/>
                <w:szCs w:val="20"/>
              </w:rPr>
            </w:pPr>
            <w:r w:rsidRPr="00F6205B">
              <w:rPr>
                <w:sz w:val="20"/>
                <w:szCs w:val="20"/>
              </w:rPr>
              <w:t>2</w:t>
            </w:r>
            <w:r w:rsidR="00CD5957" w:rsidRPr="00F6205B">
              <w:rPr>
                <w:sz w:val="20"/>
                <w:szCs w:val="20"/>
              </w:rPr>
              <w:t>%</w:t>
            </w:r>
          </w:p>
        </w:tc>
        <w:tc>
          <w:tcPr>
            <w:tcW w:w="1099" w:type="dxa"/>
            <w:tcBorders>
              <w:right w:val="single" w:sz="4" w:space="0" w:color="000000" w:themeColor="text1"/>
            </w:tcBorders>
            <w:vAlign w:val="center"/>
          </w:tcPr>
          <w:p w14:paraId="6CCE407D" w14:textId="50A96B87" w:rsidR="00CD5957" w:rsidRPr="00F6205B" w:rsidRDefault="00375C45" w:rsidP="004F23CF">
            <w:pPr>
              <w:keepNext/>
              <w:keepLines/>
              <w:tabs>
                <w:tab w:val="decimal" w:pos="339"/>
              </w:tabs>
              <w:contextualSpacing/>
              <w:jc w:val="center"/>
              <w:rPr>
                <w:sz w:val="20"/>
                <w:szCs w:val="20"/>
              </w:rPr>
            </w:pPr>
            <w:r w:rsidRPr="00F6205B">
              <w:rPr>
                <w:sz w:val="20"/>
                <w:szCs w:val="20"/>
              </w:rPr>
              <w:t>1</w:t>
            </w:r>
            <w:r w:rsidR="00CD5957" w:rsidRPr="00F6205B">
              <w:rPr>
                <w:sz w:val="20"/>
                <w:szCs w:val="20"/>
              </w:rPr>
              <w:t>%</w:t>
            </w:r>
          </w:p>
        </w:tc>
        <w:tc>
          <w:tcPr>
            <w:tcW w:w="1099" w:type="dxa"/>
            <w:tcBorders>
              <w:right w:val="single" w:sz="4" w:space="0" w:color="000000" w:themeColor="text1"/>
            </w:tcBorders>
            <w:vAlign w:val="center"/>
          </w:tcPr>
          <w:p w14:paraId="3F8CFBC3" w14:textId="2E377E2F" w:rsidR="00CD5957" w:rsidRPr="00F6205B" w:rsidRDefault="00375C45" w:rsidP="004F23CF">
            <w:pPr>
              <w:keepNext/>
              <w:keepLines/>
              <w:tabs>
                <w:tab w:val="decimal" w:pos="395"/>
              </w:tabs>
              <w:contextualSpacing/>
              <w:jc w:val="center"/>
              <w:rPr>
                <w:sz w:val="20"/>
                <w:szCs w:val="20"/>
              </w:rPr>
            </w:pPr>
            <w:r w:rsidRPr="00F6205B">
              <w:rPr>
                <w:sz w:val="20"/>
                <w:szCs w:val="20"/>
              </w:rPr>
              <w:t>&lt; 1</w:t>
            </w:r>
            <w:r w:rsidR="00CD5957" w:rsidRPr="00F6205B">
              <w:rPr>
                <w:sz w:val="20"/>
                <w:szCs w:val="20"/>
              </w:rPr>
              <w:t>%</w:t>
            </w:r>
          </w:p>
        </w:tc>
        <w:tc>
          <w:tcPr>
            <w:tcW w:w="1159" w:type="dxa"/>
            <w:tcBorders>
              <w:left w:val="single" w:sz="4" w:space="0" w:color="000000" w:themeColor="text1"/>
              <w:right w:val="single" w:sz="4" w:space="0" w:color="auto"/>
            </w:tcBorders>
            <w:vAlign w:val="center"/>
          </w:tcPr>
          <w:p w14:paraId="1EA34787" w14:textId="1D4C5B54" w:rsidR="00CD5957" w:rsidRPr="00F6205B" w:rsidRDefault="00375C45" w:rsidP="004F23CF">
            <w:pPr>
              <w:keepNext/>
              <w:keepLines/>
              <w:tabs>
                <w:tab w:val="decimal" w:pos="631"/>
              </w:tabs>
              <w:contextualSpacing/>
              <w:jc w:val="center"/>
              <w:rPr>
                <w:sz w:val="20"/>
                <w:szCs w:val="20"/>
              </w:rPr>
            </w:pPr>
            <w:r w:rsidRPr="00F6205B">
              <w:rPr>
                <w:sz w:val="20"/>
                <w:szCs w:val="20"/>
              </w:rPr>
              <w:t>3</w:t>
            </w:r>
            <w:r w:rsidR="00CD5957" w:rsidRPr="00F6205B">
              <w:rPr>
                <w:sz w:val="20"/>
                <w:szCs w:val="20"/>
              </w:rPr>
              <w:t>%</w:t>
            </w:r>
          </w:p>
        </w:tc>
        <w:tc>
          <w:tcPr>
            <w:tcW w:w="1159" w:type="dxa"/>
            <w:tcBorders>
              <w:left w:val="single" w:sz="4" w:space="0" w:color="auto"/>
              <w:right w:val="single" w:sz="4" w:space="0" w:color="auto"/>
            </w:tcBorders>
            <w:vAlign w:val="center"/>
          </w:tcPr>
          <w:p w14:paraId="2DA0FBAE" w14:textId="06CD0E27" w:rsidR="00CD5957" w:rsidRPr="00F6205B" w:rsidRDefault="00375C45" w:rsidP="004F23CF">
            <w:pPr>
              <w:keepNext/>
              <w:keepLines/>
              <w:tabs>
                <w:tab w:val="decimal" w:pos="631"/>
              </w:tabs>
              <w:contextualSpacing/>
              <w:jc w:val="center"/>
              <w:rPr>
                <w:sz w:val="20"/>
                <w:szCs w:val="20"/>
              </w:rPr>
            </w:pPr>
            <w:r w:rsidRPr="00F6205B">
              <w:rPr>
                <w:sz w:val="20"/>
                <w:szCs w:val="20"/>
              </w:rPr>
              <w:t>4</w:t>
            </w:r>
            <w:r w:rsidR="00C97EAE" w:rsidRPr="00F6205B">
              <w:rPr>
                <w:sz w:val="20"/>
                <w:szCs w:val="20"/>
              </w:rPr>
              <w:t>%</w:t>
            </w:r>
          </w:p>
        </w:tc>
        <w:tc>
          <w:tcPr>
            <w:tcW w:w="1159" w:type="dxa"/>
            <w:tcBorders>
              <w:left w:val="single" w:sz="4" w:space="0" w:color="auto"/>
              <w:right w:val="single" w:sz="4" w:space="0" w:color="auto"/>
            </w:tcBorders>
            <w:vAlign w:val="center"/>
          </w:tcPr>
          <w:p w14:paraId="49B039FB" w14:textId="50E65566" w:rsidR="00CD5957" w:rsidRPr="00F6205B" w:rsidRDefault="00375C45" w:rsidP="004F23CF">
            <w:pPr>
              <w:keepNext/>
              <w:keepLines/>
              <w:tabs>
                <w:tab w:val="decimal" w:pos="631"/>
              </w:tabs>
              <w:contextualSpacing/>
              <w:jc w:val="center"/>
              <w:rPr>
                <w:sz w:val="20"/>
                <w:szCs w:val="20"/>
              </w:rPr>
            </w:pPr>
            <w:r w:rsidRPr="00F6205B">
              <w:rPr>
                <w:sz w:val="20"/>
                <w:szCs w:val="20"/>
              </w:rPr>
              <w:t>6</w:t>
            </w:r>
            <w:r w:rsidR="00144E33" w:rsidRPr="00F6205B">
              <w:rPr>
                <w:sz w:val="20"/>
                <w:szCs w:val="20"/>
              </w:rPr>
              <w:t>%</w:t>
            </w:r>
          </w:p>
        </w:tc>
      </w:tr>
      <w:tr w:rsidR="00CD5957" w:rsidRPr="00F6205B" w14:paraId="5C4D1A54" w14:textId="08AD37B7" w:rsidTr="00CD5957">
        <w:trPr>
          <w:trHeight w:val="288"/>
          <w:jc w:val="center"/>
        </w:trPr>
        <w:tc>
          <w:tcPr>
            <w:tcW w:w="1965" w:type="dxa"/>
            <w:tcBorders>
              <w:left w:val="single" w:sz="4" w:space="0" w:color="auto"/>
              <w:right w:val="single" w:sz="4" w:space="0" w:color="000000" w:themeColor="text1"/>
            </w:tcBorders>
            <w:vAlign w:val="center"/>
          </w:tcPr>
          <w:p w14:paraId="6BC6D7F6" w14:textId="77777777" w:rsidR="00CD5957" w:rsidRPr="00F6205B" w:rsidRDefault="00CD5957" w:rsidP="004F23CF">
            <w:pPr>
              <w:keepNext/>
              <w:keepLines/>
              <w:contextualSpacing/>
              <w:rPr>
                <w:sz w:val="20"/>
                <w:szCs w:val="20"/>
              </w:rPr>
            </w:pPr>
            <w:r w:rsidRPr="00F6205B">
              <w:rPr>
                <w:sz w:val="20"/>
                <w:szCs w:val="20"/>
              </w:rPr>
              <w:t>Lights &amp; appliances</w:t>
            </w:r>
          </w:p>
        </w:tc>
        <w:tc>
          <w:tcPr>
            <w:tcW w:w="1099" w:type="dxa"/>
            <w:tcBorders>
              <w:right w:val="single" w:sz="4" w:space="0" w:color="000000" w:themeColor="text1"/>
            </w:tcBorders>
            <w:vAlign w:val="center"/>
          </w:tcPr>
          <w:p w14:paraId="4657E3E4" w14:textId="77777777" w:rsidR="00CD5957" w:rsidRPr="00F6205B" w:rsidRDefault="00CD5957" w:rsidP="004F23CF">
            <w:pPr>
              <w:keepNext/>
              <w:keepLines/>
              <w:tabs>
                <w:tab w:val="decimal" w:pos="358"/>
              </w:tabs>
              <w:contextualSpacing/>
              <w:jc w:val="center"/>
              <w:rPr>
                <w:sz w:val="20"/>
                <w:szCs w:val="20"/>
              </w:rPr>
            </w:pPr>
            <w:r w:rsidRPr="00F6205B">
              <w:rPr>
                <w:sz w:val="20"/>
                <w:szCs w:val="20"/>
              </w:rPr>
              <w:t>--</w:t>
            </w:r>
          </w:p>
        </w:tc>
        <w:tc>
          <w:tcPr>
            <w:tcW w:w="1099" w:type="dxa"/>
            <w:tcBorders>
              <w:right w:val="single" w:sz="4" w:space="0" w:color="000000" w:themeColor="text1"/>
            </w:tcBorders>
            <w:vAlign w:val="center"/>
          </w:tcPr>
          <w:p w14:paraId="34CE6E7B" w14:textId="77777777" w:rsidR="00CD5957" w:rsidRPr="00F6205B" w:rsidRDefault="00CD5957" w:rsidP="004F23CF">
            <w:pPr>
              <w:keepNext/>
              <w:keepLines/>
              <w:tabs>
                <w:tab w:val="decimal" w:pos="339"/>
              </w:tabs>
              <w:contextualSpacing/>
              <w:jc w:val="center"/>
              <w:rPr>
                <w:sz w:val="20"/>
                <w:szCs w:val="20"/>
              </w:rPr>
            </w:pPr>
            <w:r w:rsidRPr="00F6205B">
              <w:rPr>
                <w:sz w:val="20"/>
                <w:szCs w:val="20"/>
              </w:rPr>
              <w:t>--</w:t>
            </w:r>
          </w:p>
        </w:tc>
        <w:tc>
          <w:tcPr>
            <w:tcW w:w="1099" w:type="dxa"/>
            <w:tcBorders>
              <w:right w:val="single" w:sz="4" w:space="0" w:color="000000" w:themeColor="text1"/>
            </w:tcBorders>
            <w:vAlign w:val="center"/>
          </w:tcPr>
          <w:p w14:paraId="6E71378D" w14:textId="77777777" w:rsidR="00CD5957" w:rsidRPr="00F6205B" w:rsidRDefault="00CD5957" w:rsidP="004F23CF">
            <w:pPr>
              <w:keepNext/>
              <w:keepLines/>
              <w:tabs>
                <w:tab w:val="decimal" w:pos="395"/>
              </w:tabs>
              <w:contextualSpacing/>
              <w:jc w:val="center"/>
              <w:rPr>
                <w:sz w:val="20"/>
                <w:szCs w:val="20"/>
              </w:rPr>
            </w:pPr>
            <w:r w:rsidRPr="00F6205B">
              <w:rPr>
                <w:sz w:val="20"/>
                <w:szCs w:val="20"/>
              </w:rPr>
              <w:t>--</w:t>
            </w:r>
          </w:p>
        </w:tc>
        <w:tc>
          <w:tcPr>
            <w:tcW w:w="1159" w:type="dxa"/>
            <w:tcBorders>
              <w:left w:val="single" w:sz="4" w:space="0" w:color="000000" w:themeColor="text1"/>
              <w:right w:val="single" w:sz="4" w:space="0" w:color="auto"/>
            </w:tcBorders>
            <w:vAlign w:val="center"/>
          </w:tcPr>
          <w:p w14:paraId="086D1862" w14:textId="38AF9D01" w:rsidR="00CD5957" w:rsidRPr="00F6205B" w:rsidRDefault="00375C45" w:rsidP="004F23CF">
            <w:pPr>
              <w:keepNext/>
              <w:keepLines/>
              <w:tabs>
                <w:tab w:val="decimal" w:pos="631"/>
              </w:tabs>
              <w:contextualSpacing/>
              <w:jc w:val="center"/>
              <w:rPr>
                <w:sz w:val="20"/>
                <w:szCs w:val="20"/>
              </w:rPr>
            </w:pPr>
            <w:r w:rsidRPr="00F6205B">
              <w:rPr>
                <w:sz w:val="20"/>
                <w:szCs w:val="20"/>
              </w:rPr>
              <w:t>14</w:t>
            </w:r>
            <w:r w:rsidR="00CD5957" w:rsidRPr="00F6205B">
              <w:rPr>
                <w:sz w:val="20"/>
                <w:szCs w:val="20"/>
              </w:rPr>
              <w:t>%</w:t>
            </w:r>
          </w:p>
        </w:tc>
        <w:tc>
          <w:tcPr>
            <w:tcW w:w="1159" w:type="dxa"/>
            <w:tcBorders>
              <w:left w:val="single" w:sz="4" w:space="0" w:color="auto"/>
              <w:right w:val="single" w:sz="4" w:space="0" w:color="auto"/>
            </w:tcBorders>
            <w:vAlign w:val="center"/>
          </w:tcPr>
          <w:p w14:paraId="2DDBF583" w14:textId="4BA0AD5D" w:rsidR="00CD5957" w:rsidRPr="00F6205B" w:rsidRDefault="00144E33" w:rsidP="004F23CF">
            <w:pPr>
              <w:keepNext/>
              <w:keepLines/>
              <w:tabs>
                <w:tab w:val="decimal" w:pos="631"/>
              </w:tabs>
              <w:contextualSpacing/>
              <w:jc w:val="center"/>
              <w:rPr>
                <w:sz w:val="20"/>
                <w:szCs w:val="20"/>
              </w:rPr>
            </w:pPr>
            <w:r w:rsidRPr="00F6205B">
              <w:rPr>
                <w:sz w:val="20"/>
                <w:szCs w:val="20"/>
              </w:rPr>
              <w:t>--</w:t>
            </w:r>
          </w:p>
        </w:tc>
        <w:tc>
          <w:tcPr>
            <w:tcW w:w="1159" w:type="dxa"/>
            <w:tcBorders>
              <w:left w:val="single" w:sz="4" w:space="0" w:color="auto"/>
              <w:right w:val="single" w:sz="4" w:space="0" w:color="auto"/>
            </w:tcBorders>
            <w:vAlign w:val="center"/>
          </w:tcPr>
          <w:p w14:paraId="783F1FAC" w14:textId="617749CE" w:rsidR="00CD5957" w:rsidRPr="00F6205B" w:rsidRDefault="00375C45" w:rsidP="004F23CF">
            <w:pPr>
              <w:keepNext/>
              <w:keepLines/>
              <w:tabs>
                <w:tab w:val="decimal" w:pos="631"/>
              </w:tabs>
              <w:contextualSpacing/>
              <w:jc w:val="center"/>
              <w:rPr>
                <w:sz w:val="20"/>
                <w:szCs w:val="20"/>
              </w:rPr>
            </w:pPr>
            <w:r w:rsidRPr="00F6205B">
              <w:rPr>
                <w:sz w:val="20"/>
                <w:szCs w:val="20"/>
              </w:rPr>
              <w:t>14</w:t>
            </w:r>
            <w:r w:rsidR="00144E33" w:rsidRPr="00F6205B">
              <w:rPr>
                <w:sz w:val="20"/>
                <w:szCs w:val="20"/>
              </w:rPr>
              <w:t>%</w:t>
            </w:r>
          </w:p>
        </w:tc>
      </w:tr>
      <w:tr w:rsidR="00CD5957" w:rsidRPr="00F6205B" w14:paraId="07EF7729" w14:textId="28AF1288" w:rsidTr="00CD5957">
        <w:trPr>
          <w:trHeight w:val="288"/>
          <w:jc w:val="center"/>
        </w:trPr>
        <w:tc>
          <w:tcPr>
            <w:tcW w:w="1965" w:type="dxa"/>
            <w:tcBorders>
              <w:left w:val="single" w:sz="4" w:space="0" w:color="auto"/>
              <w:bottom w:val="single" w:sz="4" w:space="0" w:color="auto"/>
              <w:right w:val="single" w:sz="4" w:space="0" w:color="000000" w:themeColor="text1"/>
            </w:tcBorders>
            <w:vAlign w:val="center"/>
          </w:tcPr>
          <w:p w14:paraId="14F7E13C" w14:textId="77777777" w:rsidR="00CD5957" w:rsidRPr="00F6205B" w:rsidRDefault="00CD5957" w:rsidP="004F23CF">
            <w:pPr>
              <w:keepNext/>
              <w:keepLines/>
              <w:contextualSpacing/>
              <w:rPr>
                <w:i/>
                <w:sz w:val="20"/>
                <w:szCs w:val="20"/>
              </w:rPr>
            </w:pPr>
            <w:r w:rsidRPr="00F6205B">
              <w:rPr>
                <w:i/>
                <w:sz w:val="20"/>
                <w:szCs w:val="20"/>
              </w:rPr>
              <w:t>Total</w:t>
            </w:r>
          </w:p>
        </w:tc>
        <w:tc>
          <w:tcPr>
            <w:tcW w:w="1099" w:type="dxa"/>
            <w:tcBorders>
              <w:bottom w:val="single" w:sz="4" w:space="0" w:color="auto"/>
              <w:right w:val="single" w:sz="4" w:space="0" w:color="000000" w:themeColor="text1"/>
            </w:tcBorders>
            <w:vAlign w:val="center"/>
          </w:tcPr>
          <w:p w14:paraId="048870AD" w14:textId="6606B03D" w:rsidR="00CD5957" w:rsidRPr="00F6205B" w:rsidRDefault="00375C45" w:rsidP="004F23CF">
            <w:pPr>
              <w:keepNext/>
              <w:keepLines/>
              <w:tabs>
                <w:tab w:val="decimal" w:pos="403"/>
              </w:tabs>
              <w:contextualSpacing/>
              <w:jc w:val="center"/>
              <w:rPr>
                <w:i/>
                <w:sz w:val="20"/>
                <w:szCs w:val="20"/>
              </w:rPr>
            </w:pPr>
            <w:r w:rsidRPr="00F6205B">
              <w:rPr>
                <w:i/>
                <w:sz w:val="20"/>
                <w:szCs w:val="20"/>
              </w:rPr>
              <w:t>52</w:t>
            </w:r>
            <w:r w:rsidR="00CD5957" w:rsidRPr="00F6205B">
              <w:rPr>
                <w:i/>
                <w:sz w:val="20"/>
                <w:szCs w:val="20"/>
              </w:rPr>
              <w:t>%</w:t>
            </w:r>
          </w:p>
        </w:tc>
        <w:tc>
          <w:tcPr>
            <w:tcW w:w="1099" w:type="dxa"/>
            <w:tcBorders>
              <w:bottom w:val="single" w:sz="4" w:space="0" w:color="auto"/>
              <w:right w:val="single" w:sz="4" w:space="0" w:color="000000" w:themeColor="text1"/>
            </w:tcBorders>
            <w:vAlign w:val="center"/>
          </w:tcPr>
          <w:p w14:paraId="015740F8" w14:textId="1714A0BE" w:rsidR="00CD5957" w:rsidRPr="00F6205B" w:rsidRDefault="00375C45" w:rsidP="004F23CF">
            <w:pPr>
              <w:keepNext/>
              <w:keepLines/>
              <w:tabs>
                <w:tab w:val="decimal" w:pos="339"/>
              </w:tabs>
              <w:contextualSpacing/>
              <w:jc w:val="center"/>
              <w:rPr>
                <w:i/>
                <w:sz w:val="20"/>
                <w:szCs w:val="20"/>
              </w:rPr>
            </w:pPr>
            <w:r w:rsidRPr="00F6205B">
              <w:rPr>
                <w:i/>
                <w:sz w:val="20"/>
                <w:szCs w:val="20"/>
              </w:rPr>
              <w:t>26</w:t>
            </w:r>
            <w:r w:rsidR="00CD5957" w:rsidRPr="00F6205B">
              <w:rPr>
                <w:i/>
                <w:sz w:val="20"/>
                <w:szCs w:val="20"/>
              </w:rPr>
              <w:t>%</w:t>
            </w:r>
          </w:p>
        </w:tc>
        <w:tc>
          <w:tcPr>
            <w:tcW w:w="1099" w:type="dxa"/>
            <w:tcBorders>
              <w:bottom w:val="single" w:sz="4" w:space="0" w:color="auto"/>
              <w:right w:val="single" w:sz="4" w:space="0" w:color="000000" w:themeColor="text1"/>
            </w:tcBorders>
            <w:vAlign w:val="center"/>
          </w:tcPr>
          <w:p w14:paraId="0B640C57" w14:textId="266BAFCD" w:rsidR="00CD5957" w:rsidRPr="00F6205B" w:rsidRDefault="00375C45" w:rsidP="004F23CF">
            <w:pPr>
              <w:keepNext/>
              <w:keepLines/>
              <w:tabs>
                <w:tab w:val="decimal" w:pos="395"/>
              </w:tabs>
              <w:contextualSpacing/>
              <w:jc w:val="center"/>
              <w:rPr>
                <w:i/>
                <w:sz w:val="20"/>
                <w:szCs w:val="20"/>
              </w:rPr>
            </w:pPr>
            <w:r w:rsidRPr="00F6205B">
              <w:rPr>
                <w:i/>
                <w:sz w:val="20"/>
                <w:szCs w:val="20"/>
              </w:rPr>
              <w:t>2</w:t>
            </w:r>
            <w:r w:rsidR="00CD5957" w:rsidRPr="00F6205B">
              <w:rPr>
                <w:i/>
                <w:sz w:val="20"/>
                <w:szCs w:val="20"/>
              </w:rPr>
              <w:t>%</w:t>
            </w:r>
          </w:p>
        </w:tc>
        <w:tc>
          <w:tcPr>
            <w:tcW w:w="1159" w:type="dxa"/>
            <w:tcBorders>
              <w:left w:val="single" w:sz="4" w:space="0" w:color="000000" w:themeColor="text1"/>
              <w:bottom w:val="single" w:sz="4" w:space="0" w:color="auto"/>
              <w:right w:val="single" w:sz="4" w:space="0" w:color="auto"/>
            </w:tcBorders>
            <w:vAlign w:val="center"/>
          </w:tcPr>
          <w:p w14:paraId="183A1976" w14:textId="6FB74DD3" w:rsidR="00CD5957" w:rsidRPr="00F6205B" w:rsidRDefault="00375C45" w:rsidP="004F23CF">
            <w:pPr>
              <w:keepNext/>
              <w:keepLines/>
              <w:tabs>
                <w:tab w:val="decimal" w:pos="631"/>
              </w:tabs>
              <w:contextualSpacing/>
              <w:jc w:val="center"/>
              <w:rPr>
                <w:i/>
                <w:sz w:val="20"/>
                <w:szCs w:val="20"/>
              </w:rPr>
            </w:pPr>
            <w:r w:rsidRPr="00F6205B">
              <w:rPr>
                <w:i/>
                <w:sz w:val="20"/>
                <w:szCs w:val="20"/>
              </w:rPr>
              <w:t>20</w:t>
            </w:r>
            <w:r w:rsidR="00CD5957" w:rsidRPr="00F6205B">
              <w:rPr>
                <w:i/>
                <w:sz w:val="20"/>
                <w:szCs w:val="20"/>
              </w:rPr>
              <w:t>%</w:t>
            </w:r>
          </w:p>
        </w:tc>
        <w:tc>
          <w:tcPr>
            <w:tcW w:w="1159" w:type="dxa"/>
            <w:tcBorders>
              <w:left w:val="single" w:sz="4" w:space="0" w:color="auto"/>
              <w:bottom w:val="single" w:sz="4" w:space="0" w:color="auto"/>
              <w:right w:val="single" w:sz="4" w:space="0" w:color="auto"/>
            </w:tcBorders>
            <w:vAlign w:val="center"/>
          </w:tcPr>
          <w:p w14:paraId="77B505A8" w14:textId="4DC24060" w:rsidR="00CD5957" w:rsidRPr="00F6205B" w:rsidRDefault="00375C45" w:rsidP="004F23CF">
            <w:pPr>
              <w:keepNext/>
              <w:keepLines/>
              <w:tabs>
                <w:tab w:val="decimal" w:pos="631"/>
              </w:tabs>
              <w:contextualSpacing/>
              <w:jc w:val="center"/>
              <w:rPr>
                <w:i/>
                <w:sz w:val="20"/>
                <w:szCs w:val="20"/>
              </w:rPr>
            </w:pPr>
            <w:r w:rsidRPr="00F6205B">
              <w:rPr>
                <w:i/>
                <w:sz w:val="20"/>
                <w:szCs w:val="20"/>
              </w:rPr>
              <w:t>80</w:t>
            </w:r>
            <w:r w:rsidR="00C97EAE" w:rsidRPr="00F6205B">
              <w:rPr>
                <w:i/>
                <w:sz w:val="20"/>
                <w:szCs w:val="20"/>
              </w:rPr>
              <w:t>%</w:t>
            </w:r>
          </w:p>
        </w:tc>
        <w:tc>
          <w:tcPr>
            <w:tcW w:w="1159" w:type="dxa"/>
            <w:tcBorders>
              <w:left w:val="single" w:sz="4" w:space="0" w:color="auto"/>
              <w:bottom w:val="single" w:sz="4" w:space="0" w:color="auto"/>
              <w:right w:val="single" w:sz="4" w:space="0" w:color="auto"/>
            </w:tcBorders>
            <w:vAlign w:val="center"/>
          </w:tcPr>
          <w:p w14:paraId="5F66A76C" w14:textId="3B2D1E99" w:rsidR="00CD5957" w:rsidRPr="00F6205B" w:rsidRDefault="00144E33" w:rsidP="004F23CF">
            <w:pPr>
              <w:keepNext/>
              <w:keepLines/>
              <w:tabs>
                <w:tab w:val="decimal" w:pos="631"/>
              </w:tabs>
              <w:contextualSpacing/>
              <w:jc w:val="center"/>
              <w:rPr>
                <w:i/>
                <w:sz w:val="20"/>
                <w:szCs w:val="20"/>
              </w:rPr>
            </w:pPr>
            <w:r w:rsidRPr="00F6205B">
              <w:rPr>
                <w:i/>
                <w:sz w:val="20"/>
                <w:szCs w:val="20"/>
              </w:rPr>
              <w:t>100%</w:t>
            </w:r>
          </w:p>
        </w:tc>
      </w:tr>
    </w:tbl>
    <w:p w14:paraId="0AED303F" w14:textId="2F0D56F6" w:rsidR="00A50E67" w:rsidRPr="00F6205B" w:rsidRDefault="00D61C4A" w:rsidP="00A964F0">
      <w:pPr>
        <w:pStyle w:val="Normalaftertable"/>
      </w:pPr>
      <w:r w:rsidRPr="00F6205B">
        <w:fldChar w:fldCharType="begin"/>
      </w:r>
      <w:r w:rsidRPr="00F6205B">
        <w:instrText xml:space="preserve"> REF _Ref439607587 \h </w:instrText>
      </w:r>
      <w:r w:rsidR="00F6205B">
        <w:instrText xml:space="preserve"> \* MERGEFORMAT </w:instrText>
      </w:r>
      <w:r w:rsidRPr="00F6205B">
        <w:fldChar w:fldCharType="separate"/>
      </w:r>
      <w:r w:rsidR="00FA26A9" w:rsidRPr="00F6205B">
        <w:t xml:space="preserve">Figure </w:t>
      </w:r>
      <w:r w:rsidR="00FA26A9">
        <w:rPr>
          <w:noProof/>
        </w:rPr>
        <w:t>19</w:t>
      </w:r>
      <w:r w:rsidRPr="00F6205B">
        <w:fldChar w:fldCharType="end"/>
      </w:r>
      <w:r w:rsidRPr="00F6205B">
        <w:t xml:space="preserve"> </w:t>
      </w:r>
      <w:r w:rsidR="00A50E67" w:rsidRPr="00F6205B">
        <w:t>presents the pe</w:t>
      </w:r>
      <w:r w:rsidR="00133F28" w:rsidRPr="00F6205B">
        <w:t>rcentage of first-year savings</w:t>
      </w:r>
      <w:r w:rsidR="00F118CC" w:rsidRPr="00F6205B">
        <w:t xml:space="preserve"> associated with key end uses</w:t>
      </w:r>
      <w:r w:rsidR="0049522F" w:rsidRPr="00F6205B">
        <w:t xml:space="preserve"> (</w:t>
      </w:r>
      <w:r w:rsidR="00133F28" w:rsidRPr="00F6205B">
        <w:t>measured in MMBtu</w:t>
      </w:r>
      <w:r w:rsidR="00F118CC" w:rsidRPr="00F6205B">
        <w:t>, though it includes electric savings</w:t>
      </w:r>
      <w:r w:rsidR="0049522F" w:rsidRPr="00F6205B">
        <w:t>). The h</w:t>
      </w:r>
      <w:r w:rsidR="00A50E67" w:rsidRPr="00F6205B">
        <w:t xml:space="preserve">eating </w:t>
      </w:r>
      <w:r w:rsidR="0049522F" w:rsidRPr="00F6205B">
        <w:t>and lights &amp; appliances end uses each account</w:t>
      </w:r>
      <w:r w:rsidR="00A50E67" w:rsidRPr="00F6205B">
        <w:t xml:space="preserve"> for </w:t>
      </w:r>
      <w:r w:rsidR="0049522F" w:rsidRPr="00F6205B">
        <w:t>about half</w:t>
      </w:r>
      <w:r w:rsidR="00A50E67" w:rsidRPr="00F6205B">
        <w:t xml:space="preserve"> of achievable potential savings in the first year</w:t>
      </w:r>
      <w:r w:rsidR="0049522F" w:rsidRPr="00F6205B">
        <w:t>, but by year ten, savings at the heating end use come to comprise nearly 80% of all savings</w:t>
      </w:r>
      <w:r w:rsidR="00A50E67" w:rsidRPr="00F6205B">
        <w:t xml:space="preserve">. In the near-term, annual savings due to lights and appliances </w:t>
      </w:r>
      <w:r w:rsidR="0049522F" w:rsidRPr="00F6205B">
        <w:t>will be</w:t>
      </w:r>
      <w:r w:rsidR="00A50E67" w:rsidRPr="00F6205B">
        <w:t xml:space="preserve"> much more substantial than </w:t>
      </w:r>
      <w:r w:rsidR="00F118CC" w:rsidRPr="00F6205B">
        <w:t>in ten years.</w:t>
      </w:r>
      <w:r w:rsidR="00A50E67" w:rsidRPr="00F6205B">
        <w:t xml:space="preserve"> This is due primarily to several imminent increases in feder</w:t>
      </w:r>
      <w:r w:rsidR="0049522F" w:rsidRPr="00F6205B">
        <w:t>al minimum efficiency standards, especially for lighting.</w:t>
      </w:r>
    </w:p>
    <w:p w14:paraId="486087D0" w14:textId="7FEE0C35" w:rsidR="00A50E67" w:rsidRPr="00F6205B" w:rsidRDefault="00A50E67" w:rsidP="004F23CF">
      <w:pPr>
        <w:pStyle w:val="Caption"/>
      </w:pPr>
      <w:bookmarkStart w:id="312" w:name="_Ref390956921"/>
      <w:bookmarkStart w:id="313" w:name="_Ref439607587"/>
      <w:bookmarkStart w:id="314" w:name="_Ref390956913"/>
      <w:bookmarkStart w:id="315" w:name="_Toc391887405"/>
      <w:bookmarkStart w:id="316" w:name="_Toc439931812"/>
      <w:r w:rsidRPr="00F6205B">
        <w:lastRenderedPageBreak/>
        <w:t>Figure</w:t>
      </w:r>
      <w:bookmarkEnd w:id="312"/>
      <w:r w:rsidR="004F23CF" w:rsidRPr="00F6205B">
        <w:t xml:space="preserve"> </w:t>
      </w:r>
      <w:fldSimple w:instr=" SEQ Figure \* ARABIC ">
        <w:r w:rsidR="00FA26A9">
          <w:rPr>
            <w:noProof/>
          </w:rPr>
          <w:t>19</w:t>
        </w:r>
      </w:fldSimple>
      <w:bookmarkEnd w:id="313"/>
      <w:r w:rsidRPr="00F6205B">
        <w:t>: Achievable Potential Savings by End Use</w:t>
      </w:r>
      <w:bookmarkEnd w:id="314"/>
      <w:bookmarkEnd w:id="315"/>
      <w:r w:rsidR="00A7499B" w:rsidRPr="00F6205B">
        <w:t xml:space="preserve"> (MMBtu)</w:t>
      </w:r>
      <w:bookmarkEnd w:id="316"/>
    </w:p>
    <w:p w14:paraId="338C6081" w14:textId="77777777" w:rsidR="00346A82" w:rsidRPr="00F6205B" w:rsidRDefault="00346A82" w:rsidP="00346A82">
      <w:pPr>
        <w:pStyle w:val="Caption"/>
        <w:spacing w:before="0" w:after="120"/>
        <w:rPr>
          <w:b w:val="0"/>
          <w:bCs w:val="0"/>
          <w:sz w:val="18"/>
        </w:rPr>
      </w:pPr>
      <w:r w:rsidRPr="00F6205B">
        <w:rPr>
          <w:b w:val="0"/>
          <w:bCs w:val="0"/>
          <w:sz w:val="18"/>
        </w:rPr>
        <w:t>Base: all single-family homes (population-weighted)</w:t>
      </w:r>
    </w:p>
    <w:p w14:paraId="52826A3E" w14:textId="74D716CB" w:rsidR="00A50E67" w:rsidRPr="00F6205B" w:rsidRDefault="00D61C4A" w:rsidP="00A50E67">
      <w:pPr>
        <w:keepNext/>
        <w:spacing w:after="0"/>
        <w:jc w:val="center"/>
        <w:rPr>
          <w:rFonts w:cs="Times New Roman"/>
          <w:szCs w:val="24"/>
        </w:rPr>
      </w:pPr>
      <w:r w:rsidRPr="00F6205B">
        <w:rPr>
          <w:rFonts w:cs="Times New Roman"/>
          <w:noProof/>
          <w:szCs w:val="24"/>
          <w:lang w:bidi="ar-SA"/>
        </w:rPr>
        <w:drawing>
          <wp:inline distT="0" distB="0" distL="0" distR="0" wp14:anchorId="169BDF7F" wp14:editId="5F5AB35C">
            <wp:extent cx="3670300" cy="3066415"/>
            <wp:effectExtent l="0" t="0" r="6350" b="6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70300" cy="3066415"/>
                    </a:xfrm>
                    <a:prstGeom prst="rect">
                      <a:avLst/>
                    </a:prstGeom>
                    <a:noFill/>
                  </pic:spPr>
                </pic:pic>
              </a:graphicData>
            </a:graphic>
          </wp:inline>
        </w:drawing>
      </w:r>
      <w:r w:rsidRPr="00F6205B">
        <w:rPr>
          <w:rFonts w:cs="Times New Roman"/>
          <w:noProof/>
          <w:szCs w:val="24"/>
          <w:lang w:bidi="ar-SA"/>
        </w:rPr>
        <w:drawing>
          <wp:inline distT="0" distB="0" distL="0" distR="0" wp14:anchorId="75909833" wp14:editId="359FC7B5">
            <wp:extent cx="3670300" cy="3060700"/>
            <wp:effectExtent l="0" t="0" r="635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70300" cy="3060700"/>
                    </a:xfrm>
                    <a:prstGeom prst="rect">
                      <a:avLst/>
                    </a:prstGeom>
                    <a:noFill/>
                  </pic:spPr>
                </pic:pic>
              </a:graphicData>
            </a:graphic>
          </wp:inline>
        </w:drawing>
      </w:r>
    </w:p>
    <w:p w14:paraId="7032BF63" w14:textId="67D85E76" w:rsidR="00A50E67" w:rsidRPr="00F6205B" w:rsidRDefault="00A50E67" w:rsidP="00A50E67">
      <w:pPr>
        <w:keepNext/>
        <w:spacing w:after="0"/>
        <w:jc w:val="center"/>
        <w:rPr>
          <w:rFonts w:cs="Times New Roman"/>
          <w:szCs w:val="24"/>
        </w:rPr>
      </w:pPr>
    </w:p>
    <w:p w14:paraId="3827103C" w14:textId="77777777" w:rsidR="00A55F7D" w:rsidRDefault="00A55F7D">
      <w:pPr>
        <w:spacing w:after="0" w:line="240" w:lineRule="auto"/>
        <w:rPr>
          <w:rFonts w:cs="Times New Roman"/>
          <w:szCs w:val="24"/>
        </w:rPr>
      </w:pPr>
      <w:r>
        <w:rPr>
          <w:rFonts w:cs="Times New Roman"/>
          <w:szCs w:val="24"/>
        </w:rPr>
        <w:br w:type="page"/>
      </w:r>
    </w:p>
    <w:p w14:paraId="15312D8C" w14:textId="21C8E1E5" w:rsidR="00A50E67" w:rsidRPr="00F6205B" w:rsidRDefault="007C4167" w:rsidP="000A1546">
      <w:pPr>
        <w:rPr>
          <w:rFonts w:cs="Times New Roman"/>
          <w:szCs w:val="24"/>
        </w:rPr>
      </w:pPr>
      <w:r w:rsidRPr="00F6205B">
        <w:rPr>
          <w:rFonts w:cs="Times New Roman"/>
          <w:szCs w:val="24"/>
        </w:rPr>
        <w:lastRenderedPageBreak/>
        <w:fldChar w:fldCharType="begin"/>
      </w:r>
      <w:r w:rsidRPr="00F6205B">
        <w:rPr>
          <w:rFonts w:cs="Times New Roman"/>
          <w:szCs w:val="24"/>
        </w:rPr>
        <w:instrText xml:space="preserve"> REF _Ref439331666 \h </w:instrText>
      </w:r>
      <w:r w:rsidR="00F6205B">
        <w:rPr>
          <w:rFonts w:cs="Times New Roman"/>
          <w:szCs w:val="24"/>
        </w:rPr>
        <w:instrText xml:space="preserve"> \* MERGEFORMAT </w:instrText>
      </w:r>
      <w:r w:rsidRPr="00F6205B">
        <w:rPr>
          <w:rFonts w:cs="Times New Roman"/>
          <w:szCs w:val="24"/>
        </w:rPr>
      </w:r>
      <w:r w:rsidRPr="00F6205B">
        <w:rPr>
          <w:rFonts w:cs="Times New Roman"/>
          <w:szCs w:val="24"/>
        </w:rPr>
        <w:fldChar w:fldCharType="separate"/>
      </w:r>
      <w:r w:rsidR="00FA26A9" w:rsidRPr="00F6205B">
        <w:t xml:space="preserve">Figure </w:t>
      </w:r>
      <w:r w:rsidR="00FA26A9">
        <w:rPr>
          <w:noProof/>
        </w:rPr>
        <w:t>20</w:t>
      </w:r>
      <w:r w:rsidRPr="00F6205B">
        <w:rPr>
          <w:rFonts w:cs="Times New Roman"/>
          <w:szCs w:val="24"/>
        </w:rPr>
        <w:fldChar w:fldCharType="end"/>
      </w:r>
      <w:r w:rsidRPr="00F6205B">
        <w:rPr>
          <w:rFonts w:cs="Times New Roman"/>
          <w:szCs w:val="24"/>
        </w:rPr>
        <w:t xml:space="preserve"> </w:t>
      </w:r>
      <w:r w:rsidR="00E80D03" w:rsidRPr="00F6205B">
        <w:rPr>
          <w:rFonts w:cs="Times New Roman"/>
          <w:szCs w:val="24"/>
        </w:rPr>
        <w:t>shows the various fuel types as a percentage of total achievable savings. The first two pie charts include electric savings rendered in MMBtu; the second two include fossil fuel savings only</w:t>
      </w:r>
      <w:r w:rsidR="00A50E67" w:rsidRPr="00F6205B">
        <w:rPr>
          <w:rFonts w:cs="Times New Roman"/>
          <w:szCs w:val="24"/>
        </w:rPr>
        <w:t>.</w:t>
      </w:r>
      <w:r w:rsidR="000A1546" w:rsidRPr="00F6205B">
        <w:rPr>
          <w:rFonts w:cs="Times New Roman"/>
          <w:szCs w:val="24"/>
        </w:rPr>
        <w:t xml:space="preserve"> The proportion of fossil fuel savings accounted for by each fuel changes little over ten years. However, codes and standards have a substantial impact on electric savings, which comprise a much smaller part of overall savings by 2025.</w:t>
      </w:r>
    </w:p>
    <w:p w14:paraId="1AAD2156" w14:textId="0F90EFBA" w:rsidR="00A50E67" w:rsidRPr="00F6205B" w:rsidRDefault="00A50E67" w:rsidP="004F23CF">
      <w:pPr>
        <w:pStyle w:val="Caption"/>
      </w:pPr>
      <w:bookmarkStart w:id="317" w:name="_Ref391020585"/>
      <w:bookmarkStart w:id="318" w:name="_Ref439331666"/>
      <w:bookmarkStart w:id="319" w:name="_Toc391887406"/>
      <w:bookmarkStart w:id="320" w:name="_Toc439931813"/>
      <w:r w:rsidRPr="00F6205B">
        <w:t>Figure</w:t>
      </w:r>
      <w:bookmarkEnd w:id="317"/>
      <w:r w:rsidR="004F23CF" w:rsidRPr="00F6205B">
        <w:t xml:space="preserve"> </w:t>
      </w:r>
      <w:fldSimple w:instr=" SEQ Figure \* ARABIC ">
        <w:r w:rsidR="00FA26A9">
          <w:rPr>
            <w:noProof/>
          </w:rPr>
          <w:t>20</w:t>
        </w:r>
      </w:fldSimple>
      <w:bookmarkEnd w:id="318"/>
      <w:r w:rsidRPr="00F6205B">
        <w:t>: Fuel Type Share of Achievable Potential Savings</w:t>
      </w:r>
      <w:bookmarkEnd w:id="319"/>
      <w:r w:rsidR="00313E15" w:rsidRPr="00F6205B">
        <w:t xml:space="preserve"> (MMBtu)</w:t>
      </w:r>
      <w:bookmarkEnd w:id="320"/>
    </w:p>
    <w:p w14:paraId="5B161CC1" w14:textId="77777777" w:rsidR="00346A82" w:rsidRPr="00F6205B" w:rsidRDefault="00346A82" w:rsidP="00346A82">
      <w:pPr>
        <w:pStyle w:val="Caption"/>
        <w:spacing w:before="0" w:after="120"/>
        <w:rPr>
          <w:b w:val="0"/>
          <w:bCs w:val="0"/>
          <w:sz w:val="18"/>
        </w:rPr>
      </w:pPr>
      <w:r w:rsidRPr="00F6205B">
        <w:rPr>
          <w:b w:val="0"/>
          <w:bCs w:val="0"/>
          <w:sz w:val="18"/>
        </w:rPr>
        <w:t>Base: all single-family homes (population-weighted)</w:t>
      </w:r>
    </w:p>
    <w:p w14:paraId="159C46A5" w14:textId="1535124C" w:rsidR="00A50E67" w:rsidRPr="00F6205B" w:rsidRDefault="00313E15" w:rsidP="008870CE">
      <w:pPr>
        <w:keepNext/>
        <w:spacing w:after="0"/>
        <w:jc w:val="center"/>
        <w:rPr>
          <w:rFonts w:cs="Times New Roman"/>
          <w:szCs w:val="24"/>
        </w:rPr>
      </w:pPr>
      <w:r w:rsidRPr="00F6205B">
        <w:rPr>
          <w:rFonts w:cs="Times New Roman"/>
          <w:noProof/>
          <w:szCs w:val="24"/>
          <w:lang w:bidi="ar-SA"/>
        </w:rPr>
        <w:drawing>
          <wp:inline distT="0" distB="0" distL="0" distR="0" wp14:anchorId="53CFF6C7" wp14:editId="4DBD4B30">
            <wp:extent cx="2825496" cy="2468880"/>
            <wp:effectExtent l="0" t="0" r="0" b="762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25496" cy="2468880"/>
                    </a:xfrm>
                    <a:prstGeom prst="rect">
                      <a:avLst/>
                    </a:prstGeom>
                    <a:noFill/>
                  </pic:spPr>
                </pic:pic>
              </a:graphicData>
            </a:graphic>
          </wp:inline>
        </w:drawing>
      </w:r>
      <w:r w:rsidRPr="00F6205B">
        <w:rPr>
          <w:rFonts w:cs="Times New Roman"/>
          <w:noProof/>
          <w:szCs w:val="24"/>
          <w:lang w:bidi="ar-SA"/>
        </w:rPr>
        <w:drawing>
          <wp:inline distT="0" distB="0" distL="0" distR="0" wp14:anchorId="693285CF" wp14:editId="71FA4182">
            <wp:extent cx="2825496" cy="2468880"/>
            <wp:effectExtent l="0" t="0" r="0" b="762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25496" cy="2468880"/>
                    </a:xfrm>
                    <a:prstGeom prst="rect">
                      <a:avLst/>
                    </a:prstGeom>
                    <a:noFill/>
                  </pic:spPr>
                </pic:pic>
              </a:graphicData>
            </a:graphic>
          </wp:inline>
        </w:drawing>
      </w:r>
    </w:p>
    <w:p w14:paraId="274ED2F4" w14:textId="43222F2F" w:rsidR="00A50E67" w:rsidRPr="00F6205B" w:rsidRDefault="00A64C1A" w:rsidP="00A64C1A">
      <w:pPr>
        <w:jc w:val="center"/>
        <w:rPr>
          <w:rFonts w:cs="Times New Roman"/>
          <w:szCs w:val="24"/>
        </w:rPr>
      </w:pPr>
      <w:r w:rsidRPr="00F6205B">
        <w:rPr>
          <w:rFonts w:cs="Times New Roman"/>
          <w:noProof/>
          <w:szCs w:val="24"/>
          <w:lang w:bidi="ar-SA"/>
        </w:rPr>
        <w:drawing>
          <wp:inline distT="0" distB="0" distL="0" distR="0" wp14:anchorId="0DAE2532" wp14:editId="28B00699">
            <wp:extent cx="2825496" cy="2468880"/>
            <wp:effectExtent l="0" t="0" r="0" b="762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25496" cy="2468880"/>
                    </a:xfrm>
                    <a:prstGeom prst="rect">
                      <a:avLst/>
                    </a:prstGeom>
                    <a:noFill/>
                  </pic:spPr>
                </pic:pic>
              </a:graphicData>
            </a:graphic>
          </wp:inline>
        </w:drawing>
      </w:r>
      <w:r w:rsidRPr="00F6205B">
        <w:rPr>
          <w:rFonts w:cs="Times New Roman"/>
          <w:noProof/>
          <w:szCs w:val="24"/>
          <w:lang w:bidi="ar-SA"/>
        </w:rPr>
        <w:drawing>
          <wp:inline distT="0" distB="0" distL="0" distR="0" wp14:anchorId="49BBB59E" wp14:editId="03F9E47E">
            <wp:extent cx="2807208" cy="2468880"/>
            <wp:effectExtent l="0" t="0" r="0"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07208" cy="2468880"/>
                    </a:xfrm>
                    <a:prstGeom prst="rect">
                      <a:avLst/>
                    </a:prstGeom>
                    <a:noFill/>
                  </pic:spPr>
                </pic:pic>
              </a:graphicData>
            </a:graphic>
          </wp:inline>
        </w:drawing>
      </w:r>
    </w:p>
    <w:p w14:paraId="5CC33CAA" w14:textId="77777777" w:rsidR="00A64C1A" w:rsidRPr="00F6205B" w:rsidRDefault="00A64C1A" w:rsidP="00A50E67">
      <w:pPr>
        <w:rPr>
          <w:rFonts w:cs="Times New Roman"/>
          <w:szCs w:val="24"/>
        </w:rPr>
      </w:pPr>
    </w:p>
    <w:p w14:paraId="21A7D3DC" w14:textId="77777777" w:rsidR="00A55F7D" w:rsidRDefault="00A55F7D">
      <w:pPr>
        <w:spacing w:after="0" w:line="240" w:lineRule="auto"/>
      </w:pPr>
      <w:r>
        <w:br w:type="page"/>
      </w:r>
    </w:p>
    <w:p w14:paraId="15FF9829" w14:textId="01F4A698" w:rsidR="00A50E67" w:rsidRPr="00F6205B" w:rsidRDefault="007C4167" w:rsidP="00A50E67">
      <w:pPr>
        <w:keepNext/>
        <w:spacing w:after="200"/>
      </w:pPr>
      <w:r w:rsidRPr="00F6205B">
        <w:lastRenderedPageBreak/>
        <w:fldChar w:fldCharType="begin"/>
      </w:r>
      <w:r w:rsidRPr="00F6205B">
        <w:instrText xml:space="preserve"> REF _Ref439331711 \h </w:instrText>
      </w:r>
      <w:r w:rsidR="00F6205B">
        <w:instrText xml:space="preserve"> \* MERGEFORMAT </w:instrText>
      </w:r>
      <w:r w:rsidRPr="00F6205B">
        <w:fldChar w:fldCharType="separate"/>
      </w:r>
      <w:r w:rsidR="00FA26A9" w:rsidRPr="00F6205B">
        <w:t xml:space="preserve">Table </w:t>
      </w:r>
      <w:r w:rsidR="00FA26A9">
        <w:rPr>
          <w:noProof/>
        </w:rPr>
        <w:t>34</w:t>
      </w:r>
      <w:r w:rsidRPr="00F6205B">
        <w:fldChar w:fldCharType="end"/>
      </w:r>
      <w:r w:rsidRPr="00F6205B">
        <w:t xml:space="preserve"> </w:t>
      </w:r>
      <w:r w:rsidR="00C90B60" w:rsidRPr="00F6205B">
        <w:t>shows maximum</w:t>
      </w:r>
      <w:r w:rsidR="00A50E67" w:rsidRPr="00F6205B">
        <w:t xml:space="preserve"> achievable peak electric demand savings. </w:t>
      </w:r>
      <w:r w:rsidR="00C90B60" w:rsidRPr="00F6205B">
        <w:t>A</w:t>
      </w:r>
      <w:r w:rsidR="00A50E67" w:rsidRPr="00F6205B">
        <w:t>chievable summer peak demand savings range</w:t>
      </w:r>
      <w:r w:rsidR="00DF498C" w:rsidRPr="00F6205B">
        <w:t xml:space="preserve"> from 251</w:t>
      </w:r>
      <w:r w:rsidR="0065620A" w:rsidRPr="00F6205B">
        <w:t xml:space="preserve"> MW to </w:t>
      </w:r>
      <w:r w:rsidR="00DF498C" w:rsidRPr="00F6205B">
        <w:t>236</w:t>
      </w:r>
      <w:r w:rsidR="0065620A" w:rsidRPr="00F6205B">
        <w:t xml:space="preserve"> MW from 2016 to 2025</w:t>
      </w:r>
      <w:r w:rsidR="00C90B60" w:rsidRPr="00F6205B">
        <w:t>, while</w:t>
      </w:r>
      <w:r w:rsidR="00A50E67" w:rsidRPr="00F6205B">
        <w:t xml:space="preserve"> winter </w:t>
      </w:r>
      <w:r w:rsidR="00DF498C" w:rsidRPr="00F6205B">
        <w:t>peak demand savings range from 307</w:t>
      </w:r>
      <w:r w:rsidR="00A50E67" w:rsidRPr="00F6205B">
        <w:t xml:space="preserve"> MW to </w:t>
      </w:r>
      <w:r w:rsidR="00DF498C" w:rsidRPr="00F6205B">
        <w:t>294</w:t>
      </w:r>
      <w:r w:rsidR="00A50E67" w:rsidRPr="00F6205B">
        <w:t xml:space="preserve"> MW</w:t>
      </w:r>
      <w:r w:rsidR="00C90B60" w:rsidRPr="00F6205B">
        <w:t>.</w:t>
      </w:r>
      <w:r w:rsidR="00827BA1" w:rsidRPr="00F6205B">
        <w:t xml:space="preserve"> Demand savings decline somewhat, along with consumption savings, due to the impact of federal minimum efficiency standards for electric equipment, especially lighting.</w:t>
      </w:r>
    </w:p>
    <w:p w14:paraId="097D153F" w14:textId="2D753031" w:rsidR="00A50E67" w:rsidRPr="00F6205B" w:rsidRDefault="00A50E67" w:rsidP="004F23CF">
      <w:pPr>
        <w:pStyle w:val="Caption"/>
        <w:rPr>
          <w:vertAlign w:val="superscript"/>
        </w:rPr>
      </w:pPr>
      <w:bookmarkStart w:id="321" w:name="_Ref391883017"/>
      <w:bookmarkStart w:id="322" w:name="_Ref439331711"/>
      <w:bookmarkStart w:id="323" w:name="_Toc391887371"/>
      <w:bookmarkStart w:id="324" w:name="_Toc439931865"/>
      <w:r w:rsidRPr="00F6205B">
        <w:t>Table</w:t>
      </w:r>
      <w:bookmarkEnd w:id="321"/>
      <w:r w:rsidR="004F23CF" w:rsidRPr="00F6205B">
        <w:t xml:space="preserve"> </w:t>
      </w:r>
      <w:fldSimple w:instr=" SEQ Table \* ARABIC ">
        <w:r w:rsidR="00FA26A9">
          <w:rPr>
            <w:noProof/>
          </w:rPr>
          <w:t>34</w:t>
        </w:r>
      </w:fldSimple>
      <w:bookmarkEnd w:id="322"/>
      <w:r w:rsidRPr="00F6205B">
        <w:t>: Achievable Peak Electric Demand Savings Estimates (MW)</w:t>
      </w:r>
      <w:r w:rsidRPr="00F6205B">
        <w:rPr>
          <w:vertAlign w:val="superscript"/>
        </w:rPr>
        <w:t>*</w:t>
      </w:r>
      <w:bookmarkEnd w:id="323"/>
      <w:bookmarkEnd w:id="324"/>
    </w:p>
    <w:p w14:paraId="6969F426" w14:textId="77777777" w:rsidR="00346A82" w:rsidRPr="00F6205B" w:rsidRDefault="00346A82" w:rsidP="00346A82">
      <w:pPr>
        <w:pStyle w:val="Caption"/>
        <w:spacing w:before="0" w:after="120"/>
        <w:rPr>
          <w:b w:val="0"/>
          <w:bCs w:val="0"/>
          <w:sz w:val="18"/>
        </w:rPr>
      </w:pPr>
      <w:r w:rsidRPr="00F6205B">
        <w:rPr>
          <w:b w:val="0"/>
          <w:bCs w:val="0"/>
          <w:sz w:val="18"/>
        </w:rPr>
        <w:t>Base: all single-family homes (population-weighted)</w:t>
      </w:r>
    </w:p>
    <w:tbl>
      <w:tblPr>
        <w:tblStyle w:val="TableGrid"/>
        <w:tblW w:w="8587"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2957"/>
        <w:gridCol w:w="1099"/>
        <w:gridCol w:w="1099"/>
        <w:gridCol w:w="1144"/>
        <w:gridCol w:w="1144"/>
        <w:gridCol w:w="1144"/>
      </w:tblGrid>
      <w:tr w:rsidR="00F117DA" w:rsidRPr="00F6205B" w14:paraId="2BF6B290" w14:textId="51DA6E5B" w:rsidTr="00F52E2F">
        <w:trPr>
          <w:trHeight w:val="288"/>
          <w:jc w:val="center"/>
        </w:trPr>
        <w:tc>
          <w:tcPr>
            <w:tcW w:w="2957" w:type="dxa"/>
            <w:vMerge w:val="restart"/>
            <w:tcBorders>
              <w:top w:val="single" w:sz="4" w:space="0" w:color="auto"/>
              <w:left w:val="single" w:sz="4" w:space="0" w:color="auto"/>
              <w:right w:val="single" w:sz="4" w:space="0" w:color="000000" w:themeColor="text1"/>
            </w:tcBorders>
            <w:shd w:val="clear" w:color="auto" w:fill="0B4D2C" w:themeFill="background2" w:themeFillShade="BF"/>
            <w:vAlign w:val="center"/>
          </w:tcPr>
          <w:p w14:paraId="2FDE6D5C" w14:textId="4A2CB298" w:rsidR="00F117DA" w:rsidRPr="00F6205B" w:rsidRDefault="00F117DA" w:rsidP="004F23CF">
            <w:pPr>
              <w:keepNext/>
              <w:keepLines/>
              <w:spacing w:after="0"/>
              <w:contextualSpacing/>
              <w:rPr>
                <w:b/>
                <w:sz w:val="20"/>
                <w:szCs w:val="20"/>
              </w:rPr>
            </w:pPr>
            <w:r>
              <w:rPr>
                <w:b/>
                <w:sz w:val="20"/>
                <w:szCs w:val="20"/>
              </w:rPr>
              <w:t>Season</w:t>
            </w:r>
          </w:p>
        </w:tc>
        <w:tc>
          <w:tcPr>
            <w:tcW w:w="1099" w:type="dxa"/>
            <w:vMerge w:val="restart"/>
            <w:tcBorders>
              <w:top w:val="single" w:sz="4" w:space="0" w:color="auto"/>
              <w:right w:val="single" w:sz="4" w:space="0" w:color="000000" w:themeColor="text1"/>
            </w:tcBorders>
            <w:shd w:val="clear" w:color="auto" w:fill="0B4D2C" w:themeFill="background2" w:themeFillShade="BF"/>
            <w:vAlign w:val="center"/>
          </w:tcPr>
          <w:p w14:paraId="031622A4" w14:textId="77777777" w:rsidR="00F117DA" w:rsidRPr="00F6205B" w:rsidRDefault="00F117DA" w:rsidP="004F23CF">
            <w:pPr>
              <w:keepNext/>
              <w:keepLines/>
              <w:spacing w:after="0"/>
              <w:contextualSpacing/>
              <w:jc w:val="center"/>
              <w:rPr>
                <w:b/>
                <w:sz w:val="20"/>
                <w:szCs w:val="20"/>
              </w:rPr>
            </w:pPr>
            <w:r w:rsidRPr="00F6205B">
              <w:rPr>
                <w:b/>
                <w:sz w:val="20"/>
                <w:szCs w:val="20"/>
              </w:rPr>
              <w:t>Baseline</w:t>
            </w:r>
          </w:p>
        </w:tc>
        <w:tc>
          <w:tcPr>
            <w:tcW w:w="2243" w:type="dxa"/>
            <w:gridSpan w:val="2"/>
            <w:tcBorders>
              <w:top w:val="single" w:sz="4" w:space="0" w:color="auto"/>
              <w:bottom w:val="single" w:sz="4" w:space="0" w:color="auto"/>
              <w:right w:val="single" w:sz="4" w:space="0" w:color="000000" w:themeColor="text1"/>
            </w:tcBorders>
            <w:shd w:val="clear" w:color="auto" w:fill="0B4D2C" w:themeFill="background2" w:themeFillShade="BF"/>
            <w:vAlign w:val="center"/>
          </w:tcPr>
          <w:p w14:paraId="2DB48A58" w14:textId="27F7781B" w:rsidR="00F117DA" w:rsidRPr="00F6205B" w:rsidRDefault="00F117DA" w:rsidP="004F23CF">
            <w:pPr>
              <w:keepNext/>
              <w:keepLines/>
              <w:spacing w:after="0"/>
              <w:contextualSpacing/>
              <w:jc w:val="center"/>
              <w:rPr>
                <w:b/>
                <w:sz w:val="20"/>
                <w:szCs w:val="20"/>
              </w:rPr>
            </w:pPr>
            <w:r w:rsidRPr="00F6205B">
              <w:rPr>
                <w:b/>
                <w:sz w:val="20"/>
                <w:szCs w:val="20"/>
              </w:rPr>
              <w:t>2016 Savings</w:t>
            </w:r>
          </w:p>
        </w:tc>
        <w:tc>
          <w:tcPr>
            <w:tcW w:w="2288" w:type="dxa"/>
            <w:gridSpan w:val="2"/>
            <w:tcBorders>
              <w:top w:val="single" w:sz="4" w:space="0" w:color="auto"/>
              <w:left w:val="single" w:sz="4" w:space="0" w:color="000000" w:themeColor="text1"/>
              <w:bottom w:val="single" w:sz="4" w:space="0" w:color="auto"/>
              <w:right w:val="single" w:sz="4" w:space="0" w:color="auto"/>
            </w:tcBorders>
            <w:shd w:val="clear" w:color="auto" w:fill="0B4D2C" w:themeFill="background2" w:themeFillShade="BF"/>
            <w:vAlign w:val="center"/>
          </w:tcPr>
          <w:p w14:paraId="43C869AE" w14:textId="52E03F67" w:rsidR="00F117DA" w:rsidRPr="00F6205B" w:rsidRDefault="00F117DA" w:rsidP="004F23CF">
            <w:pPr>
              <w:keepNext/>
              <w:keepLines/>
              <w:spacing w:after="0"/>
              <w:contextualSpacing/>
              <w:jc w:val="center"/>
              <w:rPr>
                <w:b/>
                <w:sz w:val="20"/>
                <w:szCs w:val="20"/>
              </w:rPr>
            </w:pPr>
            <w:r w:rsidRPr="00F6205B">
              <w:rPr>
                <w:b/>
                <w:sz w:val="20"/>
                <w:szCs w:val="20"/>
              </w:rPr>
              <w:t>2025 Savings</w:t>
            </w:r>
          </w:p>
        </w:tc>
      </w:tr>
      <w:tr w:rsidR="00F117DA" w:rsidRPr="00F6205B" w14:paraId="2869B7CB" w14:textId="7A8B2321" w:rsidTr="00F52E2F">
        <w:trPr>
          <w:trHeight w:val="288"/>
          <w:jc w:val="center"/>
        </w:trPr>
        <w:tc>
          <w:tcPr>
            <w:tcW w:w="2957" w:type="dxa"/>
            <w:vMerge/>
            <w:tcBorders>
              <w:left w:val="single" w:sz="4" w:space="0" w:color="auto"/>
              <w:bottom w:val="single" w:sz="4" w:space="0" w:color="auto"/>
              <w:right w:val="single" w:sz="4" w:space="0" w:color="000000" w:themeColor="text1"/>
            </w:tcBorders>
            <w:shd w:val="clear" w:color="auto" w:fill="0B4D2C" w:themeFill="background2" w:themeFillShade="BF"/>
            <w:vAlign w:val="center"/>
          </w:tcPr>
          <w:p w14:paraId="7A719831" w14:textId="77777777" w:rsidR="00F117DA" w:rsidRPr="00F6205B" w:rsidRDefault="00F117DA" w:rsidP="004F23CF">
            <w:pPr>
              <w:keepNext/>
              <w:keepLines/>
              <w:spacing w:after="0"/>
              <w:contextualSpacing/>
              <w:rPr>
                <w:b/>
                <w:sz w:val="20"/>
                <w:szCs w:val="20"/>
              </w:rPr>
            </w:pPr>
          </w:p>
        </w:tc>
        <w:tc>
          <w:tcPr>
            <w:tcW w:w="1099" w:type="dxa"/>
            <w:vMerge/>
            <w:tcBorders>
              <w:bottom w:val="single" w:sz="4" w:space="0" w:color="auto"/>
              <w:right w:val="single" w:sz="4" w:space="0" w:color="000000" w:themeColor="text1"/>
            </w:tcBorders>
            <w:shd w:val="clear" w:color="auto" w:fill="0B4D2C" w:themeFill="background2" w:themeFillShade="BF"/>
            <w:vAlign w:val="center"/>
          </w:tcPr>
          <w:p w14:paraId="72E87EFE" w14:textId="77777777" w:rsidR="00F117DA" w:rsidRPr="00F6205B" w:rsidRDefault="00F117DA" w:rsidP="004F23CF">
            <w:pPr>
              <w:keepNext/>
              <w:keepLines/>
              <w:spacing w:after="0"/>
              <w:contextualSpacing/>
              <w:jc w:val="center"/>
              <w:rPr>
                <w:b/>
                <w:sz w:val="20"/>
                <w:szCs w:val="20"/>
              </w:rPr>
            </w:pPr>
          </w:p>
        </w:tc>
        <w:tc>
          <w:tcPr>
            <w:tcW w:w="1099" w:type="dxa"/>
            <w:tcBorders>
              <w:top w:val="single" w:sz="4" w:space="0" w:color="auto"/>
              <w:bottom w:val="single" w:sz="4" w:space="0" w:color="auto"/>
              <w:right w:val="single" w:sz="4" w:space="0" w:color="000000" w:themeColor="text1"/>
            </w:tcBorders>
            <w:shd w:val="clear" w:color="auto" w:fill="0B4D2C" w:themeFill="background2" w:themeFillShade="BF"/>
            <w:vAlign w:val="center"/>
          </w:tcPr>
          <w:p w14:paraId="5C5CC564" w14:textId="2F4DF1E9" w:rsidR="00F117DA" w:rsidRPr="00F6205B" w:rsidRDefault="00F117DA" w:rsidP="004F23CF">
            <w:pPr>
              <w:keepNext/>
              <w:keepLines/>
              <w:spacing w:after="0"/>
              <w:contextualSpacing/>
              <w:jc w:val="center"/>
              <w:rPr>
                <w:b/>
                <w:sz w:val="20"/>
                <w:szCs w:val="20"/>
              </w:rPr>
            </w:pPr>
            <w:r>
              <w:rPr>
                <w:b/>
                <w:sz w:val="20"/>
                <w:szCs w:val="20"/>
              </w:rPr>
              <w:t>MW</w:t>
            </w:r>
          </w:p>
        </w:tc>
        <w:tc>
          <w:tcPr>
            <w:tcW w:w="1144" w:type="dxa"/>
            <w:tcBorders>
              <w:top w:val="single" w:sz="4" w:space="0" w:color="auto"/>
              <w:bottom w:val="single" w:sz="4" w:space="0" w:color="auto"/>
              <w:right w:val="single" w:sz="4" w:space="0" w:color="000000" w:themeColor="text1"/>
            </w:tcBorders>
            <w:shd w:val="clear" w:color="auto" w:fill="0B4D2C" w:themeFill="background2" w:themeFillShade="BF"/>
            <w:vAlign w:val="center"/>
          </w:tcPr>
          <w:p w14:paraId="6E0D758D" w14:textId="0265F265" w:rsidR="00F117DA" w:rsidRPr="00F6205B" w:rsidRDefault="00F117DA" w:rsidP="004F23CF">
            <w:pPr>
              <w:keepNext/>
              <w:keepLines/>
              <w:spacing w:after="0"/>
              <w:contextualSpacing/>
              <w:jc w:val="center"/>
              <w:rPr>
                <w:b/>
                <w:sz w:val="20"/>
                <w:szCs w:val="20"/>
              </w:rPr>
            </w:pPr>
            <w:r>
              <w:rPr>
                <w:b/>
                <w:sz w:val="20"/>
                <w:szCs w:val="20"/>
              </w:rPr>
              <w:t>% of Baseline</w:t>
            </w:r>
          </w:p>
        </w:tc>
        <w:tc>
          <w:tcPr>
            <w:tcW w:w="1144" w:type="dxa"/>
            <w:tcBorders>
              <w:top w:val="single" w:sz="4" w:space="0" w:color="auto"/>
              <w:left w:val="single" w:sz="4" w:space="0" w:color="000000" w:themeColor="text1"/>
              <w:bottom w:val="single" w:sz="4" w:space="0" w:color="auto"/>
              <w:right w:val="single" w:sz="4" w:space="0" w:color="auto"/>
            </w:tcBorders>
            <w:shd w:val="clear" w:color="auto" w:fill="0B4D2C" w:themeFill="background2" w:themeFillShade="BF"/>
            <w:vAlign w:val="center"/>
          </w:tcPr>
          <w:p w14:paraId="15639577" w14:textId="2C12294E" w:rsidR="00F117DA" w:rsidRPr="00F6205B" w:rsidRDefault="00F117DA" w:rsidP="004F23CF">
            <w:pPr>
              <w:keepNext/>
              <w:keepLines/>
              <w:spacing w:after="0"/>
              <w:contextualSpacing/>
              <w:jc w:val="center"/>
              <w:rPr>
                <w:b/>
                <w:sz w:val="20"/>
                <w:szCs w:val="20"/>
              </w:rPr>
            </w:pPr>
            <w:r>
              <w:rPr>
                <w:b/>
                <w:sz w:val="20"/>
                <w:szCs w:val="20"/>
              </w:rPr>
              <w:t>MW</w:t>
            </w:r>
          </w:p>
        </w:tc>
        <w:tc>
          <w:tcPr>
            <w:tcW w:w="1144" w:type="dxa"/>
            <w:tcBorders>
              <w:top w:val="single" w:sz="4" w:space="0" w:color="auto"/>
              <w:left w:val="single" w:sz="4" w:space="0" w:color="000000" w:themeColor="text1"/>
              <w:bottom w:val="single" w:sz="4" w:space="0" w:color="auto"/>
              <w:right w:val="single" w:sz="4" w:space="0" w:color="auto"/>
            </w:tcBorders>
            <w:shd w:val="clear" w:color="auto" w:fill="0B4D2C" w:themeFill="background2" w:themeFillShade="BF"/>
            <w:vAlign w:val="center"/>
          </w:tcPr>
          <w:p w14:paraId="46CFB0E8" w14:textId="02BB8947" w:rsidR="00F117DA" w:rsidRPr="00F6205B" w:rsidRDefault="00F117DA" w:rsidP="004F23CF">
            <w:pPr>
              <w:keepNext/>
              <w:keepLines/>
              <w:spacing w:after="0"/>
              <w:contextualSpacing/>
              <w:jc w:val="center"/>
              <w:rPr>
                <w:b/>
                <w:sz w:val="20"/>
                <w:szCs w:val="20"/>
              </w:rPr>
            </w:pPr>
            <w:r>
              <w:rPr>
                <w:b/>
                <w:sz w:val="20"/>
                <w:szCs w:val="20"/>
              </w:rPr>
              <w:t>% of Baseline</w:t>
            </w:r>
          </w:p>
        </w:tc>
      </w:tr>
      <w:tr w:rsidR="00F117DA" w:rsidRPr="00F6205B" w14:paraId="12ECE36C" w14:textId="28C2A14E" w:rsidTr="00F52E2F">
        <w:trPr>
          <w:trHeight w:val="288"/>
          <w:jc w:val="center"/>
        </w:trPr>
        <w:tc>
          <w:tcPr>
            <w:tcW w:w="2957" w:type="dxa"/>
            <w:tcBorders>
              <w:top w:val="single" w:sz="4" w:space="0" w:color="auto"/>
              <w:left w:val="single" w:sz="4" w:space="0" w:color="auto"/>
              <w:bottom w:val="single" w:sz="4" w:space="0" w:color="000000" w:themeColor="text1"/>
              <w:right w:val="single" w:sz="4" w:space="0" w:color="000000" w:themeColor="text1"/>
            </w:tcBorders>
            <w:vAlign w:val="center"/>
          </w:tcPr>
          <w:p w14:paraId="322D087E" w14:textId="30003165" w:rsidR="00F117DA" w:rsidRPr="00F6205B" w:rsidRDefault="00F117DA" w:rsidP="004F23CF">
            <w:pPr>
              <w:keepNext/>
              <w:keepLines/>
              <w:spacing w:after="0"/>
              <w:contextualSpacing/>
              <w:rPr>
                <w:sz w:val="20"/>
                <w:szCs w:val="20"/>
              </w:rPr>
            </w:pPr>
            <w:r w:rsidRPr="00F6205B">
              <w:rPr>
                <w:sz w:val="20"/>
                <w:szCs w:val="20"/>
              </w:rPr>
              <w:t>Summer peak demand</w:t>
            </w:r>
          </w:p>
        </w:tc>
        <w:tc>
          <w:tcPr>
            <w:tcW w:w="1099" w:type="dxa"/>
            <w:tcBorders>
              <w:top w:val="single" w:sz="4" w:space="0" w:color="auto"/>
              <w:right w:val="single" w:sz="4" w:space="0" w:color="000000" w:themeColor="text1"/>
            </w:tcBorders>
            <w:vAlign w:val="center"/>
          </w:tcPr>
          <w:p w14:paraId="04AB9CDF" w14:textId="365F9746" w:rsidR="00F117DA" w:rsidRPr="00F6205B" w:rsidRDefault="00F117DA" w:rsidP="004F23CF">
            <w:pPr>
              <w:keepNext/>
              <w:keepLines/>
              <w:tabs>
                <w:tab w:val="decimal" w:pos="717"/>
              </w:tabs>
              <w:spacing w:after="0"/>
              <w:contextualSpacing/>
              <w:rPr>
                <w:sz w:val="20"/>
                <w:szCs w:val="20"/>
              </w:rPr>
            </w:pPr>
            <w:r w:rsidRPr="00F6205B">
              <w:rPr>
                <w:sz w:val="20"/>
                <w:szCs w:val="20"/>
              </w:rPr>
              <w:t>3,663</w:t>
            </w:r>
          </w:p>
        </w:tc>
        <w:tc>
          <w:tcPr>
            <w:tcW w:w="1099" w:type="dxa"/>
            <w:tcBorders>
              <w:top w:val="single" w:sz="4" w:space="0" w:color="auto"/>
              <w:bottom w:val="single" w:sz="4" w:space="0" w:color="000000" w:themeColor="text1"/>
              <w:right w:val="single" w:sz="4" w:space="0" w:color="000000" w:themeColor="text1"/>
            </w:tcBorders>
            <w:vAlign w:val="center"/>
          </w:tcPr>
          <w:p w14:paraId="46ADDB59" w14:textId="2246C9A5" w:rsidR="00F117DA" w:rsidRPr="00F6205B" w:rsidRDefault="00F117DA" w:rsidP="004F23CF">
            <w:pPr>
              <w:keepNext/>
              <w:keepLines/>
              <w:tabs>
                <w:tab w:val="decimal" w:pos="698"/>
              </w:tabs>
              <w:spacing w:after="0"/>
              <w:contextualSpacing/>
              <w:rPr>
                <w:sz w:val="20"/>
                <w:szCs w:val="20"/>
              </w:rPr>
            </w:pPr>
            <w:r w:rsidRPr="00F6205B">
              <w:rPr>
                <w:sz w:val="20"/>
                <w:szCs w:val="20"/>
              </w:rPr>
              <w:t>251</w:t>
            </w:r>
          </w:p>
        </w:tc>
        <w:tc>
          <w:tcPr>
            <w:tcW w:w="1144" w:type="dxa"/>
            <w:tcBorders>
              <w:top w:val="single" w:sz="4" w:space="0" w:color="auto"/>
              <w:bottom w:val="single" w:sz="4" w:space="0" w:color="000000" w:themeColor="text1"/>
              <w:right w:val="single" w:sz="4" w:space="0" w:color="000000" w:themeColor="text1"/>
            </w:tcBorders>
            <w:vAlign w:val="center"/>
          </w:tcPr>
          <w:p w14:paraId="70A857C0" w14:textId="4BB4B3BC" w:rsidR="00F117DA" w:rsidRPr="00F6205B" w:rsidRDefault="00186911" w:rsidP="004F23CF">
            <w:pPr>
              <w:keepNext/>
              <w:keepLines/>
              <w:tabs>
                <w:tab w:val="decimal" w:pos="679"/>
              </w:tabs>
              <w:spacing w:after="0"/>
              <w:contextualSpacing/>
              <w:rPr>
                <w:sz w:val="20"/>
                <w:szCs w:val="20"/>
              </w:rPr>
            </w:pPr>
            <w:r>
              <w:rPr>
                <w:sz w:val="20"/>
                <w:szCs w:val="20"/>
              </w:rPr>
              <w:t>7%</w:t>
            </w:r>
          </w:p>
        </w:tc>
        <w:tc>
          <w:tcPr>
            <w:tcW w:w="1144" w:type="dxa"/>
            <w:tcBorders>
              <w:top w:val="single" w:sz="4" w:space="0" w:color="auto"/>
              <w:left w:val="single" w:sz="4" w:space="0" w:color="000000" w:themeColor="text1"/>
              <w:bottom w:val="single" w:sz="4" w:space="0" w:color="000000" w:themeColor="text1"/>
              <w:right w:val="single" w:sz="4" w:space="0" w:color="auto"/>
            </w:tcBorders>
            <w:vAlign w:val="center"/>
          </w:tcPr>
          <w:p w14:paraId="16C4B1FD" w14:textId="022C182E" w:rsidR="00F117DA" w:rsidRPr="00F6205B" w:rsidRDefault="00F117DA" w:rsidP="004F23CF">
            <w:pPr>
              <w:keepNext/>
              <w:keepLines/>
              <w:tabs>
                <w:tab w:val="decimal" w:pos="679"/>
              </w:tabs>
              <w:spacing w:after="0"/>
              <w:contextualSpacing/>
              <w:rPr>
                <w:sz w:val="20"/>
                <w:szCs w:val="20"/>
              </w:rPr>
            </w:pPr>
            <w:r w:rsidRPr="00F6205B">
              <w:rPr>
                <w:sz w:val="20"/>
                <w:szCs w:val="20"/>
              </w:rPr>
              <w:t>236</w:t>
            </w:r>
          </w:p>
        </w:tc>
        <w:tc>
          <w:tcPr>
            <w:tcW w:w="1144" w:type="dxa"/>
            <w:tcBorders>
              <w:top w:val="single" w:sz="4" w:space="0" w:color="auto"/>
              <w:left w:val="single" w:sz="4" w:space="0" w:color="000000" w:themeColor="text1"/>
              <w:bottom w:val="single" w:sz="4" w:space="0" w:color="000000" w:themeColor="text1"/>
              <w:right w:val="single" w:sz="4" w:space="0" w:color="auto"/>
            </w:tcBorders>
            <w:vAlign w:val="center"/>
          </w:tcPr>
          <w:p w14:paraId="4DB2EBD3" w14:textId="357C3BB1" w:rsidR="00F117DA" w:rsidRPr="00F6205B" w:rsidRDefault="00186911" w:rsidP="004F23CF">
            <w:pPr>
              <w:keepNext/>
              <w:keepLines/>
              <w:tabs>
                <w:tab w:val="decimal" w:pos="679"/>
              </w:tabs>
              <w:spacing w:after="0"/>
              <w:contextualSpacing/>
              <w:rPr>
                <w:sz w:val="20"/>
                <w:szCs w:val="20"/>
              </w:rPr>
            </w:pPr>
            <w:r>
              <w:rPr>
                <w:sz w:val="20"/>
                <w:szCs w:val="20"/>
              </w:rPr>
              <w:t>6%</w:t>
            </w:r>
          </w:p>
        </w:tc>
      </w:tr>
      <w:tr w:rsidR="00F117DA" w:rsidRPr="00F6205B" w14:paraId="03F55883" w14:textId="640DEA39" w:rsidTr="00F52E2F">
        <w:trPr>
          <w:trHeight w:val="288"/>
          <w:jc w:val="center"/>
        </w:trPr>
        <w:tc>
          <w:tcPr>
            <w:tcW w:w="2957" w:type="dxa"/>
            <w:tcBorders>
              <w:top w:val="single" w:sz="4" w:space="0" w:color="000000" w:themeColor="text1"/>
              <w:left w:val="single" w:sz="4" w:space="0" w:color="auto"/>
              <w:bottom w:val="single" w:sz="4" w:space="0" w:color="auto"/>
              <w:right w:val="single" w:sz="4" w:space="0" w:color="000000" w:themeColor="text1"/>
            </w:tcBorders>
            <w:vAlign w:val="center"/>
          </w:tcPr>
          <w:p w14:paraId="24DD55AA" w14:textId="03E72114" w:rsidR="00F117DA" w:rsidRPr="00F6205B" w:rsidRDefault="00F117DA" w:rsidP="004F23CF">
            <w:pPr>
              <w:keepNext/>
              <w:keepLines/>
              <w:spacing w:after="0"/>
              <w:contextualSpacing/>
              <w:rPr>
                <w:sz w:val="20"/>
                <w:szCs w:val="20"/>
              </w:rPr>
            </w:pPr>
            <w:r w:rsidRPr="00F6205B">
              <w:rPr>
                <w:sz w:val="20"/>
                <w:szCs w:val="20"/>
              </w:rPr>
              <w:t>Winter peak demand</w:t>
            </w:r>
          </w:p>
        </w:tc>
        <w:tc>
          <w:tcPr>
            <w:tcW w:w="1099" w:type="dxa"/>
            <w:tcBorders>
              <w:bottom w:val="single" w:sz="4" w:space="0" w:color="auto"/>
              <w:right w:val="single" w:sz="4" w:space="0" w:color="000000" w:themeColor="text1"/>
            </w:tcBorders>
            <w:vAlign w:val="center"/>
          </w:tcPr>
          <w:p w14:paraId="5A2C33C5" w14:textId="3629EB52" w:rsidR="00F117DA" w:rsidRPr="00F6205B" w:rsidRDefault="00F117DA" w:rsidP="004F23CF">
            <w:pPr>
              <w:tabs>
                <w:tab w:val="decimal" w:pos="717"/>
              </w:tabs>
              <w:contextualSpacing/>
              <w:rPr>
                <w:color w:val="000000"/>
                <w:sz w:val="20"/>
                <w:szCs w:val="20"/>
              </w:rPr>
            </w:pPr>
            <w:r w:rsidRPr="00F6205B">
              <w:rPr>
                <w:sz w:val="20"/>
                <w:szCs w:val="20"/>
              </w:rPr>
              <w:t>3,613</w:t>
            </w:r>
          </w:p>
        </w:tc>
        <w:tc>
          <w:tcPr>
            <w:tcW w:w="1099" w:type="dxa"/>
            <w:tcBorders>
              <w:top w:val="single" w:sz="4" w:space="0" w:color="000000" w:themeColor="text1"/>
              <w:bottom w:val="single" w:sz="4" w:space="0" w:color="auto"/>
              <w:right w:val="single" w:sz="4" w:space="0" w:color="000000" w:themeColor="text1"/>
            </w:tcBorders>
            <w:vAlign w:val="center"/>
          </w:tcPr>
          <w:p w14:paraId="6CCB04AD" w14:textId="4A6B06B2" w:rsidR="00F117DA" w:rsidRPr="00F6205B" w:rsidRDefault="00F117DA" w:rsidP="004F23CF">
            <w:pPr>
              <w:tabs>
                <w:tab w:val="decimal" w:pos="698"/>
              </w:tabs>
              <w:contextualSpacing/>
              <w:rPr>
                <w:color w:val="000000"/>
                <w:sz w:val="20"/>
                <w:szCs w:val="20"/>
              </w:rPr>
            </w:pPr>
            <w:r w:rsidRPr="00F6205B">
              <w:rPr>
                <w:color w:val="000000"/>
                <w:sz w:val="20"/>
                <w:szCs w:val="20"/>
              </w:rPr>
              <w:t>307</w:t>
            </w:r>
          </w:p>
        </w:tc>
        <w:tc>
          <w:tcPr>
            <w:tcW w:w="1144" w:type="dxa"/>
            <w:tcBorders>
              <w:top w:val="single" w:sz="4" w:space="0" w:color="000000" w:themeColor="text1"/>
              <w:bottom w:val="single" w:sz="4" w:space="0" w:color="auto"/>
              <w:right w:val="single" w:sz="4" w:space="0" w:color="000000" w:themeColor="text1"/>
            </w:tcBorders>
            <w:vAlign w:val="center"/>
          </w:tcPr>
          <w:p w14:paraId="52C6D085" w14:textId="59234225" w:rsidR="00F117DA" w:rsidRPr="00F6205B" w:rsidRDefault="00186911" w:rsidP="004F23CF">
            <w:pPr>
              <w:tabs>
                <w:tab w:val="decimal" w:pos="679"/>
              </w:tabs>
              <w:contextualSpacing/>
              <w:rPr>
                <w:color w:val="000000"/>
                <w:sz w:val="20"/>
                <w:szCs w:val="20"/>
              </w:rPr>
            </w:pPr>
            <w:r>
              <w:rPr>
                <w:color w:val="000000"/>
                <w:sz w:val="20"/>
                <w:szCs w:val="20"/>
              </w:rPr>
              <w:t>8%</w:t>
            </w:r>
          </w:p>
        </w:tc>
        <w:tc>
          <w:tcPr>
            <w:tcW w:w="1144" w:type="dxa"/>
            <w:tcBorders>
              <w:top w:val="single" w:sz="4" w:space="0" w:color="000000" w:themeColor="text1"/>
              <w:left w:val="single" w:sz="4" w:space="0" w:color="000000" w:themeColor="text1"/>
              <w:bottom w:val="single" w:sz="4" w:space="0" w:color="auto"/>
              <w:right w:val="single" w:sz="4" w:space="0" w:color="auto"/>
            </w:tcBorders>
            <w:vAlign w:val="center"/>
          </w:tcPr>
          <w:p w14:paraId="437F4135" w14:textId="053B660E" w:rsidR="00F117DA" w:rsidRPr="00F6205B" w:rsidRDefault="00F117DA" w:rsidP="004F23CF">
            <w:pPr>
              <w:tabs>
                <w:tab w:val="decimal" w:pos="679"/>
              </w:tabs>
              <w:contextualSpacing/>
              <w:rPr>
                <w:color w:val="000000"/>
                <w:sz w:val="20"/>
                <w:szCs w:val="20"/>
              </w:rPr>
            </w:pPr>
            <w:r w:rsidRPr="00F6205B">
              <w:rPr>
                <w:color w:val="000000"/>
                <w:sz w:val="20"/>
                <w:szCs w:val="20"/>
              </w:rPr>
              <w:t>294</w:t>
            </w:r>
          </w:p>
        </w:tc>
        <w:tc>
          <w:tcPr>
            <w:tcW w:w="1144" w:type="dxa"/>
            <w:tcBorders>
              <w:top w:val="single" w:sz="4" w:space="0" w:color="000000" w:themeColor="text1"/>
              <w:left w:val="single" w:sz="4" w:space="0" w:color="000000" w:themeColor="text1"/>
              <w:bottom w:val="single" w:sz="4" w:space="0" w:color="auto"/>
              <w:right w:val="single" w:sz="4" w:space="0" w:color="auto"/>
            </w:tcBorders>
            <w:vAlign w:val="center"/>
          </w:tcPr>
          <w:p w14:paraId="04DF6E1E" w14:textId="2C728108" w:rsidR="00F117DA" w:rsidRPr="00F6205B" w:rsidRDefault="00186911" w:rsidP="004F23CF">
            <w:pPr>
              <w:tabs>
                <w:tab w:val="decimal" w:pos="679"/>
              </w:tabs>
              <w:contextualSpacing/>
              <w:rPr>
                <w:color w:val="000000"/>
                <w:sz w:val="20"/>
                <w:szCs w:val="20"/>
              </w:rPr>
            </w:pPr>
            <w:r>
              <w:rPr>
                <w:color w:val="000000"/>
                <w:sz w:val="20"/>
                <w:szCs w:val="20"/>
              </w:rPr>
              <w:t>8%</w:t>
            </w:r>
          </w:p>
        </w:tc>
      </w:tr>
    </w:tbl>
    <w:p w14:paraId="76514D4A" w14:textId="60B40798" w:rsidR="00A50E67" w:rsidRPr="004853DB" w:rsidRDefault="007C4167" w:rsidP="007C4167">
      <w:pPr>
        <w:tabs>
          <w:tab w:val="left" w:pos="1770"/>
        </w:tabs>
        <w:spacing w:after="200"/>
        <w:ind w:left="810"/>
        <w:rPr>
          <w:sz w:val="18"/>
          <w:szCs w:val="18"/>
        </w:rPr>
      </w:pPr>
      <w:r w:rsidRPr="004853DB">
        <w:rPr>
          <w:sz w:val="18"/>
          <w:szCs w:val="18"/>
        </w:rPr>
        <w:t xml:space="preserve">* </w:t>
      </w:r>
      <w:r w:rsidR="004853DB" w:rsidRPr="004853DB">
        <w:rPr>
          <w:sz w:val="18"/>
          <w:szCs w:val="18"/>
        </w:rPr>
        <w:t xml:space="preserve">See the </w:t>
      </w:r>
      <w:r w:rsidR="004853DB" w:rsidRPr="004853DB">
        <w:rPr>
          <w:sz w:val="18"/>
          <w:szCs w:val="18"/>
        </w:rPr>
        <w:fldChar w:fldCharType="begin"/>
      </w:r>
      <w:r w:rsidR="004853DB" w:rsidRPr="004853DB">
        <w:rPr>
          <w:sz w:val="18"/>
          <w:szCs w:val="18"/>
        </w:rPr>
        <w:instrText xml:space="preserve"> REF _Ref439250164 \h </w:instrText>
      </w:r>
      <w:r w:rsidR="004853DB">
        <w:rPr>
          <w:sz w:val="18"/>
          <w:szCs w:val="18"/>
        </w:rPr>
        <w:instrText xml:space="preserve"> \* MERGEFORMAT </w:instrText>
      </w:r>
      <w:r w:rsidR="004853DB" w:rsidRPr="004853DB">
        <w:rPr>
          <w:sz w:val="18"/>
          <w:szCs w:val="18"/>
        </w:rPr>
      </w:r>
      <w:r w:rsidR="004853DB" w:rsidRPr="004853DB">
        <w:rPr>
          <w:sz w:val="18"/>
          <w:szCs w:val="18"/>
        </w:rPr>
        <w:fldChar w:fldCharType="separate"/>
      </w:r>
      <w:r w:rsidR="00FA26A9" w:rsidRPr="00FA26A9">
        <w:rPr>
          <w:sz w:val="18"/>
          <w:szCs w:val="18"/>
        </w:rPr>
        <w:t>Methodology</w:t>
      </w:r>
      <w:r w:rsidR="004853DB" w:rsidRPr="004853DB">
        <w:rPr>
          <w:sz w:val="18"/>
          <w:szCs w:val="18"/>
        </w:rPr>
        <w:fldChar w:fldCharType="end"/>
      </w:r>
      <w:r w:rsidR="004853DB" w:rsidRPr="004853DB">
        <w:rPr>
          <w:sz w:val="18"/>
          <w:szCs w:val="18"/>
        </w:rPr>
        <w:t xml:space="preserve"> section of this report</w:t>
      </w:r>
      <w:r w:rsidR="00A50E67" w:rsidRPr="004853DB">
        <w:rPr>
          <w:sz w:val="18"/>
          <w:szCs w:val="18"/>
        </w:rPr>
        <w:t xml:space="preserve"> for details on the methodology and coincidence factors.</w:t>
      </w:r>
    </w:p>
    <w:p w14:paraId="23D55342" w14:textId="5D5A63FB" w:rsidR="007277B9" w:rsidRDefault="007277B9" w:rsidP="007277B9">
      <w:pPr>
        <w:pStyle w:val="Heading2"/>
        <w:numPr>
          <w:ilvl w:val="0"/>
          <w:numId w:val="0"/>
        </w:numPr>
      </w:pPr>
      <w:bookmarkStart w:id="325" w:name="_Ref439698086"/>
      <w:bookmarkStart w:id="326" w:name="_Toc439939409"/>
      <w:r>
        <w:t>Comparison to Projected Program Savings</w:t>
      </w:r>
      <w:bookmarkEnd w:id="325"/>
      <w:bookmarkEnd w:id="326"/>
    </w:p>
    <w:p w14:paraId="6FBA7A62" w14:textId="0709E08D" w:rsidR="007277B9" w:rsidRDefault="00AE21A7" w:rsidP="007277B9">
      <w:r>
        <w:fldChar w:fldCharType="begin"/>
      </w:r>
      <w:r>
        <w:instrText xml:space="preserve"> REF _Ref439673483 \h </w:instrText>
      </w:r>
      <w:r>
        <w:fldChar w:fldCharType="separate"/>
      </w:r>
      <w:r w:rsidR="00FA26A9">
        <w:t xml:space="preserve">Table </w:t>
      </w:r>
      <w:r w:rsidR="00FA26A9">
        <w:rPr>
          <w:noProof/>
        </w:rPr>
        <w:t>35</w:t>
      </w:r>
      <w:r>
        <w:fldChar w:fldCharType="end"/>
      </w:r>
      <w:r>
        <w:t xml:space="preserve"> shows the amount of program funding that would be necessary </w:t>
      </w:r>
      <w:r w:rsidR="00BE18A6">
        <w:t>to achieve the amount of savings estimated by the maximum achievable potential analysis. Projected program costs and savings for 2016,</w:t>
      </w:r>
      <w:r w:rsidR="00490103">
        <w:rPr>
          <w:rStyle w:val="FootnoteReference"/>
        </w:rPr>
        <w:footnoteReference w:id="72"/>
      </w:r>
      <w:r w:rsidR="00BE18A6">
        <w:t xml:space="preserve"> provided by Eversource, suggest a cost of $0.52 per kWh of electric savings and $54.39 per MMBtu of fossil fuel savings.</w:t>
      </w:r>
    </w:p>
    <w:p w14:paraId="7333CDD9" w14:textId="55655380" w:rsidR="00BE18A6" w:rsidRDefault="00C16623" w:rsidP="007277B9">
      <w:r>
        <w:t>T</w:t>
      </w:r>
      <w:r w:rsidR="00BE18A6">
        <w:t xml:space="preserve">hese projected figures </w:t>
      </w:r>
      <w:r w:rsidR="00077883">
        <w:t>indicate</w:t>
      </w:r>
      <w:r w:rsidR="00BE18A6">
        <w:t xml:space="preserve"> that it would cost </w:t>
      </w:r>
      <w:r w:rsidR="00077883">
        <w:t xml:space="preserve">roughly </w:t>
      </w:r>
      <w:r w:rsidRPr="00884603">
        <w:rPr>
          <w:b/>
        </w:rPr>
        <w:t>$424 million</w:t>
      </w:r>
      <w:r w:rsidR="00884603" w:rsidRPr="00884603">
        <w:rPr>
          <w:b/>
        </w:rPr>
        <w:t xml:space="preserve"> </w:t>
      </w:r>
      <w:r w:rsidR="00013D0B" w:rsidRPr="00884603">
        <w:rPr>
          <w:b/>
        </w:rPr>
        <w:t>in 2016 alone</w:t>
      </w:r>
      <w:r w:rsidR="00884603">
        <w:t xml:space="preserve"> </w:t>
      </w:r>
      <w:r>
        <w:t>for the program to effect the amount of savings that result</w:t>
      </w:r>
      <w:r w:rsidR="00077883">
        <w:t>s</w:t>
      </w:r>
      <w:r>
        <w:t xml:space="preserve"> from the analysis, or </w:t>
      </w:r>
      <w:r w:rsidR="00684A7C">
        <w:t>about 5.5</w:t>
      </w:r>
      <w:r>
        <w:t xml:space="preserve"> times the amount of money that the Companies project will </w:t>
      </w:r>
      <w:r w:rsidR="00490103">
        <w:t xml:space="preserve">actually </w:t>
      </w:r>
      <w:r>
        <w:t>be spent on program activities in 2016.</w:t>
      </w:r>
    </w:p>
    <w:p w14:paraId="2ABCAF27" w14:textId="6ABE577C" w:rsidR="00AE21A7" w:rsidRDefault="00AE21A7" w:rsidP="00AE21A7">
      <w:pPr>
        <w:pStyle w:val="Caption"/>
      </w:pPr>
      <w:bookmarkStart w:id="327" w:name="_Ref439673483"/>
      <w:bookmarkStart w:id="328" w:name="_Toc439931866"/>
      <w:r>
        <w:t xml:space="preserve">Table </w:t>
      </w:r>
      <w:fldSimple w:instr=" SEQ Table \* ARABIC ">
        <w:r w:rsidR="00FA26A9">
          <w:rPr>
            <w:noProof/>
          </w:rPr>
          <w:t>35</w:t>
        </w:r>
      </w:fldSimple>
      <w:bookmarkEnd w:id="327"/>
      <w:r>
        <w:t>: Extrapolated Costs Necessary to Achieve 2016 Maximum Achievable Potential Savings</w:t>
      </w:r>
      <w:bookmarkEnd w:id="328"/>
    </w:p>
    <w:tbl>
      <w:tblPr>
        <w:tblStyle w:val="TableGrid"/>
        <w:tblW w:w="8996"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1769"/>
        <w:gridCol w:w="931"/>
        <w:gridCol w:w="1208"/>
        <w:gridCol w:w="1208"/>
        <w:gridCol w:w="1180"/>
        <w:gridCol w:w="1236"/>
        <w:gridCol w:w="1464"/>
      </w:tblGrid>
      <w:tr w:rsidR="00AB23B7" w:rsidRPr="00F6205B" w14:paraId="3B21EB65" w14:textId="77777777" w:rsidTr="00C16623">
        <w:trPr>
          <w:trHeight w:val="288"/>
          <w:jc w:val="center"/>
        </w:trPr>
        <w:tc>
          <w:tcPr>
            <w:tcW w:w="1769" w:type="dxa"/>
            <w:vMerge w:val="restart"/>
            <w:tcBorders>
              <w:top w:val="single" w:sz="4" w:space="0" w:color="auto"/>
              <w:left w:val="single" w:sz="4" w:space="0" w:color="auto"/>
              <w:right w:val="single" w:sz="4" w:space="0" w:color="000000" w:themeColor="text1"/>
            </w:tcBorders>
            <w:shd w:val="clear" w:color="auto" w:fill="0B4D2C" w:themeFill="background2" w:themeFillShade="BF"/>
            <w:vAlign w:val="center"/>
          </w:tcPr>
          <w:p w14:paraId="009C321E" w14:textId="3D9D61CC" w:rsidR="00AB23B7" w:rsidRPr="00F6205B" w:rsidRDefault="00AB23B7" w:rsidP="00AD4AA9">
            <w:pPr>
              <w:keepNext/>
              <w:keepLines/>
              <w:spacing w:after="0"/>
              <w:contextualSpacing/>
              <w:rPr>
                <w:b/>
                <w:sz w:val="20"/>
                <w:szCs w:val="20"/>
              </w:rPr>
            </w:pPr>
            <w:r>
              <w:rPr>
                <w:b/>
                <w:sz w:val="20"/>
                <w:szCs w:val="20"/>
              </w:rPr>
              <w:t>Fuel type</w:t>
            </w:r>
          </w:p>
        </w:tc>
        <w:tc>
          <w:tcPr>
            <w:tcW w:w="931" w:type="dxa"/>
            <w:vMerge w:val="restart"/>
            <w:tcBorders>
              <w:top w:val="single" w:sz="4" w:space="0" w:color="auto"/>
            </w:tcBorders>
            <w:shd w:val="clear" w:color="auto" w:fill="0B4D2C" w:themeFill="background2" w:themeFillShade="BF"/>
            <w:vAlign w:val="center"/>
          </w:tcPr>
          <w:p w14:paraId="6C1FE3F6" w14:textId="1E276FA9" w:rsidR="00AB23B7" w:rsidRDefault="00AB23B7" w:rsidP="00AD4AA9">
            <w:pPr>
              <w:keepNext/>
              <w:keepLines/>
              <w:spacing w:after="0"/>
              <w:contextualSpacing/>
              <w:jc w:val="center"/>
              <w:rPr>
                <w:b/>
                <w:sz w:val="20"/>
                <w:szCs w:val="20"/>
              </w:rPr>
            </w:pPr>
            <w:r>
              <w:rPr>
                <w:b/>
                <w:sz w:val="20"/>
                <w:szCs w:val="20"/>
              </w:rPr>
              <w:t>Unit</w:t>
            </w:r>
          </w:p>
        </w:tc>
        <w:tc>
          <w:tcPr>
            <w:tcW w:w="3596" w:type="dxa"/>
            <w:gridSpan w:val="3"/>
            <w:tcBorders>
              <w:top w:val="single" w:sz="4" w:space="0" w:color="auto"/>
              <w:bottom w:val="single" w:sz="4" w:space="0" w:color="auto"/>
            </w:tcBorders>
            <w:shd w:val="clear" w:color="auto" w:fill="0B4D2C" w:themeFill="background2" w:themeFillShade="BF"/>
            <w:vAlign w:val="center"/>
          </w:tcPr>
          <w:p w14:paraId="4E211EAF" w14:textId="35D84828" w:rsidR="00AB23B7" w:rsidRPr="00F6205B" w:rsidRDefault="00AB23B7" w:rsidP="00AD4AA9">
            <w:pPr>
              <w:keepNext/>
              <w:keepLines/>
              <w:spacing w:after="0"/>
              <w:contextualSpacing/>
              <w:jc w:val="center"/>
              <w:rPr>
                <w:b/>
                <w:sz w:val="20"/>
                <w:szCs w:val="20"/>
              </w:rPr>
            </w:pPr>
            <w:r>
              <w:rPr>
                <w:b/>
                <w:sz w:val="20"/>
                <w:szCs w:val="20"/>
              </w:rPr>
              <w:t>Program Projected (2016)</w:t>
            </w:r>
          </w:p>
        </w:tc>
        <w:tc>
          <w:tcPr>
            <w:tcW w:w="2700" w:type="dxa"/>
            <w:gridSpan w:val="2"/>
            <w:tcBorders>
              <w:top w:val="single" w:sz="4" w:space="0" w:color="auto"/>
              <w:bottom w:val="single" w:sz="4" w:space="0" w:color="auto"/>
              <w:right w:val="single" w:sz="4" w:space="0" w:color="auto"/>
            </w:tcBorders>
            <w:shd w:val="clear" w:color="auto" w:fill="0B4D2C" w:themeFill="background2" w:themeFillShade="BF"/>
            <w:vAlign w:val="center"/>
          </w:tcPr>
          <w:p w14:paraId="21970EDD" w14:textId="25C4755F" w:rsidR="00AB23B7" w:rsidRPr="00F6205B" w:rsidRDefault="00AB23B7" w:rsidP="00AD4AA9">
            <w:pPr>
              <w:keepNext/>
              <w:keepLines/>
              <w:spacing w:after="0"/>
              <w:contextualSpacing/>
              <w:jc w:val="center"/>
              <w:rPr>
                <w:b/>
                <w:sz w:val="20"/>
                <w:szCs w:val="20"/>
              </w:rPr>
            </w:pPr>
            <w:r>
              <w:rPr>
                <w:b/>
                <w:sz w:val="20"/>
                <w:szCs w:val="20"/>
              </w:rPr>
              <w:t>Achievable Potential (2016)</w:t>
            </w:r>
          </w:p>
        </w:tc>
      </w:tr>
      <w:tr w:rsidR="00AB23B7" w:rsidRPr="00F6205B" w14:paraId="5E291E61" w14:textId="77777777" w:rsidTr="00C16623">
        <w:trPr>
          <w:trHeight w:val="288"/>
          <w:jc w:val="center"/>
        </w:trPr>
        <w:tc>
          <w:tcPr>
            <w:tcW w:w="1769" w:type="dxa"/>
            <w:vMerge/>
            <w:tcBorders>
              <w:left w:val="single" w:sz="4" w:space="0" w:color="auto"/>
              <w:bottom w:val="single" w:sz="4" w:space="0" w:color="auto"/>
              <w:right w:val="single" w:sz="4" w:space="0" w:color="000000" w:themeColor="text1"/>
            </w:tcBorders>
            <w:shd w:val="clear" w:color="auto" w:fill="0B4D2C" w:themeFill="background2" w:themeFillShade="BF"/>
            <w:vAlign w:val="center"/>
          </w:tcPr>
          <w:p w14:paraId="1AE000E6" w14:textId="77777777" w:rsidR="00AB23B7" w:rsidRDefault="00AB23B7" w:rsidP="00AB23B7">
            <w:pPr>
              <w:keepNext/>
              <w:keepLines/>
              <w:spacing w:after="0"/>
              <w:contextualSpacing/>
              <w:rPr>
                <w:b/>
                <w:sz w:val="20"/>
                <w:szCs w:val="20"/>
              </w:rPr>
            </w:pPr>
          </w:p>
        </w:tc>
        <w:tc>
          <w:tcPr>
            <w:tcW w:w="931" w:type="dxa"/>
            <w:vMerge/>
            <w:tcBorders>
              <w:bottom w:val="single" w:sz="4" w:space="0" w:color="auto"/>
            </w:tcBorders>
            <w:shd w:val="clear" w:color="auto" w:fill="0B4D2C" w:themeFill="background2" w:themeFillShade="BF"/>
            <w:vAlign w:val="center"/>
          </w:tcPr>
          <w:p w14:paraId="2F6C19B0" w14:textId="77777777" w:rsidR="00AB23B7" w:rsidRDefault="00AB23B7" w:rsidP="00AB23B7">
            <w:pPr>
              <w:keepNext/>
              <w:keepLines/>
              <w:spacing w:after="0"/>
              <w:contextualSpacing/>
              <w:jc w:val="center"/>
              <w:rPr>
                <w:b/>
                <w:sz w:val="20"/>
                <w:szCs w:val="20"/>
              </w:rPr>
            </w:pPr>
          </w:p>
        </w:tc>
        <w:tc>
          <w:tcPr>
            <w:tcW w:w="1208" w:type="dxa"/>
            <w:tcBorders>
              <w:top w:val="single" w:sz="4" w:space="0" w:color="auto"/>
              <w:bottom w:val="single" w:sz="4" w:space="0" w:color="auto"/>
              <w:right w:val="single" w:sz="4" w:space="0" w:color="000000" w:themeColor="text1"/>
            </w:tcBorders>
            <w:shd w:val="clear" w:color="auto" w:fill="0B4D2C" w:themeFill="background2" w:themeFillShade="BF"/>
            <w:vAlign w:val="center"/>
          </w:tcPr>
          <w:p w14:paraId="1E8F30F4" w14:textId="5A9B8BEE" w:rsidR="00AB23B7" w:rsidRPr="00F6205B" w:rsidRDefault="00AB23B7" w:rsidP="00AB23B7">
            <w:pPr>
              <w:keepNext/>
              <w:keepLines/>
              <w:spacing w:after="0"/>
              <w:contextualSpacing/>
              <w:jc w:val="center"/>
              <w:rPr>
                <w:b/>
                <w:sz w:val="20"/>
                <w:szCs w:val="20"/>
              </w:rPr>
            </w:pPr>
            <w:r>
              <w:rPr>
                <w:b/>
                <w:sz w:val="20"/>
                <w:szCs w:val="20"/>
              </w:rPr>
              <w:t>Cost (Million $)</w:t>
            </w:r>
          </w:p>
        </w:tc>
        <w:tc>
          <w:tcPr>
            <w:tcW w:w="1208" w:type="dxa"/>
            <w:tcBorders>
              <w:top w:val="single" w:sz="4" w:space="0" w:color="auto"/>
              <w:bottom w:val="single" w:sz="4" w:space="0" w:color="auto"/>
            </w:tcBorders>
            <w:shd w:val="clear" w:color="auto" w:fill="0B4D2C" w:themeFill="background2" w:themeFillShade="BF"/>
            <w:vAlign w:val="center"/>
          </w:tcPr>
          <w:p w14:paraId="468784CE" w14:textId="058368C3" w:rsidR="00AB23B7" w:rsidRDefault="00AB23B7" w:rsidP="00AB23B7">
            <w:pPr>
              <w:keepNext/>
              <w:keepLines/>
              <w:spacing w:after="0"/>
              <w:contextualSpacing/>
              <w:jc w:val="center"/>
              <w:rPr>
                <w:b/>
                <w:sz w:val="20"/>
                <w:szCs w:val="20"/>
              </w:rPr>
            </w:pPr>
            <w:r>
              <w:rPr>
                <w:b/>
                <w:sz w:val="20"/>
                <w:szCs w:val="20"/>
              </w:rPr>
              <w:t>Cost per Unit of Savings</w:t>
            </w:r>
          </w:p>
        </w:tc>
        <w:tc>
          <w:tcPr>
            <w:tcW w:w="1180" w:type="dxa"/>
            <w:tcBorders>
              <w:top w:val="single" w:sz="4" w:space="0" w:color="auto"/>
              <w:bottom w:val="single" w:sz="4" w:space="0" w:color="auto"/>
            </w:tcBorders>
            <w:shd w:val="clear" w:color="auto" w:fill="0B4D2C" w:themeFill="background2" w:themeFillShade="BF"/>
            <w:vAlign w:val="center"/>
          </w:tcPr>
          <w:p w14:paraId="7655B95C" w14:textId="2E0D206D" w:rsidR="00AB23B7" w:rsidRPr="00F6205B" w:rsidRDefault="00AB23B7" w:rsidP="00AB23B7">
            <w:pPr>
              <w:keepNext/>
              <w:keepLines/>
              <w:spacing w:after="0"/>
              <w:contextualSpacing/>
              <w:jc w:val="center"/>
              <w:rPr>
                <w:b/>
                <w:sz w:val="20"/>
                <w:szCs w:val="20"/>
              </w:rPr>
            </w:pPr>
            <w:r>
              <w:rPr>
                <w:b/>
                <w:sz w:val="20"/>
                <w:szCs w:val="20"/>
              </w:rPr>
              <w:t>Savings</w:t>
            </w:r>
          </w:p>
        </w:tc>
        <w:tc>
          <w:tcPr>
            <w:tcW w:w="1236" w:type="dxa"/>
            <w:tcBorders>
              <w:top w:val="single" w:sz="4" w:space="0" w:color="auto"/>
              <w:bottom w:val="single" w:sz="4" w:space="0" w:color="auto"/>
              <w:right w:val="single" w:sz="4" w:space="0" w:color="000000" w:themeColor="text1"/>
            </w:tcBorders>
            <w:shd w:val="clear" w:color="auto" w:fill="0B4D2C" w:themeFill="background2" w:themeFillShade="BF"/>
            <w:vAlign w:val="center"/>
          </w:tcPr>
          <w:p w14:paraId="51B4EB84" w14:textId="6BFD99F9" w:rsidR="00AB23B7" w:rsidRPr="00F6205B" w:rsidRDefault="00AB23B7" w:rsidP="00AB23B7">
            <w:pPr>
              <w:keepNext/>
              <w:keepLines/>
              <w:spacing w:after="0"/>
              <w:contextualSpacing/>
              <w:jc w:val="center"/>
              <w:rPr>
                <w:b/>
                <w:sz w:val="20"/>
                <w:szCs w:val="20"/>
              </w:rPr>
            </w:pPr>
            <w:r>
              <w:rPr>
                <w:b/>
                <w:sz w:val="20"/>
                <w:szCs w:val="20"/>
              </w:rPr>
              <w:t>Savings</w:t>
            </w:r>
          </w:p>
        </w:tc>
        <w:tc>
          <w:tcPr>
            <w:tcW w:w="1464" w:type="dxa"/>
            <w:tcBorders>
              <w:top w:val="single" w:sz="4" w:space="0" w:color="auto"/>
              <w:left w:val="single" w:sz="4" w:space="0" w:color="000000" w:themeColor="text1"/>
              <w:bottom w:val="single" w:sz="4" w:space="0" w:color="auto"/>
              <w:right w:val="single" w:sz="4" w:space="0" w:color="auto"/>
            </w:tcBorders>
            <w:shd w:val="clear" w:color="auto" w:fill="0B4D2C" w:themeFill="background2" w:themeFillShade="BF"/>
            <w:vAlign w:val="center"/>
          </w:tcPr>
          <w:p w14:paraId="24BC12C7" w14:textId="2642F32A" w:rsidR="00AB23B7" w:rsidRPr="00F6205B" w:rsidRDefault="00BE18A6" w:rsidP="00C16623">
            <w:pPr>
              <w:keepNext/>
              <w:keepLines/>
              <w:spacing w:after="0"/>
              <w:contextualSpacing/>
              <w:jc w:val="center"/>
              <w:rPr>
                <w:b/>
                <w:sz w:val="20"/>
                <w:szCs w:val="20"/>
              </w:rPr>
            </w:pPr>
            <w:r>
              <w:rPr>
                <w:b/>
                <w:sz w:val="20"/>
                <w:szCs w:val="20"/>
              </w:rPr>
              <w:t>E</w:t>
            </w:r>
            <w:r w:rsidR="00C16623">
              <w:rPr>
                <w:b/>
                <w:sz w:val="20"/>
                <w:szCs w:val="20"/>
              </w:rPr>
              <w:t>xtrapolated</w:t>
            </w:r>
            <w:r>
              <w:rPr>
                <w:b/>
                <w:sz w:val="20"/>
                <w:szCs w:val="20"/>
              </w:rPr>
              <w:t xml:space="preserve"> </w:t>
            </w:r>
            <w:r w:rsidR="00AB23B7">
              <w:rPr>
                <w:b/>
                <w:sz w:val="20"/>
                <w:szCs w:val="20"/>
              </w:rPr>
              <w:t xml:space="preserve">Cost </w:t>
            </w:r>
            <w:r w:rsidR="00C16623">
              <w:rPr>
                <w:b/>
                <w:sz w:val="20"/>
                <w:szCs w:val="20"/>
              </w:rPr>
              <w:t xml:space="preserve">  </w:t>
            </w:r>
            <w:r w:rsidR="00AB23B7">
              <w:rPr>
                <w:b/>
                <w:sz w:val="20"/>
                <w:szCs w:val="20"/>
              </w:rPr>
              <w:t>(Million $)</w:t>
            </w:r>
          </w:p>
        </w:tc>
      </w:tr>
      <w:tr w:rsidR="00AB23B7" w:rsidRPr="00F6205B" w14:paraId="04828D9A" w14:textId="77777777" w:rsidTr="00C16623">
        <w:trPr>
          <w:trHeight w:val="288"/>
          <w:jc w:val="center"/>
        </w:trPr>
        <w:tc>
          <w:tcPr>
            <w:tcW w:w="1769" w:type="dxa"/>
            <w:tcBorders>
              <w:top w:val="single" w:sz="4" w:space="0" w:color="auto"/>
              <w:left w:val="single" w:sz="4" w:space="0" w:color="auto"/>
              <w:bottom w:val="single" w:sz="4" w:space="0" w:color="000000" w:themeColor="text1"/>
              <w:right w:val="single" w:sz="4" w:space="0" w:color="000000" w:themeColor="text1"/>
            </w:tcBorders>
            <w:vAlign w:val="center"/>
          </w:tcPr>
          <w:p w14:paraId="1F505F3E" w14:textId="425A9A55" w:rsidR="00AB23B7" w:rsidRPr="00F6205B" w:rsidRDefault="00AB23B7" w:rsidP="00AB23B7">
            <w:pPr>
              <w:keepNext/>
              <w:keepLines/>
              <w:spacing w:after="0"/>
              <w:contextualSpacing/>
              <w:rPr>
                <w:sz w:val="20"/>
                <w:szCs w:val="20"/>
              </w:rPr>
            </w:pPr>
            <w:r>
              <w:rPr>
                <w:sz w:val="20"/>
                <w:szCs w:val="20"/>
              </w:rPr>
              <w:t>Electric</w:t>
            </w:r>
          </w:p>
        </w:tc>
        <w:tc>
          <w:tcPr>
            <w:tcW w:w="931" w:type="dxa"/>
            <w:tcBorders>
              <w:top w:val="single" w:sz="4" w:space="0" w:color="auto"/>
            </w:tcBorders>
            <w:vAlign w:val="center"/>
          </w:tcPr>
          <w:p w14:paraId="7918BDC9" w14:textId="1B63C7FD" w:rsidR="00AB23B7" w:rsidRDefault="00AB23B7" w:rsidP="00AB23B7">
            <w:pPr>
              <w:keepNext/>
              <w:keepLines/>
              <w:tabs>
                <w:tab w:val="decimal" w:pos="466"/>
              </w:tabs>
              <w:spacing w:after="0"/>
              <w:contextualSpacing/>
              <w:rPr>
                <w:sz w:val="20"/>
                <w:szCs w:val="20"/>
              </w:rPr>
            </w:pPr>
            <w:r>
              <w:rPr>
                <w:sz w:val="20"/>
                <w:szCs w:val="20"/>
              </w:rPr>
              <w:t>kWh</w:t>
            </w:r>
          </w:p>
        </w:tc>
        <w:tc>
          <w:tcPr>
            <w:tcW w:w="1208" w:type="dxa"/>
            <w:tcBorders>
              <w:top w:val="single" w:sz="4" w:space="0" w:color="auto"/>
              <w:right w:val="single" w:sz="4" w:space="0" w:color="000000" w:themeColor="text1"/>
            </w:tcBorders>
            <w:vAlign w:val="center"/>
          </w:tcPr>
          <w:p w14:paraId="69628BB6" w14:textId="3CBD6AF8" w:rsidR="00AB23B7" w:rsidRPr="00F6205B" w:rsidRDefault="00AB23B7" w:rsidP="00AB23B7">
            <w:pPr>
              <w:keepNext/>
              <w:keepLines/>
              <w:tabs>
                <w:tab w:val="decimal" w:pos="717"/>
              </w:tabs>
              <w:spacing w:after="0"/>
              <w:contextualSpacing/>
              <w:rPr>
                <w:sz w:val="20"/>
                <w:szCs w:val="20"/>
              </w:rPr>
            </w:pPr>
            <w:r>
              <w:rPr>
                <w:sz w:val="20"/>
                <w:szCs w:val="20"/>
              </w:rPr>
              <w:t>$56.6</w:t>
            </w:r>
          </w:p>
        </w:tc>
        <w:tc>
          <w:tcPr>
            <w:tcW w:w="1208" w:type="dxa"/>
            <w:tcBorders>
              <w:top w:val="single" w:sz="4" w:space="0" w:color="auto"/>
            </w:tcBorders>
            <w:vAlign w:val="center"/>
          </w:tcPr>
          <w:p w14:paraId="6269810A" w14:textId="368A22C8" w:rsidR="00AB23B7" w:rsidRDefault="00AB23B7" w:rsidP="00A27C5D">
            <w:pPr>
              <w:keepNext/>
              <w:keepLines/>
              <w:tabs>
                <w:tab w:val="decimal" w:pos="391"/>
              </w:tabs>
              <w:spacing w:after="0"/>
              <w:contextualSpacing/>
              <w:rPr>
                <w:sz w:val="20"/>
                <w:szCs w:val="20"/>
              </w:rPr>
            </w:pPr>
            <w:r>
              <w:rPr>
                <w:sz w:val="20"/>
                <w:szCs w:val="20"/>
              </w:rPr>
              <w:t>$0.52</w:t>
            </w:r>
          </w:p>
        </w:tc>
        <w:tc>
          <w:tcPr>
            <w:tcW w:w="1180" w:type="dxa"/>
            <w:tcBorders>
              <w:top w:val="single" w:sz="4" w:space="0" w:color="auto"/>
            </w:tcBorders>
            <w:vAlign w:val="center"/>
          </w:tcPr>
          <w:p w14:paraId="72F6814A" w14:textId="54F5085C" w:rsidR="00AB23B7" w:rsidRPr="00F6205B" w:rsidRDefault="00AB23B7" w:rsidP="00623E6E">
            <w:pPr>
              <w:keepNext/>
              <w:keepLines/>
              <w:tabs>
                <w:tab w:val="decimal" w:pos="526"/>
              </w:tabs>
              <w:spacing w:after="0"/>
              <w:contextualSpacing/>
              <w:rPr>
                <w:sz w:val="20"/>
                <w:szCs w:val="20"/>
              </w:rPr>
            </w:pPr>
            <w:r>
              <w:rPr>
                <w:sz w:val="20"/>
                <w:szCs w:val="20"/>
              </w:rPr>
              <w:t>108.0</w:t>
            </w:r>
          </w:p>
        </w:tc>
        <w:tc>
          <w:tcPr>
            <w:tcW w:w="1236" w:type="dxa"/>
            <w:tcBorders>
              <w:top w:val="single" w:sz="4" w:space="0" w:color="auto"/>
              <w:bottom w:val="single" w:sz="4" w:space="0" w:color="000000" w:themeColor="text1"/>
              <w:right w:val="single" w:sz="4" w:space="0" w:color="000000" w:themeColor="text1"/>
            </w:tcBorders>
            <w:vAlign w:val="center"/>
          </w:tcPr>
          <w:p w14:paraId="0496BC2F" w14:textId="757A51B5" w:rsidR="00AB23B7" w:rsidRPr="00F6205B" w:rsidRDefault="00AB23B7" w:rsidP="00623E6E">
            <w:pPr>
              <w:keepNext/>
              <w:keepLines/>
              <w:tabs>
                <w:tab w:val="decimal" w:pos="616"/>
              </w:tabs>
              <w:spacing w:after="0"/>
              <w:contextualSpacing/>
              <w:rPr>
                <w:sz w:val="20"/>
                <w:szCs w:val="20"/>
              </w:rPr>
            </w:pPr>
            <w:r>
              <w:rPr>
                <w:sz w:val="20"/>
                <w:szCs w:val="20"/>
              </w:rPr>
              <w:t>588.0</w:t>
            </w:r>
          </w:p>
        </w:tc>
        <w:tc>
          <w:tcPr>
            <w:tcW w:w="1464" w:type="dxa"/>
            <w:tcBorders>
              <w:top w:val="single" w:sz="4" w:space="0" w:color="auto"/>
              <w:left w:val="single" w:sz="4" w:space="0" w:color="000000" w:themeColor="text1"/>
              <w:bottom w:val="single" w:sz="4" w:space="0" w:color="000000" w:themeColor="text1"/>
              <w:right w:val="single" w:sz="4" w:space="0" w:color="auto"/>
            </w:tcBorders>
            <w:vAlign w:val="center"/>
          </w:tcPr>
          <w:p w14:paraId="25BDFC3E" w14:textId="53521A45" w:rsidR="00AB23B7" w:rsidRPr="00F6205B" w:rsidRDefault="00AB23B7" w:rsidP="00AB23B7">
            <w:pPr>
              <w:keepNext/>
              <w:keepLines/>
              <w:tabs>
                <w:tab w:val="decimal" w:pos="679"/>
              </w:tabs>
              <w:spacing w:after="0"/>
              <w:contextualSpacing/>
              <w:rPr>
                <w:sz w:val="20"/>
                <w:szCs w:val="20"/>
              </w:rPr>
            </w:pPr>
            <w:r>
              <w:rPr>
                <w:sz w:val="20"/>
                <w:szCs w:val="20"/>
              </w:rPr>
              <w:t>$308.1</w:t>
            </w:r>
          </w:p>
        </w:tc>
      </w:tr>
      <w:tr w:rsidR="00AB23B7" w:rsidRPr="00F6205B" w14:paraId="46BA4284" w14:textId="77777777" w:rsidTr="00C16623">
        <w:trPr>
          <w:trHeight w:val="288"/>
          <w:jc w:val="center"/>
        </w:trPr>
        <w:tc>
          <w:tcPr>
            <w:tcW w:w="176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F7EED77" w14:textId="3D194C85" w:rsidR="00AB23B7" w:rsidRPr="00F6205B" w:rsidRDefault="00AB23B7" w:rsidP="00AB23B7">
            <w:pPr>
              <w:keepNext/>
              <w:keepLines/>
              <w:spacing w:after="0"/>
              <w:contextualSpacing/>
              <w:rPr>
                <w:sz w:val="20"/>
                <w:szCs w:val="20"/>
              </w:rPr>
            </w:pPr>
            <w:r>
              <w:rPr>
                <w:sz w:val="20"/>
                <w:szCs w:val="20"/>
              </w:rPr>
              <w:t>Fossil fuels</w:t>
            </w:r>
          </w:p>
        </w:tc>
        <w:tc>
          <w:tcPr>
            <w:tcW w:w="931" w:type="dxa"/>
            <w:vAlign w:val="center"/>
          </w:tcPr>
          <w:p w14:paraId="39D67552" w14:textId="18AB4024" w:rsidR="00AB23B7" w:rsidRDefault="00AB23B7" w:rsidP="00AB23B7">
            <w:pPr>
              <w:tabs>
                <w:tab w:val="decimal" w:pos="717"/>
              </w:tabs>
              <w:contextualSpacing/>
              <w:rPr>
                <w:color w:val="000000"/>
                <w:sz w:val="20"/>
                <w:szCs w:val="20"/>
              </w:rPr>
            </w:pPr>
            <w:r>
              <w:rPr>
                <w:color w:val="000000"/>
                <w:sz w:val="20"/>
                <w:szCs w:val="20"/>
              </w:rPr>
              <w:t>MMBtu</w:t>
            </w:r>
          </w:p>
        </w:tc>
        <w:tc>
          <w:tcPr>
            <w:tcW w:w="1208" w:type="dxa"/>
            <w:tcBorders>
              <w:right w:val="single" w:sz="4" w:space="0" w:color="000000" w:themeColor="text1"/>
            </w:tcBorders>
            <w:vAlign w:val="center"/>
          </w:tcPr>
          <w:p w14:paraId="6368C1A0" w14:textId="49BD73CD" w:rsidR="00AB23B7" w:rsidRPr="00F6205B" w:rsidRDefault="00AB23B7" w:rsidP="00AB23B7">
            <w:pPr>
              <w:tabs>
                <w:tab w:val="decimal" w:pos="717"/>
              </w:tabs>
              <w:contextualSpacing/>
              <w:rPr>
                <w:color w:val="000000"/>
                <w:sz w:val="20"/>
                <w:szCs w:val="20"/>
              </w:rPr>
            </w:pPr>
            <w:r>
              <w:rPr>
                <w:color w:val="000000"/>
                <w:sz w:val="20"/>
                <w:szCs w:val="20"/>
              </w:rPr>
              <w:t>$21.9</w:t>
            </w:r>
          </w:p>
        </w:tc>
        <w:tc>
          <w:tcPr>
            <w:tcW w:w="1208" w:type="dxa"/>
            <w:vAlign w:val="center"/>
          </w:tcPr>
          <w:p w14:paraId="7D5E7AEC" w14:textId="0B0F45A9" w:rsidR="00AB23B7" w:rsidRDefault="00AB23B7" w:rsidP="00A27C5D">
            <w:pPr>
              <w:ind w:left="171"/>
              <w:contextualSpacing/>
              <w:rPr>
                <w:color w:val="000000"/>
                <w:sz w:val="20"/>
                <w:szCs w:val="20"/>
              </w:rPr>
            </w:pPr>
            <w:r>
              <w:rPr>
                <w:color w:val="000000"/>
                <w:sz w:val="20"/>
                <w:szCs w:val="20"/>
              </w:rPr>
              <w:t>$54.39</w:t>
            </w:r>
          </w:p>
        </w:tc>
        <w:tc>
          <w:tcPr>
            <w:tcW w:w="1180" w:type="dxa"/>
            <w:vAlign w:val="center"/>
          </w:tcPr>
          <w:p w14:paraId="02C40731" w14:textId="574EA6E9" w:rsidR="00AB23B7" w:rsidRPr="00F6205B" w:rsidRDefault="00AB23B7" w:rsidP="00623E6E">
            <w:pPr>
              <w:tabs>
                <w:tab w:val="decimal" w:pos="436"/>
              </w:tabs>
              <w:contextualSpacing/>
              <w:rPr>
                <w:color w:val="000000"/>
                <w:sz w:val="20"/>
                <w:szCs w:val="20"/>
              </w:rPr>
            </w:pPr>
            <w:r>
              <w:rPr>
                <w:color w:val="000000"/>
                <w:sz w:val="20"/>
                <w:szCs w:val="20"/>
              </w:rPr>
              <w:t>0.4</w:t>
            </w:r>
          </w:p>
        </w:tc>
        <w:tc>
          <w:tcPr>
            <w:tcW w:w="1236" w:type="dxa"/>
            <w:tcBorders>
              <w:top w:val="single" w:sz="4" w:space="0" w:color="000000" w:themeColor="text1"/>
              <w:bottom w:val="single" w:sz="4" w:space="0" w:color="000000" w:themeColor="text1"/>
              <w:right w:val="single" w:sz="4" w:space="0" w:color="000000" w:themeColor="text1"/>
            </w:tcBorders>
            <w:vAlign w:val="center"/>
          </w:tcPr>
          <w:p w14:paraId="44D8F755" w14:textId="5DAF3BE0" w:rsidR="00AB23B7" w:rsidRPr="00F6205B" w:rsidRDefault="00AB23B7" w:rsidP="00623E6E">
            <w:pPr>
              <w:tabs>
                <w:tab w:val="decimal" w:pos="526"/>
              </w:tabs>
              <w:contextualSpacing/>
              <w:rPr>
                <w:color w:val="000000"/>
                <w:sz w:val="20"/>
                <w:szCs w:val="20"/>
              </w:rPr>
            </w:pPr>
            <w:r>
              <w:rPr>
                <w:color w:val="000000"/>
                <w:sz w:val="20"/>
                <w:szCs w:val="20"/>
              </w:rPr>
              <w:t>2.1</w:t>
            </w:r>
          </w:p>
        </w:tc>
        <w:tc>
          <w:tcPr>
            <w:tcW w:w="146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2955A69" w14:textId="11B2EBE7" w:rsidR="00AB23B7" w:rsidRPr="00F6205B" w:rsidRDefault="00AB23B7" w:rsidP="00AB23B7">
            <w:pPr>
              <w:tabs>
                <w:tab w:val="decimal" w:pos="679"/>
              </w:tabs>
              <w:contextualSpacing/>
              <w:rPr>
                <w:color w:val="000000"/>
                <w:sz w:val="20"/>
                <w:szCs w:val="20"/>
              </w:rPr>
            </w:pPr>
            <w:r>
              <w:rPr>
                <w:color w:val="000000"/>
                <w:sz w:val="20"/>
                <w:szCs w:val="20"/>
              </w:rPr>
              <w:t>$115.8</w:t>
            </w:r>
          </w:p>
        </w:tc>
      </w:tr>
      <w:tr w:rsidR="00BE18A6" w:rsidRPr="00F6205B" w14:paraId="2050B962" w14:textId="77777777" w:rsidTr="00C16623">
        <w:trPr>
          <w:trHeight w:val="288"/>
          <w:jc w:val="center"/>
        </w:trPr>
        <w:tc>
          <w:tcPr>
            <w:tcW w:w="1769" w:type="dxa"/>
            <w:tcBorders>
              <w:top w:val="single" w:sz="4" w:space="0" w:color="000000" w:themeColor="text1"/>
              <w:left w:val="single" w:sz="4" w:space="0" w:color="auto"/>
              <w:bottom w:val="single" w:sz="4" w:space="0" w:color="auto"/>
              <w:right w:val="single" w:sz="4" w:space="0" w:color="000000" w:themeColor="text1"/>
            </w:tcBorders>
            <w:shd w:val="clear" w:color="auto" w:fill="404040" w:themeFill="text1" w:themeFillTint="BF"/>
            <w:vAlign w:val="center"/>
          </w:tcPr>
          <w:p w14:paraId="7081827F" w14:textId="4D067BF7" w:rsidR="00BE18A6" w:rsidRPr="00BE18A6" w:rsidRDefault="00013D0B" w:rsidP="00AB23B7">
            <w:pPr>
              <w:keepNext/>
              <w:keepLines/>
              <w:spacing w:after="0"/>
              <w:contextualSpacing/>
              <w:rPr>
                <w:color w:val="FFFFFF" w:themeColor="background1"/>
                <w:sz w:val="20"/>
                <w:szCs w:val="20"/>
              </w:rPr>
            </w:pPr>
            <w:r>
              <w:rPr>
                <w:color w:val="FFFFFF" w:themeColor="background1"/>
                <w:sz w:val="20"/>
                <w:szCs w:val="20"/>
              </w:rPr>
              <w:t>Total</w:t>
            </w:r>
          </w:p>
        </w:tc>
        <w:tc>
          <w:tcPr>
            <w:tcW w:w="931" w:type="dxa"/>
            <w:tcBorders>
              <w:bottom w:val="single" w:sz="4" w:space="0" w:color="auto"/>
            </w:tcBorders>
            <w:shd w:val="clear" w:color="auto" w:fill="404040" w:themeFill="text1" w:themeFillTint="BF"/>
            <w:vAlign w:val="center"/>
          </w:tcPr>
          <w:p w14:paraId="337823B2" w14:textId="6E0F5940" w:rsidR="00BE18A6" w:rsidRPr="00BE18A6" w:rsidRDefault="00BE18A6" w:rsidP="00BE18A6">
            <w:pPr>
              <w:tabs>
                <w:tab w:val="decimal" w:pos="376"/>
              </w:tabs>
              <w:contextualSpacing/>
              <w:rPr>
                <w:color w:val="FFFFFF" w:themeColor="background1"/>
                <w:sz w:val="20"/>
                <w:szCs w:val="20"/>
              </w:rPr>
            </w:pPr>
            <w:r>
              <w:rPr>
                <w:color w:val="FFFFFF" w:themeColor="background1"/>
                <w:sz w:val="20"/>
                <w:szCs w:val="20"/>
              </w:rPr>
              <w:t>--</w:t>
            </w:r>
          </w:p>
        </w:tc>
        <w:tc>
          <w:tcPr>
            <w:tcW w:w="1208" w:type="dxa"/>
            <w:tcBorders>
              <w:bottom w:val="single" w:sz="4" w:space="0" w:color="auto"/>
              <w:right w:val="single" w:sz="4" w:space="0" w:color="000000" w:themeColor="text1"/>
            </w:tcBorders>
            <w:shd w:val="clear" w:color="auto" w:fill="404040" w:themeFill="text1" w:themeFillTint="BF"/>
            <w:vAlign w:val="center"/>
          </w:tcPr>
          <w:p w14:paraId="22FE2A53" w14:textId="7FC40540" w:rsidR="00BE18A6" w:rsidRPr="00BE18A6" w:rsidRDefault="00BE18A6" w:rsidP="00AB23B7">
            <w:pPr>
              <w:tabs>
                <w:tab w:val="decimal" w:pos="717"/>
              </w:tabs>
              <w:contextualSpacing/>
              <w:rPr>
                <w:color w:val="FFFFFF" w:themeColor="background1"/>
                <w:sz w:val="20"/>
                <w:szCs w:val="20"/>
              </w:rPr>
            </w:pPr>
            <w:r>
              <w:rPr>
                <w:color w:val="FFFFFF" w:themeColor="background1"/>
                <w:sz w:val="20"/>
                <w:szCs w:val="20"/>
              </w:rPr>
              <w:t>$78.5</w:t>
            </w:r>
          </w:p>
        </w:tc>
        <w:tc>
          <w:tcPr>
            <w:tcW w:w="1208" w:type="dxa"/>
            <w:tcBorders>
              <w:bottom w:val="single" w:sz="4" w:space="0" w:color="auto"/>
            </w:tcBorders>
            <w:shd w:val="clear" w:color="auto" w:fill="404040" w:themeFill="text1" w:themeFillTint="BF"/>
            <w:vAlign w:val="center"/>
          </w:tcPr>
          <w:p w14:paraId="0BAA70A5" w14:textId="5CD4FF17" w:rsidR="00BE18A6" w:rsidRPr="00BE18A6" w:rsidRDefault="00BE18A6" w:rsidP="00A27C5D">
            <w:pPr>
              <w:ind w:left="171"/>
              <w:contextualSpacing/>
              <w:rPr>
                <w:color w:val="FFFFFF" w:themeColor="background1"/>
                <w:sz w:val="20"/>
                <w:szCs w:val="20"/>
              </w:rPr>
            </w:pPr>
            <w:r>
              <w:rPr>
                <w:color w:val="FFFFFF" w:themeColor="background1"/>
                <w:sz w:val="20"/>
                <w:szCs w:val="20"/>
              </w:rPr>
              <w:t>--</w:t>
            </w:r>
          </w:p>
        </w:tc>
        <w:tc>
          <w:tcPr>
            <w:tcW w:w="1180" w:type="dxa"/>
            <w:tcBorders>
              <w:bottom w:val="single" w:sz="4" w:space="0" w:color="auto"/>
            </w:tcBorders>
            <w:shd w:val="clear" w:color="auto" w:fill="404040" w:themeFill="text1" w:themeFillTint="BF"/>
            <w:vAlign w:val="center"/>
          </w:tcPr>
          <w:p w14:paraId="24B03027" w14:textId="49688746" w:rsidR="00BE18A6" w:rsidRPr="00BE18A6" w:rsidRDefault="00BE18A6" w:rsidP="00623E6E">
            <w:pPr>
              <w:tabs>
                <w:tab w:val="decimal" w:pos="436"/>
              </w:tabs>
              <w:contextualSpacing/>
              <w:rPr>
                <w:color w:val="FFFFFF" w:themeColor="background1"/>
                <w:sz w:val="20"/>
                <w:szCs w:val="20"/>
              </w:rPr>
            </w:pPr>
            <w:r>
              <w:rPr>
                <w:color w:val="FFFFFF" w:themeColor="background1"/>
                <w:sz w:val="20"/>
                <w:szCs w:val="20"/>
              </w:rPr>
              <w:t>--</w:t>
            </w:r>
          </w:p>
        </w:tc>
        <w:tc>
          <w:tcPr>
            <w:tcW w:w="1236" w:type="dxa"/>
            <w:tcBorders>
              <w:top w:val="single" w:sz="4" w:space="0" w:color="000000" w:themeColor="text1"/>
              <w:bottom w:val="single" w:sz="4" w:space="0" w:color="auto"/>
              <w:right w:val="single" w:sz="4" w:space="0" w:color="000000" w:themeColor="text1"/>
            </w:tcBorders>
            <w:shd w:val="clear" w:color="auto" w:fill="404040" w:themeFill="text1" w:themeFillTint="BF"/>
            <w:vAlign w:val="center"/>
          </w:tcPr>
          <w:p w14:paraId="16340337" w14:textId="40E0717F" w:rsidR="00BE18A6" w:rsidRPr="00BE18A6" w:rsidRDefault="00BE18A6" w:rsidP="00623E6E">
            <w:pPr>
              <w:tabs>
                <w:tab w:val="decimal" w:pos="526"/>
              </w:tabs>
              <w:contextualSpacing/>
              <w:rPr>
                <w:color w:val="FFFFFF" w:themeColor="background1"/>
                <w:sz w:val="20"/>
                <w:szCs w:val="20"/>
              </w:rPr>
            </w:pPr>
            <w:r>
              <w:rPr>
                <w:color w:val="FFFFFF" w:themeColor="background1"/>
                <w:sz w:val="20"/>
                <w:szCs w:val="20"/>
              </w:rPr>
              <w:t>--</w:t>
            </w:r>
          </w:p>
        </w:tc>
        <w:tc>
          <w:tcPr>
            <w:tcW w:w="1464" w:type="dxa"/>
            <w:tcBorders>
              <w:top w:val="single" w:sz="4" w:space="0" w:color="000000" w:themeColor="text1"/>
              <w:left w:val="single" w:sz="4" w:space="0" w:color="000000" w:themeColor="text1"/>
              <w:bottom w:val="single" w:sz="4" w:space="0" w:color="auto"/>
              <w:right w:val="single" w:sz="4" w:space="0" w:color="auto"/>
            </w:tcBorders>
            <w:shd w:val="clear" w:color="auto" w:fill="404040" w:themeFill="text1" w:themeFillTint="BF"/>
            <w:vAlign w:val="center"/>
          </w:tcPr>
          <w:p w14:paraId="646C0D8D" w14:textId="73CD3EF7" w:rsidR="00BE18A6" w:rsidRPr="00BE18A6" w:rsidRDefault="00BE18A6" w:rsidP="00AB23B7">
            <w:pPr>
              <w:tabs>
                <w:tab w:val="decimal" w:pos="679"/>
              </w:tabs>
              <w:contextualSpacing/>
              <w:rPr>
                <w:color w:val="FFFFFF" w:themeColor="background1"/>
                <w:sz w:val="20"/>
                <w:szCs w:val="20"/>
              </w:rPr>
            </w:pPr>
            <w:r>
              <w:rPr>
                <w:color w:val="FFFFFF" w:themeColor="background1"/>
                <w:sz w:val="20"/>
                <w:szCs w:val="20"/>
              </w:rPr>
              <w:t>$423.9</w:t>
            </w:r>
          </w:p>
        </w:tc>
      </w:tr>
    </w:tbl>
    <w:p w14:paraId="2CCAD3E4" w14:textId="77777777" w:rsidR="002136F0" w:rsidRDefault="002136F0" w:rsidP="007277B9"/>
    <w:p w14:paraId="1DADE23D" w14:textId="77777777" w:rsidR="002136F0" w:rsidRPr="007277B9" w:rsidRDefault="002136F0" w:rsidP="007277B9"/>
    <w:p w14:paraId="33E1FE9C" w14:textId="1844309C" w:rsidR="00C90B60" w:rsidRPr="00F6205B" w:rsidRDefault="00C90B60">
      <w:pPr>
        <w:spacing w:after="0" w:line="240" w:lineRule="auto"/>
        <w:rPr>
          <w:sz w:val="20"/>
          <w:szCs w:val="20"/>
        </w:rPr>
      </w:pPr>
      <w:r w:rsidRPr="00F6205B">
        <w:rPr>
          <w:sz w:val="20"/>
          <w:szCs w:val="20"/>
        </w:rPr>
        <w:br w:type="page"/>
      </w:r>
    </w:p>
    <w:bookmarkStart w:id="329" w:name="_Toc439939410"/>
    <w:p w14:paraId="58D0F5CB" w14:textId="2C332815" w:rsidR="00A50E67" w:rsidRPr="00F6205B" w:rsidRDefault="00A50E67" w:rsidP="00A50E67">
      <w:pPr>
        <w:pStyle w:val="Heading1"/>
        <w:rPr>
          <w:szCs w:val="20"/>
        </w:rPr>
      </w:pPr>
      <w:r w:rsidRPr="00F6205B">
        <w:lastRenderedPageBreak/>
        <mc:AlternateContent>
          <mc:Choice Requires="wps">
            <w:drawing>
              <wp:anchor distT="0" distB="0" distL="114300" distR="114300" simplePos="0" relativeHeight="251669504" behindDoc="0" locked="0" layoutInCell="1" allowOverlap="1" wp14:anchorId="6372526C" wp14:editId="24BF5F23">
                <wp:simplePos x="0" y="0"/>
                <wp:positionH relativeFrom="column">
                  <wp:posOffset>12700</wp:posOffset>
                </wp:positionH>
                <wp:positionV relativeFrom="paragraph">
                  <wp:posOffset>53340</wp:posOffset>
                </wp:positionV>
                <wp:extent cx="1143000" cy="1143000"/>
                <wp:effectExtent l="0" t="0" r="0" b="0"/>
                <wp:wrapSquare wrapText="bothSides"/>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09C30A3" w14:textId="5107437F" w:rsidR="009027EC" w:rsidRPr="00691F20" w:rsidRDefault="009027EC" w:rsidP="00A50E67">
                            <w:pPr>
                              <w:spacing w:after="0"/>
                              <w:jc w:val="center"/>
                              <w:rPr>
                                <w:b/>
                                <w:color w:val="FFFFFF" w:themeColor="background1"/>
                                <w:sz w:val="134"/>
                                <w:szCs w:val="134"/>
                              </w:rPr>
                            </w:pPr>
                            <w:r>
                              <w:rPr>
                                <w:b/>
                                <w:color w:val="FFFFFF" w:themeColor="background1"/>
                                <w:sz w:val="134"/>
                                <w:szCs w:val="13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6372526C" id="Text Box 68" o:spid="_x0000_s1034" type="#_x0000_t202" style="position:absolute;margin-left:1pt;margin-top:4.2pt;width:90pt;height:9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1T1yAIAAPEFAAAOAAAAZHJzL2Uyb0RvYy54bWysVFtP2zAUfp+0/2D5vSQppUBFikJRp0nV&#10;QIOJZ9ex2wjHx7PdNt20/75jJymF7YVpL4nt853bdy5X102tyFZYV4HOaXaSUiI0h7LSq5x+e5wP&#10;LihxnumSKdAip3vh6PX044ernZmIIaxBlcISNKLdZGdyuvbeTJLE8bWomTsBIzQKJdiaebzaVVJa&#10;tkPrtUqGaTpOdmBLY4EL5/D1thXSabQvpeD+TkonPFE5xdh8/Nr4XYZvMr1ik5VlZl3xLgz2D1HU&#10;rNLo9GDqlnlGNrb6w1RdcQsOpD/hUCcgZcVFzAGzydI32TysmRExFyTHmQNN7v+Z5V+295ZUZU7H&#10;WCnNaqzRo2g8uYGG4BPyszNugrAHg0Df4DvWOebqzAL4s0NIcoRpFRyiAx+NtHX4Y6YEFbEE+wPt&#10;wQ0P1rLRaZqiiKOsvwSrL+rGOv9JQE3CIacW6xpDYNuF8y20hwRvDlRVziul4sWuljNlyZaFHpiP&#10;z09vQlpo/RVM6QDWENRacfsiYhe1btgEY8ZjQIboY4V/zs7Oh8X52eVgXJxlg1GWXgyKIh0ObudF&#10;WqSj+exydPOrc9nrR8ZakgJ3zu+VCFaV/iok1iNyFaMPkyAO8TPOhfZZZy2iA0pi0O9R7PAxj5jf&#10;e5RbRlAjegbtD8p1pcG2vfE67PK5D1m2+K5nurwDBb5ZNrERD023hHKPPWehnVpn+LzC8i+Y8/fM&#10;4phiy+Dq8Xf4kQp2OYXuRMka7I+/vQc8Tg9KKdnh2OfUfd8wKyhRnzXO1WU2GoU9ES8jLCxe7LFk&#10;eSzRm3oG2FUZLjnD4zHgveqP0kL9hBuqCF5RxDRH3znl3vaXmW/XEe44LooiwnA3GOYX+sHwfthC&#10;ez82T8yabgY8ttIX6FcEm7wZhRYbKqSh2HiQVZyTwHTLa1cB3CtxFrodGBbX8T2iXjb19DcAAAD/&#10;/wMAUEsDBBQABgAIAAAAIQB0CiRo2QAAAAcBAAAPAAAAZHJzL2Rvd25yZXYueG1sTI8xT8MwEIV3&#10;JP6DdUjdqNOqQlGIUyFaxMBEy8B4ia9JhH1ObbdJ/z3OBNu9e6d33yu3kzXiSj70jhWslhkI4sbp&#10;nlsFX8e3xxxEiMgajWNScKMA2+r+rsRCu5E/6XqIrUghHApU0MU4FFKGpiOLYekG4uSdnLcYk/St&#10;1B7HFG6NXGfZk7TYc/rQ4UCvHTU/h4tVgFm9C8x7/W5OH81uPH8f/Wqj1OJhenkGEWmKf8cw4yd0&#10;qBJT7S6sgzAK1qlJVJBvQMxuPut6HtJGVqX8z1/9AgAA//8DAFBLAQItABQABgAIAAAAIQC2gziS&#10;/gAAAOEBAAATAAAAAAAAAAAAAAAAAAAAAABbQ29udGVudF9UeXBlc10ueG1sUEsBAi0AFAAGAAgA&#10;AAAhADj9If/WAAAAlAEAAAsAAAAAAAAAAAAAAAAALwEAAF9yZWxzLy5yZWxzUEsBAi0AFAAGAAgA&#10;AAAhACd3VPXIAgAA8QUAAA4AAAAAAAAAAAAAAAAALgIAAGRycy9lMm9Eb2MueG1sUEsBAi0AFAAG&#10;AAgAAAAhAHQKJGjZAAAABwEAAA8AAAAAAAAAAAAAAAAAIgUAAGRycy9kb3ducmV2LnhtbFBLBQYA&#10;AAAABAAEAPMAAAAoBgAAAAA=&#10;" fillcolor="#0f673b" stroked="f">
                <v:path arrowok="t"/>
                <v:textbox>
                  <w:txbxContent>
                    <w:p w14:paraId="409C30A3" w14:textId="5107437F" w:rsidR="009027EC" w:rsidRPr="00691F20" w:rsidRDefault="009027EC" w:rsidP="00A50E67">
                      <w:pPr>
                        <w:spacing w:after="0"/>
                        <w:jc w:val="center"/>
                        <w:rPr>
                          <w:b/>
                          <w:color w:val="FFFFFF" w:themeColor="background1"/>
                          <w:sz w:val="134"/>
                          <w:szCs w:val="134"/>
                        </w:rPr>
                      </w:pPr>
                      <w:r>
                        <w:rPr>
                          <w:b/>
                          <w:color w:val="FFFFFF" w:themeColor="background1"/>
                          <w:sz w:val="134"/>
                          <w:szCs w:val="134"/>
                        </w:rPr>
                        <w:t>6</w:t>
                      </w:r>
                    </w:p>
                  </w:txbxContent>
                </v:textbox>
                <w10:wrap type="square"/>
              </v:shape>
            </w:pict>
          </mc:Fallback>
        </mc:AlternateContent>
      </w:r>
      <w:r w:rsidRPr="00F6205B">
        <w:rPr>
          <w:szCs w:val="20"/>
        </w:rPr>
        <w:t>Fuel Switching Potential</w:t>
      </w:r>
      <w:bookmarkEnd w:id="329"/>
    </w:p>
    <w:p w14:paraId="07AA2554" w14:textId="77777777" w:rsidR="00231AE4" w:rsidRPr="00F6205B" w:rsidRDefault="00231AE4" w:rsidP="00231AE4">
      <w:r w:rsidRPr="00F6205B">
        <w:t>The results presented here detail the potential impacts from converting the heating and water heating equipment in single-family homes currently using oil, propane, biomass, or electric heating to either (a) natural gas space heating and water heating equipment, or (b) electric heat pump space heating and water heating equipment.</w:t>
      </w:r>
    </w:p>
    <w:p w14:paraId="2566B141" w14:textId="77777777" w:rsidR="00231AE4" w:rsidRPr="00F6205B" w:rsidRDefault="00231AE4" w:rsidP="00231AE4">
      <w:r w:rsidRPr="00F6205B">
        <w:t>Three potential impacts from fuel switching are assessed in this study:</w:t>
      </w:r>
    </w:p>
    <w:p w14:paraId="6FAAC4C1" w14:textId="77777777" w:rsidR="00231AE4" w:rsidRPr="00F6205B" w:rsidRDefault="00231AE4" w:rsidP="00F52E2F">
      <w:pPr>
        <w:pStyle w:val="ListParagraph"/>
        <w:numPr>
          <w:ilvl w:val="0"/>
          <w:numId w:val="25"/>
        </w:numPr>
        <w:jc w:val="both"/>
      </w:pPr>
      <w:r w:rsidRPr="00F6205B">
        <w:t>Reduced oil and propane consumption.</w:t>
      </w:r>
    </w:p>
    <w:p w14:paraId="054B1E85" w14:textId="77777777" w:rsidR="00231AE4" w:rsidRPr="00F6205B" w:rsidRDefault="00231AE4" w:rsidP="00F52E2F">
      <w:pPr>
        <w:pStyle w:val="ListParagraph"/>
        <w:numPr>
          <w:ilvl w:val="0"/>
          <w:numId w:val="25"/>
        </w:numPr>
        <w:jc w:val="both"/>
      </w:pPr>
      <w:r w:rsidRPr="00F6205B">
        <w:t>Increased natural gas consumption and electric consumption.</w:t>
      </w:r>
    </w:p>
    <w:p w14:paraId="2DDE9847" w14:textId="77777777" w:rsidR="00231AE4" w:rsidRPr="00F6205B" w:rsidRDefault="00231AE4" w:rsidP="00F52E2F">
      <w:pPr>
        <w:pStyle w:val="ListParagraph"/>
        <w:numPr>
          <w:ilvl w:val="0"/>
          <w:numId w:val="25"/>
        </w:numPr>
        <w:jc w:val="both"/>
      </w:pPr>
      <w:r w:rsidRPr="00F6205B">
        <w:t>Potential gas and electric savings from utility incentives.</w:t>
      </w:r>
    </w:p>
    <w:p w14:paraId="4F84ABF7" w14:textId="3672658A" w:rsidR="00231AE4" w:rsidRPr="00F6205B" w:rsidRDefault="00231AE4" w:rsidP="00231AE4">
      <w:r w:rsidRPr="00F6205B">
        <w:t>Impacts are assessed in two ways: a base case scenario and an upgrade case scenario. The base case assesses the potential impacts of fuel switching without any utility intervention aside from that which would be necessary to persuade homeowners to switch fuels. The upgrade case assesses the potential effects of program incentives for higher-efficiency heating and water heating equipment for homes that und</w:t>
      </w:r>
      <w:r w:rsidR="004853DB">
        <w:t xml:space="preserve">ergo a fuel switch (see the </w:t>
      </w:r>
      <w:r w:rsidR="004853DB">
        <w:fldChar w:fldCharType="begin"/>
      </w:r>
      <w:r w:rsidR="004853DB">
        <w:instrText xml:space="preserve"> REF _Ref390760196 \h </w:instrText>
      </w:r>
      <w:r w:rsidR="004853DB">
        <w:fldChar w:fldCharType="separate"/>
      </w:r>
      <w:r w:rsidR="00FA26A9" w:rsidRPr="00F6205B">
        <w:t>Fuel Switching Methodology</w:t>
      </w:r>
      <w:r w:rsidR="004853DB">
        <w:fldChar w:fldCharType="end"/>
      </w:r>
      <w:r w:rsidRPr="00F6205B">
        <w:t xml:space="preserve"> </w:t>
      </w:r>
      <w:r w:rsidR="004853DB">
        <w:t xml:space="preserve">section </w:t>
      </w:r>
      <w:r w:rsidRPr="00F6205B">
        <w:t>for more details on the base case and upgrade case scenarios). All of the impacts detailed in this report are presented relative to what the annual consumption of a give</w:t>
      </w:r>
      <w:r w:rsidR="0087066E">
        <w:t>n fuel is expected to be in 2025</w:t>
      </w:r>
      <w:r w:rsidRPr="00F6205B">
        <w:t>; these trajectories were extrapolated using growth rates from various sources. For more detail on the sources for growth rates see</w:t>
      </w:r>
      <w:r w:rsidR="0087066E">
        <w:t xml:space="preserve"> </w:t>
      </w:r>
      <w:r w:rsidR="0087066E">
        <w:fldChar w:fldCharType="begin"/>
      </w:r>
      <w:r w:rsidR="0087066E">
        <w:instrText xml:space="preserve"> REF _Ref439690304 \n \h </w:instrText>
      </w:r>
      <w:r w:rsidR="0087066E">
        <w:fldChar w:fldCharType="separate"/>
      </w:r>
      <w:r w:rsidR="00FA26A9">
        <w:t>Appendix E</w:t>
      </w:r>
      <w:r w:rsidR="0087066E">
        <w:fldChar w:fldCharType="end"/>
      </w:r>
      <w:r w:rsidRPr="00F6205B">
        <w:t>.</w:t>
      </w:r>
    </w:p>
    <w:p w14:paraId="2FC60A35" w14:textId="23B7807F" w:rsidR="00231AE4" w:rsidRPr="00F6205B" w:rsidRDefault="00884145" w:rsidP="00231AE4">
      <w:r w:rsidRPr="00F6205B">
        <w:t>This report</w:t>
      </w:r>
      <w:r w:rsidR="00231AE4" w:rsidRPr="00F6205B">
        <w:t xml:space="preserve"> presents </w:t>
      </w:r>
      <w:r w:rsidRPr="00F6205B">
        <w:t>analysis</w:t>
      </w:r>
      <w:r w:rsidR="00231AE4" w:rsidRPr="00F6205B">
        <w:t xml:space="preserve"> results over a ten-year conversion period, with conversions increasing, under different scenarios, to 100%, 75%, 50%, and 25% over that period. All of the results presented in this report reflect the impacts of fuel switching on Connecticut’s single-family housing stock only.</w:t>
      </w:r>
    </w:p>
    <w:p w14:paraId="5B82672C" w14:textId="77777777" w:rsidR="00231AE4" w:rsidRPr="00F6205B" w:rsidRDefault="00231AE4" w:rsidP="001B22F1">
      <w:pPr>
        <w:pStyle w:val="Heading2"/>
        <w:numPr>
          <w:ilvl w:val="0"/>
          <w:numId w:val="0"/>
        </w:numPr>
        <w:jc w:val="both"/>
      </w:pPr>
      <w:bookmarkStart w:id="330" w:name="_Toc373241591"/>
      <w:bookmarkStart w:id="331" w:name="_Toc373241921"/>
      <w:bookmarkStart w:id="332" w:name="_Toc373242857"/>
      <w:bookmarkStart w:id="333" w:name="_Toc373242951"/>
      <w:bookmarkStart w:id="334" w:name="_Toc373243243"/>
      <w:bookmarkStart w:id="335" w:name="_Toc373249047"/>
      <w:bookmarkStart w:id="336" w:name="_Toc373308564"/>
      <w:bookmarkStart w:id="337" w:name="_Toc373308692"/>
      <w:bookmarkStart w:id="338" w:name="_Toc373317071"/>
      <w:bookmarkStart w:id="339" w:name="_Toc373317488"/>
      <w:bookmarkStart w:id="340" w:name="_Toc373317616"/>
      <w:bookmarkStart w:id="341" w:name="_Toc373318398"/>
      <w:bookmarkStart w:id="342" w:name="_Toc373322743"/>
      <w:bookmarkStart w:id="343" w:name="_Toc373322744"/>
      <w:bookmarkStart w:id="344" w:name="_Toc391887322"/>
      <w:bookmarkStart w:id="345" w:name="_Toc439939411"/>
      <w:bookmarkEnd w:id="330"/>
      <w:bookmarkEnd w:id="331"/>
      <w:bookmarkEnd w:id="332"/>
      <w:bookmarkEnd w:id="333"/>
      <w:bookmarkEnd w:id="334"/>
      <w:bookmarkEnd w:id="335"/>
      <w:bookmarkEnd w:id="336"/>
      <w:bookmarkEnd w:id="337"/>
      <w:bookmarkEnd w:id="338"/>
      <w:bookmarkEnd w:id="339"/>
      <w:bookmarkEnd w:id="340"/>
      <w:bookmarkEnd w:id="341"/>
      <w:bookmarkEnd w:id="342"/>
      <w:r w:rsidRPr="00F6205B">
        <w:t>Results</w:t>
      </w:r>
      <w:bookmarkEnd w:id="343"/>
      <w:bookmarkEnd w:id="344"/>
      <w:bookmarkEnd w:id="345"/>
    </w:p>
    <w:p w14:paraId="34BCED9C" w14:textId="77777777" w:rsidR="00231AE4" w:rsidRPr="00F6205B" w:rsidRDefault="00231AE4" w:rsidP="00231AE4">
      <w:r w:rsidRPr="00F6205B">
        <w:t>This section details the results of the fuel switching analysis. It includes the following subsections:</w:t>
      </w:r>
    </w:p>
    <w:p w14:paraId="4EF43F5B" w14:textId="77777777" w:rsidR="00231AE4" w:rsidRPr="00F6205B" w:rsidRDefault="00231AE4" w:rsidP="00231AE4">
      <w:pPr>
        <w:pStyle w:val="ListParagraph"/>
        <w:spacing w:before="120"/>
        <w:ind w:left="360"/>
        <w:contextualSpacing w:val="0"/>
        <w:rPr>
          <w:b/>
        </w:rPr>
      </w:pPr>
      <w:r w:rsidRPr="00F6205B">
        <w:rPr>
          <w:b/>
        </w:rPr>
        <w:t>MMBtu Summary</w:t>
      </w:r>
    </w:p>
    <w:p w14:paraId="0B2F5D0E" w14:textId="77777777" w:rsidR="00231AE4" w:rsidRPr="00F6205B" w:rsidRDefault="00231AE4" w:rsidP="00231AE4">
      <w:pPr>
        <w:pStyle w:val="ListParagraph"/>
        <w:spacing w:before="120"/>
        <w:ind w:left="360"/>
        <w:contextualSpacing w:val="0"/>
      </w:pPr>
      <w:r w:rsidRPr="00F6205B">
        <w:t>Presents overall savings across all four of the fuel types included in the analysis, in order to provide an overview of the total potential savings due to fuel switching.</w:t>
      </w:r>
    </w:p>
    <w:p w14:paraId="33119124" w14:textId="77777777" w:rsidR="00231AE4" w:rsidRPr="00F6205B" w:rsidRDefault="00231AE4" w:rsidP="00231AE4">
      <w:pPr>
        <w:pStyle w:val="ListParagraph"/>
        <w:spacing w:before="120"/>
        <w:ind w:left="360"/>
        <w:contextualSpacing w:val="0"/>
        <w:rPr>
          <w:b/>
        </w:rPr>
      </w:pPr>
      <w:r w:rsidRPr="00F6205B">
        <w:rPr>
          <w:b/>
        </w:rPr>
        <w:t>Results by Fuel</w:t>
      </w:r>
    </w:p>
    <w:p w14:paraId="43F9EE9D" w14:textId="77777777" w:rsidR="00231AE4" w:rsidRPr="00F6205B" w:rsidRDefault="00231AE4" w:rsidP="00231AE4">
      <w:pPr>
        <w:pStyle w:val="ListParagraph"/>
        <w:spacing w:before="120"/>
        <w:ind w:left="360"/>
        <w:contextualSpacing w:val="0"/>
      </w:pPr>
      <w:r w:rsidRPr="00F6205B">
        <w:t>Presents the results of fuel switching for each of the four fuel types included in the analysis.</w:t>
      </w:r>
    </w:p>
    <w:p w14:paraId="6643E363" w14:textId="77777777" w:rsidR="00231AE4" w:rsidRPr="00F6205B" w:rsidRDefault="00231AE4" w:rsidP="00231AE4">
      <w:pPr>
        <w:pStyle w:val="ListParagraph"/>
        <w:spacing w:before="120"/>
        <w:ind w:left="360"/>
        <w:contextualSpacing w:val="0"/>
        <w:rPr>
          <w:b/>
        </w:rPr>
      </w:pPr>
      <w:r w:rsidRPr="00F6205B">
        <w:rPr>
          <w:b/>
        </w:rPr>
        <w:t>Base Case Scenario</w:t>
      </w:r>
    </w:p>
    <w:p w14:paraId="55772B73" w14:textId="08FA74FD" w:rsidR="00231AE4" w:rsidRPr="00F6205B" w:rsidRDefault="00231AE4" w:rsidP="00231AE4">
      <w:pPr>
        <w:pStyle w:val="ListParagraph"/>
        <w:spacing w:before="120"/>
        <w:ind w:left="360"/>
        <w:contextualSpacing w:val="0"/>
      </w:pPr>
      <w:r w:rsidRPr="00F6205B">
        <w:t>Details the results of base case scenario fuel switching (fuel switching group features are described in detail in</w:t>
      </w:r>
      <w:r w:rsidR="00F620C3">
        <w:t xml:space="preserve"> </w:t>
      </w:r>
      <w:r w:rsidR="00F620C3">
        <w:fldChar w:fldCharType="begin"/>
      </w:r>
      <w:r w:rsidR="00F620C3">
        <w:instrText xml:space="preserve"> REF _Ref439771323 \h </w:instrText>
      </w:r>
      <w:r w:rsidR="00F620C3">
        <w:fldChar w:fldCharType="separate"/>
      </w:r>
      <w:r w:rsidR="00F620C3" w:rsidRPr="00F6205B">
        <w:t xml:space="preserve">Table </w:t>
      </w:r>
      <w:r w:rsidR="00F620C3">
        <w:rPr>
          <w:noProof/>
        </w:rPr>
        <w:t>7</w:t>
      </w:r>
      <w:r w:rsidR="00F620C3">
        <w:fldChar w:fldCharType="end"/>
      </w:r>
      <w:r w:rsidRPr="00F6205B">
        <w:t>).</w:t>
      </w:r>
    </w:p>
    <w:p w14:paraId="57CAB67D" w14:textId="77777777" w:rsidR="00231AE4" w:rsidRPr="00F6205B" w:rsidRDefault="00231AE4" w:rsidP="00231AE4">
      <w:pPr>
        <w:pStyle w:val="ListParagraph"/>
        <w:spacing w:before="120"/>
        <w:ind w:left="360"/>
        <w:contextualSpacing w:val="0"/>
        <w:rPr>
          <w:rFonts w:cs="Arial"/>
          <w:b/>
        </w:rPr>
      </w:pPr>
    </w:p>
    <w:p w14:paraId="16C7BFD7" w14:textId="77777777" w:rsidR="00231AE4" w:rsidRPr="00F6205B" w:rsidRDefault="00231AE4" w:rsidP="00231AE4">
      <w:pPr>
        <w:pStyle w:val="ListParagraph"/>
        <w:spacing w:before="120"/>
        <w:ind w:left="360"/>
        <w:contextualSpacing w:val="0"/>
        <w:rPr>
          <w:b/>
        </w:rPr>
      </w:pPr>
      <w:r w:rsidRPr="00F6205B">
        <w:rPr>
          <w:b/>
        </w:rPr>
        <w:lastRenderedPageBreak/>
        <w:t>Upgrade Case Scenario</w:t>
      </w:r>
    </w:p>
    <w:p w14:paraId="08175A33" w14:textId="5C4189C8" w:rsidR="00231AE4" w:rsidRPr="00F6205B" w:rsidRDefault="00231AE4" w:rsidP="00231AE4">
      <w:pPr>
        <w:pStyle w:val="ListParagraph"/>
        <w:spacing w:before="120"/>
        <w:ind w:left="360"/>
        <w:contextualSpacing w:val="0"/>
      </w:pPr>
      <w:r w:rsidRPr="00F6205B">
        <w:t>Details the results of upgrade case scenario fuel switching (fuel switching group features are described in detail in</w:t>
      </w:r>
      <w:r w:rsidR="00F620C3">
        <w:t xml:space="preserve"> </w:t>
      </w:r>
      <w:r w:rsidR="00F620C3">
        <w:fldChar w:fldCharType="begin"/>
      </w:r>
      <w:r w:rsidR="00F620C3">
        <w:instrText xml:space="preserve"> REF _Ref439771323 \h </w:instrText>
      </w:r>
      <w:r w:rsidR="00F620C3">
        <w:fldChar w:fldCharType="separate"/>
      </w:r>
      <w:r w:rsidR="00F620C3" w:rsidRPr="00F6205B">
        <w:t xml:space="preserve">Table </w:t>
      </w:r>
      <w:r w:rsidR="00F620C3">
        <w:rPr>
          <w:noProof/>
        </w:rPr>
        <w:t>7</w:t>
      </w:r>
      <w:r w:rsidR="00F620C3">
        <w:fldChar w:fldCharType="end"/>
      </w:r>
      <w:r w:rsidRPr="00F6205B">
        <w:t>).</w:t>
      </w:r>
    </w:p>
    <w:p w14:paraId="02EC07C2" w14:textId="77777777" w:rsidR="00231AE4" w:rsidRPr="00F6205B" w:rsidRDefault="00231AE4" w:rsidP="00231AE4">
      <w:pPr>
        <w:pStyle w:val="ListParagraph"/>
        <w:spacing w:before="120"/>
        <w:ind w:left="360"/>
        <w:contextualSpacing w:val="0"/>
        <w:rPr>
          <w:b/>
        </w:rPr>
      </w:pPr>
      <w:r w:rsidRPr="00F6205B">
        <w:rPr>
          <w:b/>
        </w:rPr>
        <w:t>Fuel Switching Impact by End Use</w:t>
      </w:r>
    </w:p>
    <w:p w14:paraId="33F25DEA" w14:textId="77777777" w:rsidR="00231AE4" w:rsidRPr="00F6205B" w:rsidRDefault="00231AE4" w:rsidP="00231AE4">
      <w:pPr>
        <w:pStyle w:val="ListParagraph"/>
        <w:spacing w:before="120"/>
        <w:ind w:left="360"/>
        <w:contextualSpacing w:val="0"/>
      </w:pPr>
      <w:r w:rsidRPr="00F6205B">
        <w:t>Further details base case and upgrade case fuel switching impact by the heating, cooling, and water heating end uses.</w:t>
      </w:r>
    </w:p>
    <w:p w14:paraId="7409BBF0" w14:textId="77777777" w:rsidR="00231AE4" w:rsidRPr="00F6205B" w:rsidRDefault="00231AE4" w:rsidP="001B22F1">
      <w:pPr>
        <w:pStyle w:val="Heading3"/>
        <w:numPr>
          <w:ilvl w:val="0"/>
          <w:numId w:val="0"/>
        </w:numPr>
        <w:jc w:val="both"/>
      </w:pPr>
      <w:bookmarkStart w:id="346" w:name="_Toc373322745"/>
      <w:bookmarkStart w:id="347" w:name="_Toc391887323"/>
      <w:bookmarkStart w:id="348" w:name="_Toc439939412"/>
      <w:r w:rsidRPr="00F6205B">
        <w:t>MMBtu Summary</w:t>
      </w:r>
      <w:bookmarkEnd w:id="346"/>
      <w:bookmarkEnd w:id="347"/>
      <w:bookmarkEnd w:id="348"/>
    </w:p>
    <w:p w14:paraId="347BE68A" w14:textId="42146C20" w:rsidR="00231AE4" w:rsidRPr="00F6205B" w:rsidRDefault="00F620C3" w:rsidP="00231AE4">
      <w:r>
        <w:fldChar w:fldCharType="begin"/>
      </w:r>
      <w:r>
        <w:instrText xml:space="preserve"> REF _Ref439934313 \h </w:instrText>
      </w:r>
      <w:r>
        <w:fldChar w:fldCharType="separate"/>
      </w:r>
      <w:r w:rsidRPr="00F6205B">
        <w:t xml:space="preserve">Table </w:t>
      </w:r>
      <w:r>
        <w:rPr>
          <w:noProof/>
        </w:rPr>
        <w:t>36</w:t>
      </w:r>
      <w:r>
        <w:fldChar w:fldCharType="end"/>
      </w:r>
      <w:r>
        <w:t xml:space="preserve"> </w:t>
      </w:r>
      <w:r w:rsidR="00231AE4" w:rsidRPr="00F6205B">
        <w:t>shows the overall impact of fuel switching across all fuel types. Fuel switching, of course, results in more consumption of some fuels and less consumption of others. Nonetheless, because of the comparatively greater efficiency of replacement equipment, it would result in an overall decrease in total annual consumption in MMBtu (</w:t>
      </w:r>
      <w:r w:rsidR="00A964F0">
        <w:fldChar w:fldCharType="begin"/>
      </w:r>
      <w:r w:rsidR="00A964F0">
        <w:instrText xml:space="preserve"> REF _Ref439934313 \h </w:instrText>
      </w:r>
      <w:r w:rsidR="00A964F0">
        <w:fldChar w:fldCharType="separate"/>
      </w:r>
      <w:r w:rsidR="00A964F0" w:rsidRPr="00F6205B">
        <w:t xml:space="preserve">Table </w:t>
      </w:r>
      <w:r w:rsidR="00A964F0">
        <w:rPr>
          <w:noProof/>
        </w:rPr>
        <w:t>36</w:t>
      </w:r>
      <w:r w:rsidR="00A964F0">
        <w:fldChar w:fldCharType="end"/>
      </w:r>
      <w:r w:rsidR="00231AE4" w:rsidRPr="00F6205B">
        <w:t>).</w:t>
      </w:r>
      <w:r w:rsidR="00231AE4" w:rsidRPr="00F6205B">
        <w:rPr>
          <w:rStyle w:val="FootnoteReference"/>
        </w:rPr>
        <w:footnoteReference w:id="73"/>
      </w:r>
      <w:r w:rsidR="00A964F0">
        <w:t xml:space="preserve"> </w:t>
      </w:r>
      <w:r w:rsidR="00231AE4" w:rsidRPr="00F6205B">
        <w:t>The following impacts were identified during the fuel switching analysis:</w:t>
      </w:r>
    </w:p>
    <w:p w14:paraId="10481BD2" w14:textId="77777777" w:rsidR="00231AE4" w:rsidRPr="00F6205B" w:rsidRDefault="00231AE4" w:rsidP="00A964F0">
      <w:pPr>
        <w:pStyle w:val="ListParagraph"/>
        <w:numPr>
          <w:ilvl w:val="0"/>
          <w:numId w:val="28"/>
        </w:numPr>
      </w:pPr>
      <w:r w:rsidRPr="00F6205B">
        <w:t>Over the next decade, single-family homes in Connecticut can be expected to consume about 1.5 billion MMBtu of energy.</w:t>
      </w:r>
    </w:p>
    <w:p w14:paraId="395FF90B" w14:textId="77777777" w:rsidR="00231AE4" w:rsidRPr="00F6205B" w:rsidRDefault="00231AE4" w:rsidP="00A964F0">
      <w:pPr>
        <w:pStyle w:val="ListParagraph"/>
        <w:numPr>
          <w:ilvl w:val="0"/>
          <w:numId w:val="28"/>
        </w:numPr>
      </w:pPr>
      <w:r w:rsidRPr="00F6205B">
        <w:t>Base case fuel switching could, under the 100% conversion rate, potentially save 5.5% of that amount in total over the course of ten years.</w:t>
      </w:r>
    </w:p>
    <w:p w14:paraId="31E1E5DA" w14:textId="77777777" w:rsidR="00231AE4" w:rsidRPr="00F6205B" w:rsidRDefault="00231AE4" w:rsidP="00A964F0">
      <w:pPr>
        <w:pStyle w:val="ListParagraph"/>
        <w:numPr>
          <w:ilvl w:val="0"/>
          <w:numId w:val="28"/>
        </w:numPr>
      </w:pPr>
      <w:r w:rsidRPr="00F6205B">
        <w:t>By year ten, annual fuel consumption in MMBtu would decline by 17.2% of the expected annual consumption level.</w:t>
      </w:r>
    </w:p>
    <w:p w14:paraId="423BA148" w14:textId="77777777" w:rsidR="00231AE4" w:rsidRPr="00F6205B" w:rsidRDefault="00231AE4" w:rsidP="00A964F0">
      <w:pPr>
        <w:pStyle w:val="ListParagraph"/>
        <w:numPr>
          <w:ilvl w:val="0"/>
          <w:numId w:val="28"/>
        </w:numPr>
      </w:pPr>
      <w:r w:rsidRPr="00F6205B">
        <w:t>Program incentives for higher-efficiency equipment can be expected to save a maximum of 43.8 million MMBtu over the course of ten years, or 7.8 million MMBtu annually by year ten.</w:t>
      </w:r>
    </w:p>
    <w:p w14:paraId="04A70CC5" w14:textId="77777777" w:rsidR="00231AE4" w:rsidRPr="00F6205B" w:rsidRDefault="00231AE4" w:rsidP="00A964F0">
      <w:pPr>
        <w:pStyle w:val="ListParagraph"/>
        <w:numPr>
          <w:ilvl w:val="1"/>
          <w:numId w:val="28"/>
        </w:numPr>
      </w:pPr>
      <w:r w:rsidRPr="00F6205B">
        <w:t>This amount represents 3.1% of base case consumption over ten years and 6.4% of year-ten annual consumption.</w:t>
      </w:r>
    </w:p>
    <w:p w14:paraId="17A18B3B" w14:textId="167D05D3" w:rsidR="00231AE4" w:rsidRPr="00F6205B" w:rsidRDefault="00231AE4" w:rsidP="004F23CF">
      <w:pPr>
        <w:pStyle w:val="Caption"/>
      </w:pPr>
      <w:bookmarkStart w:id="349" w:name="_Ref372017790"/>
      <w:bookmarkStart w:id="350" w:name="_Ref439934313"/>
      <w:bookmarkStart w:id="351" w:name="_Toc373324131"/>
      <w:bookmarkStart w:id="352" w:name="_Toc391887372"/>
      <w:bookmarkStart w:id="353" w:name="_Toc439931867"/>
      <w:r w:rsidRPr="00F6205B">
        <w:lastRenderedPageBreak/>
        <w:t>Table</w:t>
      </w:r>
      <w:bookmarkEnd w:id="349"/>
      <w:r w:rsidR="004F23CF" w:rsidRPr="00F6205B">
        <w:t xml:space="preserve"> </w:t>
      </w:r>
      <w:fldSimple w:instr=" SEQ Table \* ARABIC ">
        <w:r w:rsidR="00FA26A9">
          <w:rPr>
            <w:noProof/>
          </w:rPr>
          <w:t>36</w:t>
        </w:r>
      </w:fldSimple>
      <w:bookmarkEnd w:id="350"/>
      <w:r w:rsidRPr="00F6205B">
        <w:t xml:space="preserve">: </w:t>
      </w:r>
      <w:r w:rsidR="00501AE4">
        <w:t>Fuel Switching—</w:t>
      </w:r>
      <w:r w:rsidRPr="00F6205B">
        <w:t>Overall Summary in MMBtu</w:t>
      </w:r>
      <w:bookmarkEnd w:id="351"/>
      <w:bookmarkEnd w:id="352"/>
      <w:bookmarkEnd w:id="353"/>
    </w:p>
    <w:p w14:paraId="4787F3CD" w14:textId="77777777" w:rsidR="00346A82" w:rsidRPr="00F6205B" w:rsidRDefault="00346A82" w:rsidP="00346A82">
      <w:pPr>
        <w:pStyle w:val="Caption"/>
        <w:spacing w:before="0" w:after="120"/>
        <w:rPr>
          <w:b w:val="0"/>
          <w:bCs w:val="0"/>
          <w:sz w:val="18"/>
        </w:rPr>
      </w:pPr>
      <w:r w:rsidRPr="00F6205B">
        <w:rPr>
          <w:b w:val="0"/>
          <w:bCs w:val="0"/>
          <w:sz w:val="18"/>
        </w:rPr>
        <w:t>Base: all single-family homes (population-weighted)</w:t>
      </w:r>
    </w:p>
    <w:tbl>
      <w:tblPr>
        <w:tblStyle w:val="TableGrid"/>
        <w:tblW w:w="9877"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3777"/>
        <w:gridCol w:w="981"/>
        <w:gridCol w:w="981"/>
        <w:gridCol w:w="981"/>
        <w:gridCol w:w="981"/>
        <w:gridCol w:w="981"/>
        <w:gridCol w:w="1195"/>
      </w:tblGrid>
      <w:tr w:rsidR="00231AE4" w:rsidRPr="00F6205B" w14:paraId="738CC771" w14:textId="77777777" w:rsidTr="00431DEA">
        <w:trPr>
          <w:trHeight w:val="288"/>
          <w:jc w:val="center"/>
        </w:trPr>
        <w:tc>
          <w:tcPr>
            <w:tcW w:w="3777" w:type="dxa"/>
            <w:vMerge w:val="restart"/>
            <w:tcBorders>
              <w:top w:val="single" w:sz="4" w:space="0" w:color="auto"/>
              <w:left w:val="single" w:sz="4" w:space="0" w:color="auto"/>
              <w:right w:val="single" w:sz="4" w:space="0" w:color="000000" w:themeColor="text1"/>
            </w:tcBorders>
            <w:shd w:val="clear" w:color="auto" w:fill="0B4D2C" w:themeFill="background2" w:themeFillShade="BF"/>
            <w:vAlign w:val="center"/>
          </w:tcPr>
          <w:p w14:paraId="2AE881D6" w14:textId="4A10477B" w:rsidR="00231AE4" w:rsidRPr="00F6205B" w:rsidRDefault="00431DEA" w:rsidP="004F23CF">
            <w:pPr>
              <w:keepNext/>
              <w:keepLines/>
              <w:spacing w:after="0"/>
              <w:rPr>
                <w:b/>
                <w:sz w:val="20"/>
                <w:szCs w:val="20"/>
              </w:rPr>
            </w:pPr>
            <w:r w:rsidRPr="00F6205B">
              <w:rPr>
                <w:b/>
                <w:sz w:val="20"/>
                <w:szCs w:val="20"/>
              </w:rPr>
              <w:t>Conversion r</w:t>
            </w:r>
            <w:r w:rsidR="00231AE4" w:rsidRPr="00F6205B">
              <w:rPr>
                <w:b/>
                <w:sz w:val="20"/>
                <w:szCs w:val="20"/>
              </w:rPr>
              <w:t>ate</w:t>
            </w:r>
          </w:p>
        </w:tc>
        <w:tc>
          <w:tcPr>
            <w:tcW w:w="4905" w:type="dxa"/>
            <w:gridSpan w:val="5"/>
            <w:tcBorders>
              <w:top w:val="single" w:sz="4" w:space="0" w:color="auto"/>
              <w:bottom w:val="single" w:sz="4" w:space="0" w:color="000000" w:themeColor="text1"/>
            </w:tcBorders>
            <w:shd w:val="clear" w:color="auto" w:fill="0B4D2C" w:themeFill="background2" w:themeFillShade="BF"/>
            <w:vAlign w:val="center"/>
          </w:tcPr>
          <w:p w14:paraId="34C9B241" w14:textId="77777777" w:rsidR="00231AE4" w:rsidRPr="00F6205B" w:rsidRDefault="00231AE4" w:rsidP="004F23CF">
            <w:pPr>
              <w:keepNext/>
              <w:keepLines/>
              <w:spacing w:after="0"/>
              <w:jc w:val="center"/>
              <w:rPr>
                <w:b/>
                <w:sz w:val="20"/>
                <w:szCs w:val="20"/>
              </w:rPr>
            </w:pPr>
            <w:r w:rsidRPr="00F6205B">
              <w:rPr>
                <w:b/>
                <w:sz w:val="20"/>
                <w:szCs w:val="20"/>
              </w:rPr>
              <w:t>Annual Consumption</w:t>
            </w:r>
          </w:p>
        </w:tc>
        <w:tc>
          <w:tcPr>
            <w:tcW w:w="1195" w:type="dxa"/>
            <w:vMerge w:val="restart"/>
            <w:tcBorders>
              <w:top w:val="single" w:sz="4" w:space="0" w:color="auto"/>
              <w:right w:val="single" w:sz="4" w:space="0" w:color="auto"/>
            </w:tcBorders>
            <w:shd w:val="clear" w:color="auto" w:fill="0B4D2C" w:themeFill="background2" w:themeFillShade="BF"/>
            <w:vAlign w:val="center"/>
          </w:tcPr>
          <w:p w14:paraId="38C83457" w14:textId="77777777" w:rsidR="00231AE4" w:rsidRPr="00F6205B" w:rsidRDefault="00231AE4" w:rsidP="004F23CF">
            <w:pPr>
              <w:keepNext/>
              <w:keepLines/>
              <w:spacing w:after="0"/>
              <w:jc w:val="center"/>
              <w:rPr>
                <w:b/>
                <w:sz w:val="20"/>
                <w:szCs w:val="20"/>
              </w:rPr>
            </w:pPr>
            <w:r w:rsidRPr="00F6205B">
              <w:rPr>
                <w:b/>
                <w:sz w:val="20"/>
                <w:szCs w:val="20"/>
              </w:rPr>
              <w:t>Total Over Ten Years</w:t>
            </w:r>
          </w:p>
        </w:tc>
      </w:tr>
      <w:tr w:rsidR="00231AE4" w:rsidRPr="00F6205B" w14:paraId="450E2656" w14:textId="77777777" w:rsidTr="00431DEA">
        <w:trPr>
          <w:trHeight w:val="288"/>
          <w:jc w:val="center"/>
        </w:trPr>
        <w:tc>
          <w:tcPr>
            <w:tcW w:w="3777" w:type="dxa"/>
            <w:vMerge/>
            <w:tcBorders>
              <w:left w:val="single" w:sz="4" w:space="0" w:color="auto"/>
              <w:bottom w:val="single" w:sz="4" w:space="0" w:color="000000" w:themeColor="text1"/>
              <w:right w:val="single" w:sz="4" w:space="0" w:color="000000" w:themeColor="text1"/>
            </w:tcBorders>
            <w:vAlign w:val="center"/>
          </w:tcPr>
          <w:p w14:paraId="7ACC3215" w14:textId="77777777" w:rsidR="00231AE4" w:rsidRPr="00F6205B" w:rsidRDefault="00231AE4" w:rsidP="004F23CF">
            <w:pPr>
              <w:keepNext/>
              <w:keepLines/>
              <w:spacing w:after="0"/>
              <w:rPr>
                <w:b/>
                <w:sz w:val="20"/>
                <w:szCs w:val="20"/>
              </w:rPr>
            </w:pPr>
          </w:p>
        </w:tc>
        <w:tc>
          <w:tcPr>
            <w:tcW w:w="981" w:type="dxa"/>
            <w:tcBorders>
              <w:top w:val="single" w:sz="4" w:space="0" w:color="000000" w:themeColor="text1"/>
              <w:bottom w:val="single" w:sz="4" w:space="0" w:color="000000" w:themeColor="text1"/>
              <w:right w:val="single" w:sz="4" w:space="0" w:color="000000" w:themeColor="text1"/>
            </w:tcBorders>
            <w:shd w:val="clear" w:color="auto" w:fill="0B4D2C" w:themeFill="background2" w:themeFillShade="BF"/>
            <w:vAlign w:val="center"/>
          </w:tcPr>
          <w:p w14:paraId="06AA4F89" w14:textId="77777777" w:rsidR="00231AE4" w:rsidRPr="00F6205B" w:rsidRDefault="00231AE4" w:rsidP="004F23CF">
            <w:pPr>
              <w:keepNext/>
              <w:keepLines/>
              <w:spacing w:after="0"/>
              <w:jc w:val="center"/>
              <w:rPr>
                <w:b/>
                <w:sz w:val="20"/>
                <w:szCs w:val="20"/>
              </w:rPr>
            </w:pPr>
            <w:r w:rsidRPr="00F6205B">
              <w:rPr>
                <w:b/>
                <w:sz w:val="20"/>
                <w:szCs w:val="20"/>
              </w:rPr>
              <w:t>Current</w:t>
            </w:r>
          </w:p>
        </w:tc>
        <w:tc>
          <w:tcPr>
            <w:tcW w:w="981" w:type="dxa"/>
            <w:tcBorders>
              <w:top w:val="single" w:sz="4" w:space="0" w:color="000000" w:themeColor="text1"/>
              <w:bottom w:val="single" w:sz="4" w:space="0" w:color="000000" w:themeColor="text1"/>
            </w:tcBorders>
            <w:shd w:val="clear" w:color="auto" w:fill="0B4D2C" w:themeFill="background2" w:themeFillShade="BF"/>
            <w:vAlign w:val="center"/>
          </w:tcPr>
          <w:p w14:paraId="4EB9F0A4" w14:textId="77777777" w:rsidR="00231AE4" w:rsidRPr="00F6205B" w:rsidRDefault="00231AE4" w:rsidP="004F23CF">
            <w:pPr>
              <w:keepNext/>
              <w:keepLines/>
              <w:spacing w:after="0"/>
              <w:jc w:val="center"/>
              <w:rPr>
                <w:b/>
                <w:sz w:val="20"/>
                <w:szCs w:val="20"/>
              </w:rPr>
            </w:pPr>
            <w:r w:rsidRPr="00F6205B">
              <w:rPr>
                <w:b/>
                <w:sz w:val="20"/>
                <w:szCs w:val="20"/>
              </w:rPr>
              <w:t>Year 2.5</w:t>
            </w:r>
          </w:p>
        </w:tc>
        <w:tc>
          <w:tcPr>
            <w:tcW w:w="981" w:type="dxa"/>
            <w:tcBorders>
              <w:top w:val="single" w:sz="4" w:space="0" w:color="000000" w:themeColor="text1"/>
              <w:bottom w:val="single" w:sz="4" w:space="0" w:color="000000" w:themeColor="text1"/>
            </w:tcBorders>
            <w:shd w:val="clear" w:color="auto" w:fill="0B4D2C" w:themeFill="background2" w:themeFillShade="BF"/>
            <w:vAlign w:val="center"/>
          </w:tcPr>
          <w:p w14:paraId="4E51B46B" w14:textId="77777777" w:rsidR="00231AE4" w:rsidRPr="00F6205B" w:rsidRDefault="00231AE4" w:rsidP="004F23CF">
            <w:pPr>
              <w:keepNext/>
              <w:keepLines/>
              <w:spacing w:after="0"/>
              <w:jc w:val="center"/>
              <w:rPr>
                <w:b/>
                <w:sz w:val="20"/>
                <w:szCs w:val="20"/>
              </w:rPr>
            </w:pPr>
            <w:r w:rsidRPr="00F6205B">
              <w:rPr>
                <w:b/>
                <w:sz w:val="20"/>
                <w:szCs w:val="20"/>
              </w:rPr>
              <w:t>Year 5</w:t>
            </w:r>
          </w:p>
        </w:tc>
        <w:tc>
          <w:tcPr>
            <w:tcW w:w="981" w:type="dxa"/>
            <w:tcBorders>
              <w:top w:val="single" w:sz="4" w:space="0" w:color="000000" w:themeColor="text1"/>
              <w:bottom w:val="single" w:sz="4" w:space="0" w:color="000000" w:themeColor="text1"/>
            </w:tcBorders>
            <w:shd w:val="clear" w:color="auto" w:fill="0B4D2C" w:themeFill="background2" w:themeFillShade="BF"/>
            <w:vAlign w:val="center"/>
          </w:tcPr>
          <w:p w14:paraId="2F835BD7" w14:textId="77777777" w:rsidR="00231AE4" w:rsidRPr="00F6205B" w:rsidRDefault="00231AE4" w:rsidP="004F23CF">
            <w:pPr>
              <w:keepNext/>
              <w:keepLines/>
              <w:spacing w:after="0"/>
              <w:jc w:val="center"/>
              <w:rPr>
                <w:b/>
                <w:sz w:val="20"/>
                <w:szCs w:val="20"/>
              </w:rPr>
            </w:pPr>
            <w:r w:rsidRPr="00F6205B">
              <w:rPr>
                <w:b/>
                <w:sz w:val="20"/>
                <w:szCs w:val="20"/>
              </w:rPr>
              <w:t>Year 7.5</w:t>
            </w:r>
          </w:p>
        </w:tc>
        <w:tc>
          <w:tcPr>
            <w:tcW w:w="981" w:type="dxa"/>
            <w:tcBorders>
              <w:top w:val="single" w:sz="4" w:space="0" w:color="000000" w:themeColor="text1"/>
              <w:bottom w:val="single" w:sz="4" w:space="0" w:color="000000" w:themeColor="text1"/>
            </w:tcBorders>
            <w:shd w:val="clear" w:color="auto" w:fill="0B4D2C" w:themeFill="background2" w:themeFillShade="BF"/>
            <w:vAlign w:val="center"/>
          </w:tcPr>
          <w:p w14:paraId="5D672151" w14:textId="77777777" w:rsidR="00231AE4" w:rsidRPr="00F6205B" w:rsidRDefault="00231AE4" w:rsidP="004F23CF">
            <w:pPr>
              <w:keepNext/>
              <w:keepLines/>
              <w:spacing w:after="0"/>
              <w:jc w:val="center"/>
              <w:rPr>
                <w:b/>
                <w:sz w:val="20"/>
                <w:szCs w:val="20"/>
              </w:rPr>
            </w:pPr>
            <w:r w:rsidRPr="00F6205B">
              <w:rPr>
                <w:b/>
                <w:sz w:val="20"/>
                <w:szCs w:val="20"/>
              </w:rPr>
              <w:t>Year 10</w:t>
            </w:r>
          </w:p>
        </w:tc>
        <w:tc>
          <w:tcPr>
            <w:tcW w:w="1195" w:type="dxa"/>
            <w:vMerge/>
            <w:tcBorders>
              <w:bottom w:val="single" w:sz="4" w:space="0" w:color="000000" w:themeColor="text1"/>
              <w:right w:val="single" w:sz="4" w:space="0" w:color="auto"/>
            </w:tcBorders>
            <w:vAlign w:val="center"/>
          </w:tcPr>
          <w:p w14:paraId="587614F0" w14:textId="77777777" w:rsidR="00231AE4" w:rsidRPr="00F6205B" w:rsidRDefault="00231AE4" w:rsidP="004F23CF">
            <w:pPr>
              <w:keepNext/>
              <w:keepLines/>
              <w:spacing w:after="0"/>
              <w:jc w:val="center"/>
              <w:rPr>
                <w:b/>
                <w:sz w:val="20"/>
                <w:szCs w:val="20"/>
              </w:rPr>
            </w:pPr>
          </w:p>
        </w:tc>
      </w:tr>
      <w:tr w:rsidR="00231AE4" w:rsidRPr="00F6205B" w14:paraId="502CAB04" w14:textId="77777777" w:rsidTr="00431DEA">
        <w:trPr>
          <w:trHeight w:val="288"/>
          <w:jc w:val="center"/>
        </w:trPr>
        <w:tc>
          <w:tcPr>
            <w:tcW w:w="377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AE18157" w14:textId="77777777" w:rsidR="00231AE4" w:rsidRPr="00F6205B" w:rsidRDefault="00231AE4" w:rsidP="004F23CF">
            <w:pPr>
              <w:keepNext/>
              <w:keepLines/>
              <w:spacing w:after="0"/>
              <w:rPr>
                <w:sz w:val="20"/>
                <w:szCs w:val="20"/>
              </w:rPr>
            </w:pPr>
            <w:r w:rsidRPr="00F6205B">
              <w:rPr>
                <w:sz w:val="20"/>
                <w:szCs w:val="20"/>
              </w:rPr>
              <w:t>No fuel switching</w:t>
            </w:r>
          </w:p>
        </w:tc>
        <w:tc>
          <w:tcPr>
            <w:tcW w:w="981" w:type="dxa"/>
            <w:tcBorders>
              <w:top w:val="single" w:sz="4" w:space="0" w:color="000000" w:themeColor="text1"/>
              <w:bottom w:val="single" w:sz="4" w:space="0" w:color="000000" w:themeColor="text1"/>
              <w:right w:val="single" w:sz="4" w:space="0" w:color="000000" w:themeColor="text1"/>
            </w:tcBorders>
            <w:vAlign w:val="center"/>
          </w:tcPr>
          <w:p w14:paraId="482BC71D" w14:textId="77777777" w:rsidR="00231AE4" w:rsidRPr="00F6205B" w:rsidRDefault="00231AE4" w:rsidP="004F23CF">
            <w:pPr>
              <w:keepNext/>
              <w:keepLines/>
              <w:spacing w:after="0"/>
              <w:jc w:val="center"/>
              <w:rPr>
                <w:sz w:val="20"/>
                <w:szCs w:val="20"/>
              </w:rPr>
            </w:pPr>
            <w:r w:rsidRPr="00F6205B">
              <w:rPr>
                <w:sz w:val="20"/>
                <w:szCs w:val="20"/>
              </w:rPr>
              <w:t>155.9</w:t>
            </w:r>
          </w:p>
        </w:tc>
        <w:tc>
          <w:tcPr>
            <w:tcW w:w="981" w:type="dxa"/>
            <w:tcBorders>
              <w:top w:val="single" w:sz="4" w:space="0" w:color="000000" w:themeColor="text1"/>
              <w:bottom w:val="single" w:sz="4" w:space="0" w:color="000000" w:themeColor="text1"/>
            </w:tcBorders>
            <w:vAlign w:val="center"/>
          </w:tcPr>
          <w:p w14:paraId="52827B93" w14:textId="77777777" w:rsidR="00231AE4" w:rsidRPr="00F6205B" w:rsidRDefault="00231AE4" w:rsidP="004F23CF">
            <w:pPr>
              <w:keepNext/>
              <w:keepLines/>
              <w:spacing w:after="0"/>
              <w:jc w:val="center"/>
              <w:rPr>
                <w:sz w:val="20"/>
                <w:szCs w:val="20"/>
              </w:rPr>
            </w:pPr>
            <w:r w:rsidRPr="00F6205B">
              <w:rPr>
                <w:sz w:val="20"/>
                <w:szCs w:val="20"/>
              </w:rPr>
              <w:t>154.5</w:t>
            </w:r>
          </w:p>
        </w:tc>
        <w:tc>
          <w:tcPr>
            <w:tcW w:w="981" w:type="dxa"/>
            <w:tcBorders>
              <w:top w:val="single" w:sz="4" w:space="0" w:color="000000" w:themeColor="text1"/>
              <w:bottom w:val="single" w:sz="4" w:space="0" w:color="000000" w:themeColor="text1"/>
            </w:tcBorders>
            <w:vAlign w:val="center"/>
          </w:tcPr>
          <w:p w14:paraId="72CBA0A6" w14:textId="77777777" w:rsidR="00231AE4" w:rsidRPr="00F6205B" w:rsidRDefault="00231AE4" w:rsidP="004F23CF">
            <w:pPr>
              <w:keepNext/>
              <w:keepLines/>
              <w:spacing w:after="0"/>
              <w:jc w:val="center"/>
              <w:rPr>
                <w:sz w:val="20"/>
                <w:szCs w:val="20"/>
              </w:rPr>
            </w:pPr>
            <w:r w:rsidRPr="00F6205B">
              <w:rPr>
                <w:sz w:val="20"/>
                <w:szCs w:val="20"/>
              </w:rPr>
              <w:t>152.2</w:t>
            </w:r>
          </w:p>
        </w:tc>
        <w:tc>
          <w:tcPr>
            <w:tcW w:w="981" w:type="dxa"/>
            <w:tcBorders>
              <w:top w:val="single" w:sz="4" w:space="0" w:color="000000" w:themeColor="text1"/>
              <w:bottom w:val="single" w:sz="4" w:space="0" w:color="000000" w:themeColor="text1"/>
            </w:tcBorders>
            <w:vAlign w:val="center"/>
          </w:tcPr>
          <w:p w14:paraId="08DEEFE0" w14:textId="77777777" w:rsidR="00231AE4" w:rsidRPr="00F6205B" w:rsidRDefault="00231AE4" w:rsidP="004F23CF">
            <w:pPr>
              <w:keepNext/>
              <w:keepLines/>
              <w:spacing w:after="0"/>
              <w:jc w:val="center"/>
              <w:rPr>
                <w:sz w:val="20"/>
                <w:szCs w:val="20"/>
              </w:rPr>
            </w:pPr>
            <w:r w:rsidRPr="00F6205B">
              <w:rPr>
                <w:sz w:val="20"/>
                <w:szCs w:val="20"/>
              </w:rPr>
              <w:t>149.9</w:t>
            </w:r>
          </w:p>
        </w:tc>
        <w:tc>
          <w:tcPr>
            <w:tcW w:w="981" w:type="dxa"/>
            <w:tcBorders>
              <w:top w:val="single" w:sz="4" w:space="0" w:color="000000" w:themeColor="text1"/>
              <w:bottom w:val="single" w:sz="4" w:space="0" w:color="000000" w:themeColor="text1"/>
            </w:tcBorders>
            <w:vAlign w:val="center"/>
          </w:tcPr>
          <w:p w14:paraId="6BA529AE" w14:textId="77777777" w:rsidR="00231AE4" w:rsidRPr="00F6205B" w:rsidRDefault="00231AE4" w:rsidP="004F23CF">
            <w:pPr>
              <w:keepNext/>
              <w:keepLines/>
              <w:spacing w:after="0"/>
              <w:jc w:val="center"/>
              <w:rPr>
                <w:sz w:val="20"/>
                <w:szCs w:val="20"/>
              </w:rPr>
            </w:pPr>
            <w:r w:rsidRPr="00F6205B">
              <w:rPr>
                <w:sz w:val="20"/>
                <w:szCs w:val="20"/>
              </w:rPr>
              <w:t>147.7</w:t>
            </w:r>
          </w:p>
        </w:tc>
        <w:tc>
          <w:tcPr>
            <w:tcW w:w="1195" w:type="dxa"/>
            <w:tcBorders>
              <w:top w:val="single" w:sz="4" w:space="0" w:color="000000" w:themeColor="text1"/>
              <w:bottom w:val="single" w:sz="4" w:space="0" w:color="000000" w:themeColor="text1"/>
              <w:right w:val="single" w:sz="4" w:space="0" w:color="auto"/>
            </w:tcBorders>
            <w:vAlign w:val="center"/>
          </w:tcPr>
          <w:p w14:paraId="3A3CF917" w14:textId="77777777" w:rsidR="00231AE4" w:rsidRPr="00F6205B" w:rsidRDefault="00231AE4" w:rsidP="004F23CF">
            <w:pPr>
              <w:keepNext/>
              <w:keepLines/>
              <w:spacing w:after="0"/>
              <w:jc w:val="center"/>
              <w:rPr>
                <w:sz w:val="20"/>
                <w:szCs w:val="20"/>
              </w:rPr>
            </w:pPr>
            <w:r w:rsidRPr="00F6205B">
              <w:rPr>
                <w:sz w:val="20"/>
                <w:szCs w:val="20"/>
              </w:rPr>
              <w:t>1,475.5</w:t>
            </w:r>
          </w:p>
        </w:tc>
      </w:tr>
      <w:tr w:rsidR="00431DEA" w:rsidRPr="00F6205B" w14:paraId="707DB77E" w14:textId="77777777" w:rsidTr="00431DEA">
        <w:trPr>
          <w:trHeight w:val="288"/>
          <w:jc w:val="center"/>
        </w:trPr>
        <w:tc>
          <w:tcPr>
            <w:tcW w:w="9877" w:type="dxa"/>
            <w:gridSpan w:val="7"/>
            <w:tcBorders>
              <w:top w:val="single" w:sz="4" w:space="0" w:color="000000" w:themeColor="text1"/>
              <w:left w:val="single" w:sz="4" w:space="0" w:color="auto"/>
              <w:bottom w:val="single" w:sz="4" w:space="0" w:color="000000" w:themeColor="text1"/>
              <w:right w:val="single" w:sz="4" w:space="0" w:color="auto"/>
            </w:tcBorders>
            <w:shd w:val="clear" w:color="auto" w:fill="404040" w:themeFill="text1" w:themeFillTint="BF"/>
            <w:vAlign w:val="center"/>
          </w:tcPr>
          <w:p w14:paraId="5CA9931D" w14:textId="77777777" w:rsidR="00231AE4" w:rsidRPr="00F6205B" w:rsidRDefault="00231AE4" w:rsidP="004F23CF">
            <w:pPr>
              <w:keepNext/>
              <w:keepLines/>
              <w:spacing w:after="0"/>
              <w:jc w:val="center"/>
              <w:rPr>
                <w:b/>
                <w:color w:val="FFFFFF" w:themeColor="background1"/>
                <w:sz w:val="20"/>
                <w:szCs w:val="20"/>
              </w:rPr>
            </w:pPr>
            <w:r w:rsidRPr="00F6205B">
              <w:rPr>
                <w:b/>
                <w:color w:val="FFFFFF" w:themeColor="background1"/>
                <w:sz w:val="20"/>
                <w:szCs w:val="20"/>
              </w:rPr>
              <w:t>Base Case</w:t>
            </w:r>
          </w:p>
        </w:tc>
      </w:tr>
      <w:tr w:rsidR="00231AE4" w:rsidRPr="00F6205B" w14:paraId="5AB21486" w14:textId="77777777" w:rsidTr="00431DEA">
        <w:trPr>
          <w:trHeight w:val="288"/>
          <w:jc w:val="center"/>
        </w:trPr>
        <w:tc>
          <w:tcPr>
            <w:tcW w:w="377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1F5558F" w14:textId="77777777" w:rsidR="00231AE4" w:rsidRPr="00F6205B" w:rsidRDefault="00231AE4" w:rsidP="004F23CF">
            <w:pPr>
              <w:keepNext/>
              <w:keepLines/>
              <w:spacing w:after="0"/>
              <w:rPr>
                <w:sz w:val="20"/>
                <w:szCs w:val="20"/>
              </w:rPr>
            </w:pPr>
            <w:r w:rsidRPr="00F6205B">
              <w:rPr>
                <w:sz w:val="20"/>
                <w:szCs w:val="20"/>
              </w:rPr>
              <w:t>25% conversion rate (million MMBtu)</w:t>
            </w:r>
          </w:p>
        </w:tc>
        <w:tc>
          <w:tcPr>
            <w:tcW w:w="981" w:type="dxa"/>
            <w:tcBorders>
              <w:top w:val="single" w:sz="4" w:space="0" w:color="000000" w:themeColor="text1"/>
              <w:bottom w:val="single" w:sz="4" w:space="0" w:color="000000" w:themeColor="text1"/>
              <w:right w:val="single" w:sz="4" w:space="0" w:color="000000" w:themeColor="text1"/>
            </w:tcBorders>
            <w:vAlign w:val="center"/>
          </w:tcPr>
          <w:p w14:paraId="5BE0214B" w14:textId="77777777" w:rsidR="00231AE4" w:rsidRPr="00F6205B" w:rsidRDefault="00231AE4" w:rsidP="004F23CF">
            <w:pPr>
              <w:keepNext/>
              <w:keepLines/>
              <w:spacing w:after="0"/>
              <w:jc w:val="center"/>
              <w:rPr>
                <w:sz w:val="20"/>
                <w:szCs w:val="20"/>
              </w:rPr>
            </w:pPr>
            <w:r w:rsidRPr="00F6205B">
              <w:rPr>
                <w:sz w:val="20"/>
                <w:szCs w:val="20"/>
              </w:rPr>
              <w:t>155.9</w:t>
            </w:r>
          </w:p>
        </w:tc>
        <w:tc>
          <w:tcPr>
            <w:tcW w:w="981" w:type="dxa"/>
            <w:tcBorders>
              <w:top w:val="single" w:sz="4" w:space="0" w:color="000000" w:themeColor="text1"/>
              <w:bottom w:val="single" w:sz="4" w:space="0" w:color="000000" w:themeColor="text1"/>
            </w:tcBorders>
            <w:vAlign w:val="center"/>
          </w:tcPr>
          <w:p w14:paraId="406A2BFD" w14:textId="77777777" w:rsidR="00231AE4" w:rsidRPr="00F6205B" w:rsidRDefault="00231AE4" w:rsidP="004F23CF">
            <w:pPr>
              <w:keepNext/>
              <w:keepLines/>
              <w:spacing w:after="0"/>
              <w:jc w:val="center"/>
              <w:rPr>
                <w:sz w:val="20"/>
                <w:szCs w:val="20"/>
              </w:rPr>
            </w:pPr>
            <w:r w:rsidRPr="00F6205B">
              <w:rPr>
                <w:sz w:val="20"/>
                <w:szCs w:val="20"/>
              </w:rPr>
              <w:t>152.8</w:t>
            </w:r>
          </w:p>
        </w:tc>
        <w:tc>
          <w:tcPr>
            <w:tcW w:w="981" w:type="dxa"/>
            <w:tcBorders>
              <w:top w:val="single" w:sz="4" w:space="0" w:color="000000" w:themeColor="text1"/>
              <w:bottom w:val="single" w:sz="4" w:space="0" w:color="000000" w:themeColor="text1"/>
            </w:tcBorders>
            <w:vAlign w:val="center"/>
          </w:tcPr>
          <w:p w14:paraId="44265869" w14:textId="77777777" w:rsidR="00231AE4" w:rsidRPr="00F6205B" w:rsidRDefault="00231AE4" w:rsidP="004F23CF">
            <w:pPr>
              <w:keepNext/>
              <w:keepLines/>
              <w:spacing w:after="0"/>
              <w:jc w:val="center"/>
              <w:rPr>
                <w:sz w:val="20"/>
                <w:szCs w:val="20"/>
              </w:rPr>
            </w:pPr>
            <w:r w:rsidRPr="00F6205B">
              <w:rPr>
                <w:sz w:val="20"/>
                <w:szCs w:val="20"/>
              </w:rPr>
              <w:t>148.9</w:t>
            </w:r>
          </w:p>
        </w:tc>
        <w:tc>
          <w:tcPr>
            <w:tcW w:w="981" w:type="dxa"/>
            <w:tcBorders>
              <w:top w:val="single" w:sz="4" w:space="0" w:color="000000" w:themeColor="text1"/>
              <w:bottom w:val="single" w:sz="4" w:space="0" w:color="000000" w:themeColor="text1"/>
            </w:tcBorders>
            <w:vAlign w:val="center"/>
          </w:tcPr>
          <w:p w14:paraId="0E1A8346" w14:textId="77777777" w:rsidR="00231AE4" w:rsidRPr="00F6205B" w:rsidRDefault="00231AE4" w:rsidP="004F23CF">
            <w:pPr>
              <w:keepNext/>
              <w:keepLines/>
              <w:spacing w:after="0"/>
              <w:jc w:val="center"/>
              <w:rPr>
                <w:sz w:val="20"/>
                <w:szCs w:val="20"/>
              </w:rPr>
            </w:pPr>
            <w:r w:rsidRPr="00F6205B">
              <w:rPr>
                <w:sz w:val="20"/>
                <w:szCs w:val="20"/>
              </w:rPr>
              <w:t>145.1</w:t>
            </w:r>
          </w:p>
        </w:tc>
        <w:tc>
          <w:tcPr>
            <w:tcW w:w="981" w:type="dxa"/>
            <w:tcBorders>
              <w:top w:val="single" w:sz="4" w:space="0" w:color="000000" w:themeColor="text1"/>
              <w:bottom w:val="single" w:sz="4" w:space="0" w:color="000000" w:themeColor="text1"/>
            </w:tcBorders>
            <w:vAlign w:val="center"/>
          </w:tcPr>
          <w:p w14:paraId="2A2AC0B7" w14:textId="77777777" w:rsidR="00231AE4" w:rsidRPr="00F6205B" w:rsidRDefault="00231AE4" w:rsidP="004F23CF">
            <w:pPr>
              <w:keepNext/>
              <w:keepLines/>
              <w:spacing w:after="0"/>
              <w:jc w:val="center"/>
              <w:rPr>
                <w:sz w:val="20"/>
                <w:szCs w:val="20"/>
              </w:rPr>
            </w:pPr>
            <w:r w:rsidRPr="00F6205B">
              <w:rPr>
                <w:sz w:val="20"/>
                <w:szCs w:val="20"/>
              </w:rPr>
              <w:t>141.3</w:t>
            </w:r>
          </w:p>
        </w:tc>
        <w:tc>
          <w:tcPr>
            <w:tcW w:w="1195" w:type="dxa"/>
            <w:tcBorders>
              <w:top w:val="single" w:sz="4" w:space="0" w:color="000000" w:themeColor="text1"/>
              <w:bottom w:val="single" w:sz="4" w:space="0" w:color="000000" w:themeColor="text1"/>
              <w:right w:val="single" w:sz="4" w:space="0" w:color="auto"/>
            </w:tcBorders>
            <w:vAlign w:val="center"/>
          </w:tcPr>
          <w:p w14:paraId="452FED5E" w14:textId="77777777" w:rsidR="00231AE4" w:rsidRPr="00F6205B" w:rsidRDefault="00231AE4" w:rsidP="004F23CF">
            <w:pPr>
              <w:keepNext/>
              <w:keepLines/>
              <w:spacing w:after="0"/>
              <w:jc w:val="center"/>
              <w:rPr>
                <w:sz w:val="20"/>
                <w:szCs w:val="20"/>
              </w:rPr>
            </w:pPr>
            <w:r w:rsidRPr="00F6205B">
              <w:rPr>
                <w:sz w:val="20"/>
                <w:szCs w:val="20"/>
              </w:rPr>
              <w:t>1,455.3</w:t>
            </w:r>
          </w:p>
        </w:tc>
      </w:tr>
      <w:tr w:rsidR="00231AE4" w:rsidRPr="00F6205B" w14:paraId="6CC28AF4" w14:textId="77777777" w:rsidTr="00431DEA">
        <w:trPr>
          <w:trHeight w:val="288"/>
          <w:jc w:val="center"/>
        </w:trPr>
        <w:tc>
          <w:tcPr>
            <w:tcW w:w="377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7CCA4FAA" w14:textId="77777777" w:rsidR="00231AE4" w:rsidRPr="00F6205B" w:rsidRDefault="00231AE4" w:rsidP="004F23CF">
            <w:pPr>
              <w:keepNext/>
              <w:keepLines/>
              <w:spacing w:after="0"/>
              <w:rPr>
                <w:i/>
                <w:sz w:val="20"/>
                <w:szCs w:val="20"/>
              </w:rPr>
            </w:pPr>
            <w:r w:rsidRPr="00F6205B">
              <w:rPr>
                <w:i/>
                <w:sz w:val="20"/>
                <w:szCs w:val="20"/>
              </w:rPr>
              <w:t xml:space="preserve">  Percent change from existing</w:t>
            </w:r>
          </w:p>
        </w:tc>
        <w:tc>
          <w:tcPr>
            <w:tcW w:w="981" w:type="dxa"/>
            <w:tcBorders>
              <w:top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785F17AD" w14:textId="02C2760E" w:rsidR="00231AE4" w:rsidRPr="00F6205B" w:rsidRDefault="000B3EA9" w:rsidP="004F23CF">
            <w:pPr>
              <w:keepNext/>
              <w:keepLines/>
              <w:spacing w:after="0"/>
              <w:jc w:val="center"/>
              <w:rPr>
                <w:i/>
                <w:sz w:val="20"/>
                <w:szCs w:val="20"/>
              </w:rPr>
            </w:pPr>
            <w:r w:rsidRPr="00F6205B">
              <w:rPr>
                <w:i/>
                <w:sz w:val="20"/>
                <w:szCs w:val="20"/>
              </w:rPr>
              <w:t>--</w:t>
            </w:r>
          </w:p>
        </w:tc>
        <w:tc>
          <w:tcPr>
            <w:tcW w:w="981" w:type="dxa"/>
            <w:tcBorders>
              <w:top w:val="single" w:sz="4" w:space="0" w:color="000000" w:themeColor="text1"/>
              <w:left w:val="single" w:sz="4" w:space="0" w:color="000000" w:themeColor="text1"/>
              <w:bottom w:val="single" w:sz="4" w:space="0" w:color="000000" w:themeColor="text1"/>
            </w:tcBorders>
            <w:shd w:val="clear" w:color="auto" w:fill="BFBFBF" w:themeFill="background1" w:themeFillShade="BF"/>
            <w:vAlign w:val="center"/>
          </w:tcPr>
          <w:p w14:paraId="731C4FD7" w14:textId="77777777" w:rsidR="00231AE4" w:rsidRPr="00F6205B" w:rsidRDefault="00231AE4" w:rsidP="004F23CF">
            <w:pPr>
              <w:keepNext/>
              <w:keepLines/>
              <w:spacing w:after="0"/>
              <w:jc w:val="center"/>
              <w:rPr>
                <w:i/>
                <w:sz w:val="20"/>
                <w:szCs w:val="20"/>
              </w:rPr>
            </w:pPr>
            <w:r w:rsidRPr="00F6205B">
              <w:rPr>
                <w:i/>
                <w:sz w:val="20"/>
                <w:szCs w:val="20"/>
              </w:rPr>
              <w:t>1.1%</w:t>
            </w:r>
          </w:p>
        </w:tc>
        <w:tc>
          <w:tcPr>
            <w:tcW w:w="981" w:type="dxa"/>
            <w:tcBorders>
              <w:top w:val="single" w:sz="4" w:space="0" w:color="000000" w:themeColor="text1"/>
              <w:bottom w:val="single" w:sz="4" w:space="0" w:color="000000" w:themeColor="text1"/>
            </w:tcBorders>
            <w:shd w:val="clear" w:color="auto" w:fill="BFBFBF" w:themeFill="background1" w:themeFillShade="BF"/>
            <w:vAlign w:val="center"/>
          </w:tcPr>
          <w:p w14:paraId="202FDF06" w14:textId="77777777" w:rsidR="00231AE4" w:rsidRPr="00F6205B" w:rsidRDefault="00231AE4" w:rsidP="004F23CF">
            <w:pPr>
              <w:keepNext/>
              <w:keepLines/>
              <w:spacing w:after="0"/>
              <w:jc w:val="center"/>
              <w:rPr>
                <w:i/>
                <w:sz w:val="20"/>
                <w:szCs w:val="20"/>
              </w:rPr>
            </w:pPr>
            <w:r w:rsidRPr="00F6205B">
              <w:rPr>
                <w:i/>
                <w:sz w:val="20"/>
                <w:szCs w:val="20"/>
              </w:rPr>
              <w:t>2.2%</w:t>
            </w:r>
          </w:p>
        </w:tc>
        <w:tc>
          <w:tcPr>
            <w:tcW w:w="981" w:type="dxa"/>
            <w:tcBorders>
              <w:top w:val="single" w:sz="4" w:space="0" w:color="000000" w:themeColor="text1"/>
              <w:bottom w:val="single" w:sz="4" w:space="0" w:color="000000" w:themeColor="text1"/>
            </w:tcBorders>
            <w:shd w:val="clear" w:color="auto" w:fill="BFBFBF" w:themeFill="background1" w:themeFillShade="BF"/>
            <w:vAlign w:val="center"/>
          </w:tcPr>
          <w:p w14:paraId="678B9CA7" w14:textId="77777777" w:rsidR="00231AE4" w:rsidRPr="00F6205B" w:rsidRDefault="00231AE4" w:rsidP="004F23CF">
            <w:pPr>
              <w:keepNext/>
              <w:keepLines/>
              <w:spacing w:after="0"/>
              <w:jc w:val="center"/>
              <w:rPr>
                <w:i/>
                <w:sz w:val="20"/>
                <w:szCs w:val="20"/>
              </w:rPr>
            </w:pPr>
            <w:r w:rsidRPr="00F6205B">
              <w:rPr>
                <w:i/>
                <w:sz w:val="20"/>
                <w:szCs w:val="20"/>
              </w:rPr>
              <w:t>3.2%</w:t>
            </w:r>
          </w:p>
        </w:tc>
        <w:tc>
          <w:tcPr>
            <w:tcW w:w="981" w:type="dxa"/>
            <w:tcBorders>
              <w:top w:val="single" w:sz="4" w:space="0" w:color="000000" w:themeColor="text1"/>
              <w:bottom w:val="single" w:sz="4" w:space="0" w:color="000000" w:themeColor="text1"/>
            </w:tcBorders>
            <w:shd w:val="clear" w:color="auto" w:fill="BFBFBF" w:themeFill="background1" w:themeFillShade="BF"/>
            <w:vAlign w:val="center"/>
          </w:tcPr>
          <w:p w14:paraId="7205AAB3" w14:textId="77777777" w:rsidR="00231AE4" w:rsidRPr="00F6205B" w:rsidRDefault="00231AE4" w:rsidP="004F23CF">
            <w:pPr>
              <w:keepNext/>
              <w:keepLines/>
              <w:spacing w:after="0"/>
              <w:jc w:val="center"/>
              <w:rPr>
                <w:i/>
                <w:sz w:val="20"/>
                <w:szCs w:val="20"/>
              </w:rPr>
            </w:pPr>
            <w:r w:rsidRPr="00F6205B">
              <w:rPr>
                <w:i/>
                <w:sz w:val="20"/>
                <w:szCs w:val="20"/>
              </w:rPr>
              <w:t>4.3%</w:t>
            </w:r>
          </w:p>
        </w:tc>
        <w:tc>
          <w:tcPr>
            <w:tcW w:w="1195" w:type="dxa"/>
            <w:tcBorders>
              <w:top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5E7294C7" w14:textId="77777777" w:rsidR="00231AE4" w:rsidRPr="00F6205B" w:rsidRDefault="00231AE4" w:rsidP="004F23CF">
            <w:pPr>
              <w:keepNext/>
              <w:keepLines/>
              <w:spacing w:after="0"/>
              <w:jc w:val="center"/>
              <w:rPr>
                <w:i/>
                <w:sz w:val="20"/>
                <w:szCs w:val="20"/>
              </w:rPr>
            </w:pPr>
            <w:r w:rsidRPr="00F6205B">
              <w:rPr>
                <w:i/>
                <w:sz w:val="20"/>
                <w:szCs w:val="20"/>
              </w:rPr>
              <w:t>1.4%</w:t>
            </w:r>
          </w:p>
        </w:tc>
      </w:tr>
      <w:tr w:rsidR="00231AE4" w:rsidRPr="00F6205B" w14:paraId="5DAA38BE" w14:textId="77777777" w:rsidTr="00431DEA">
        <w:trPr>
          <w:trHeight w:val="288"/>
          <w:jc w:val="center"/>
        </w:trPr>
        <w:tc>
          <w:tcPr>
            <w:tcW w:w="377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E59ABB9" w14:textId="77777777" w:rsidR="00231AE4" w:rsidRPr="00F6205B" w:rsidRDefault="00231AE4" w:rsidP="004F23CF">
            <w:pPr>
              <w:keepNext/>
              <w:keepLines/>
              <w:spacing w:after="0"/>
              <w:rPr>
                <w:sz w:val="20"/>
                <w:szCs w:val="20"/>
              </w:rPr>
            </w:pPr>
            <w:r w:rsidRPr="00F6205B">
              <w:rPr>
                <w:sz w:val="20"/>
                <w:szCs w:val="20"/>
              </w:rPr>
              <w:t>50% conversion rate (million MMBtu)</w:t>
            </w:r>
          </w:p>
        </w:tc>
        <w:tc>
          <w:tcPr>
            <w:tcW w:w="981" w:type="dxa"/>
            <w:tcBorders>
              <w:top w:val="single" w:sz="4" w:space="0" w:color="000000" w:themeColor="text1"/>
              <w:bottom w:val="single" w:sz="4" w:space="0" w:color="000000" w:themeColor="text1"/>
              <w:right w:val="single" w:sz="4" w:space="0" w:color="000000" w:themeColor="text1"/>
            </w:tcBorders>
            <w:vAlign w:val="center"/>
          </w:tcPr>
          <w:p w14:paraId="511DC66D" w14:textId="77777777" w:rsidR="00231AE4" w:rsidRPr="00F6205B" w:rsidRDefault="00231AE4" w:rsidP="004F23CF">
            <w:pPr>
              <w:keepNext/>
              <w:keepLines/>
              <w:spacing w:after="0"/>
              <w:jc w:val="center"/>
              <w:rPr>
                <w:sz w:val="20"/>
                <w:szCs w:val="20"/>
              </w:rPr>
            </w:pPr>
            <w:r w:rsidRPr="00F6205B">
              <w:rPr>
                <w:sz w:val="20"/>
                <w:szCs w:val="20"/>
              </w:rPr>
              <w:t>155.9</w:t>
            </w:r>
          </w:p>
        </w:tc>
        <w:tc>
          <w:tcPr>
            <w:tcW w:w="981" w:type="dxa"/>
            <w:tcBorders>
              <w:top w:val="single" w:sz="4" w:space="0" w:color="000000" w:themeColor="text1"/>
              <w:bottom w:val="single" w:sz="4" w:space="0" w:color="000000" w:themeColor="text1"/>
            </w:tcBorders>
            <w:vAlign w:val="center"/>
          </w:tcPr>
          <w:p w14:paraId="7E5224ED" w14:textId="77777777" w:rsidR="00231AE4" w:rsidRPr="00F6205B" w:rsidRDefault="00231AE4" w:rsidP="004F23CF">
            <w:pPr>
              <w:keepNext/>
              <w:keepLines/>
              <w:spacing w:after="0"/>
              <w:jc w:val="center"/>
              <w:rPr>
                <w:sz w:val="20"/>
                <w:szCs w:val="20"/>
              </w:rPr>
            </w:pPr>
            <w:r w:rsidRPr="00F6205B">
              <w:rPr>
                <w:sz w:val="20"/>
                <w:szCs w:val="20"/>
              </w:rPr>
              <w:t>151.2</w:t>
            </w:r>
          </w:p>
        </w:tc>
        <w:tc>
          <w:tcPr>
            <w:tcW w:w="981" w:type="dxa"/>
            <w:tcBorders>
              <w:top w:val="single" w:sz="4" w:space="0" w:color="000000" w:themeColor="text1"/>
              <w:bottom w:val="single" w:sz="4" w:space="0" w:color="000000" w:themeColor="text1"/>
            </w:tcBorders>
            <w:vAlign w:val="center"/>
          </w:tcPr>
          <w:p w14:paraId="305F966E" w14:textId="77777777" w:rsidR="00231AE4" w:rsidRPr="00F6205B" w:rsidRDefault="00231AE4" w:rsidP="004F23CF">
            <w:pPr>
              <w:keepNext/>
              <w:keepLines/>
              <w:spacing w:after="0"/>
              <w:jc w:val="center"/>
              <w:rPr>
                <w:sz w:val="20"/>
                <w:szCs w:val="20"/>
              </w:rPr>
            </w:pPr>
            <w:r w:rsidRPr="00F6205B">
              <w:rPr>
                <w:sz w:val="20"/>
                <w:szCs w:val="20"/>
              </w:rPr>
              <w:t>145.7</w:t>
            </w:r>
          </w:p>
        </w:tc>
        <w:tc>
          <w:tcPr>
            <w:tcW w:w="981" w:type="dxa"/>
            <w:tcBorders>
              <w:top w:val="single" w:sz="4" w:space="0" w:color="000000" w:themeColor="text1"/>
              <w:bottom w:val="single" w:sz="4" w:space="0" w:color="000000" w:themeColor="text1"/>
            </w:tcBorders>
            <w:vAlign w:val="center"/>
          </w:tcPr>
          <w:p w14:paraId="5E1AB707" w14:textId="77777777" w:rsidR="00231AE4" w:rsidRPr="00F6205B" w:rsidRDefault="00231AE4" w:rsidP="004F23CF">
            <w:pPr>
              <w:keepNext/>
              <w:keepLines/>
              <w:spacing w:after="0"/>
              <w:jc w:val="center"/>
              <w:rPr>
                <w:sz w:val="20"/>
                <w:szCs w:val="20"/>
              </w:rPr>
            </w:pPr>
            <w:r w:rsidRPr="00F6205B">
              <w:rPr>
                <w:sz w:val="20"/>
                <w:szCs w:val="20"/>
              </w:rPr>
              <w:t>140.3</w:t>
            </w:r>
          </w:p>
        </w:tc>
        <w:tc>
          <w:tcPr>
            <w:tcW w:w="981" w:type="dxa"/>
            <w:tcBorders>
              <w:top w:val="single" w:sz="4" w:space="0" w:color="000000" w:themeColor="text1"/>
              <w:bottom w:val="single" w:sz="4" w:space="0" w:color="000000" w:themeColor="text1"/>
            </w:tcBorders>
            <w:vAlign w:val="center"/>
          </w:tcPr>
          <w:p w14:paraId="41EC62CE" w14:textId="77777777" w:rsidR="00231AE4" w:rsidRPr="00F6205B" w:rsidRDefault="00231AE4" w:rsidP="004F23CF">
            <w:pPr>
              <w:keepNext/>
              <w:keepLines/>
              <w:spacing w:after="0"/>
              <w:jc w:val="center"/>
              <w:rPr>
                <w:sz w:val="20"/>
                <w:szCs w:val="20"/>
              </w:rPr>
            </w:pPr>
            <w:r w:rsidRPr="00F6205B">
              <w:rPr>
                <w:sz w:val="20"/>
                <w:szCs w:val="20"/>
              </w:rPr>
              <w:t>135.0</w:t>
            </w:r>
          </w:p>
        </w:tc>
        <w:tc>
          <w:tcPr>
            <w:tcW w:w="1195" w:type="dxa"/>
            <w:tcBorders>
              <w:top w:val="single" w:sz="4" w:space="0" w:color="000000" w:themeColor="text1"/>
              <w:bottom w:val="single" w:sz="4" w:space="0" w:color="000000" w:themeColor="text1"/>
              <w:right w:val="single" w:sz="4" w:space="0" w:color="auto"/>
            </w:tcBorders>
            <w:vAlign w:val="center"/>
          </w:tcPr>
          <w:p w14:paraId="24975BD1" w14:textId="77777777" w:rsidR="00231AE4" w:rsidRPr="00F6205B" w:rsidRDefault="00231AE4" w:rsidP="004F23CF">
            <w:pPr>
              <w:keepNext/>
              <w:keepLines/>
              <w:spacing w:after="0"/>
              <w:jc w:val="center"/>
              <w:rPr>
                <w:sz w:val="20"/>
                <w:szCs w:val="20"/>
              </w:rPr>
            </w:pPr>
            <w:r w:rsidRPr="00F6205B">
              <w:rPr>
                <w:sz w:val="20"/>
                <w:szCs w:val="20"/>
              </w:rPr>
              <w:t>1,435.1</w:t>
            </w:r>
          </w:p>
        </w:tc>
      </w:tr>
      <w:tr w:rsidR="00231AE4" w:rsidRPr="00F6205B" w14:paraId="7E4D4709" w14:textId="77777777" w:rsidTr="00431DEA">
        <w:trPr>
          <w:trHeight w:val="288"/>
          <w:jc w:val="center"/>
        </w:trPr>
        <w:tc>
          <w:tcPr>
            <w:tcW w:w="377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664FA65D" w14:textId="77777777" w:rsidR="00231AE4" w:rsidRPr="00F6205B" w:rsidRDefault="00231AE4" w:rsidP="004F23CF">
            <w:pPr>
              <w:keepNext/>
              <w:keepLines/>
              <w:spacing w:after="0"/>
              <w:rPr>
                <w:i/>
                <w:sz w:val="20"/>
                <w:szCs w:val="20"/>
              </w:rPr>
            </w:pPr>
            <w:r w:rsidRPr="00F6205B">
              <w:rPr>
                <w:i/>
                <w:sz w:val="20"/>
                <w:szCs w:val="20"/>
              </w:rPr>
              <w:t xml:space="preserve">  Percent change from existing</w:t>
            </w:r>
          </w:p>
        </w:tc>
        <w:tc>
          <w:tcPr>
            <w:tcW w:w="981" w:type="dxa"/>
            <w:tcBorders>
              <w:top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18AE39B8" w14:textId="5C3DE187" w:rsidR="00231AE4" w:rsidRPr="00F6205B" w:rsidRDefault="000B3EA9" w:rsidP="004F23CF">
            <w:pPr>
              <w:keepNext/>
              <w:keepLines/>
              <w:spacing w:after="0"/>
              <w:jc w:val="center"/>
              <w:rPr>
                <w:i/>
                <w:sz w:val="20"/>
                <w:szCs w:val="20"/>
              </w:rPr>
            </w:pPr>
            <w:r w:rsidRPr="00F6205B">
              <w:rPr>
                <w:i/>
                <w:sz w:val="20"/>
                <w:szCs w:val="20"/>
              </w:rPr>
              <w:t>--</w:t>
            </w:r>
          </w:p>
        </w:tc>
        <w:tc>
          <w:tcPr>
            <w:tcW w:w="981" w:type="dxa"/>
            <w:tcBorders>
              <w:top w:val="single" w:sz="4" w:space="0" w:color="000000" w:themeColor="text1"/>
              <w:left w:val="single" w:sz="4" w:space="0" w:color="000000" w:themeColor="text1"/>
              <w:bottom w:val="single" w:sz="4" w:space="0" w:color="000000" w:themeColor="text1"/>
            </w:tcBorders>
            <w:shd w:val="clear" w:color="auto" w:fill="BFBFBF" w:themeFill="background1" w:themeFillShade="BF"/>
            <w:vAlign w:val="center"/>
          </w:tcPr>
          <w:p w14:paraId="6EE90BF3" w14:textId="77777777" w:rsidR="00231AE4" w:rsidRPr="00F6205B" w:rsidRDefault="00231AE4" w:rsidP="004F23CF">
            <w:pPr>
              <w:keepNext/>
              <w:keepLines/>
              <w:spacing w:after="0"/>
              <w:jc w:val="center"/>
              <w:rPr>
                <w:i/>
                <w:sz w:val="20"/>
                <w:szCs w:val="20"/>
              </w:rPr>
            </w:pPr>
            <w:r w:rsidRPr="00F6205B">
              <w:rPr>
                <w:i/>
                <w:sz w:val="20"/>
                <w:szCs w:val="20"/>
              </w:rPr>
              <w:t>2.1%</w:t>
            </w:r>
          </w:p>
        </w:tc>
        <w:tc>
          <w:tcPr>
            <w:tcW w:w="981" w:type="dxa"/>
            <w:tcBorders>
              <w:top w:val="single" w:sz="4" w:space="0" w:color="000000" w:themeColor="text1"/>
              <w:bottom w:val="single" w:sz="4" w:space="0" w:color="000000" w:themeColor="text1"/>
            </w:tcBorders>
            <w:shd w:val="clear" w:color="auto" w:fill="BFBFBF" w:themeFill="background1" w:themeFillShade="BF"/>
            <w:vAlign w:val="center"/>
          </w:tcPr>
          <w:p w14:paraId="7D7C6DBF" w14:textId="77777777" w:rsidR="00231AE4" w:rsidRPr="00F6205B" w:rsidRDefault="00231AE4" w:rsidP="004F23CF">
            <w:pPr>
              <w:keepNext/>
              <w:keepLines/>
              <w:spacing w:after="0"/>
              <w:jc w:val="center"/>
              <w:rPr>
                <w:i/>
                <w:sz w:val="20"/>
                <w:szCs w:val="20"/>
              </w:rPr>
            </w:pPr>
            <w:r w:rsidRPr="00F6205B">
              <w:rPr>
                <w:i/>
                <w:sz w:val="20"/>
                <w:szCs w:val="20"/>
              </w:rPr>
              <w:t>4.3%</w:t>
            </w:r>
          </w:p>
        </w:tc>
        <w:tc>
          <w:tcPr>
            <w:tcW w:w="981" w:type="dxa"/>
            <w:tcBorders>
              <w:top w:val="single" w:sz="4" w:space="0" w:color="000000" w:themeColor="text1"/>
              <w:bottom w:val="single" w:sz="4" w:space="0" w:color="000000" w:themeColor="text1"/>
            </w:tcBorders>
            <w:shd w:val="clear" w:color="auto" w:fill="BFBFBF" w:themeFill="background1" w:themeFillShade="BF"/>
            <w:vAlign w:val="center"/>
          </w:tcPr>
          <w:p w14:paraId="298B3DFC" w14:textId="77777777" w:rsidR="00231AE4" w:rsidRPr="00F6205B" w:rsidRDefault="00231AE4" w:rsidP="004F23CF">
            <w:pPr>
              <w:keepNext/>
              <w:keepLines/>
              <w:spacing w:after="0"/>
              <w:jc w:val="center"/>
              <w:rPr>
                <w:i/>
                <w:sz w:val="20"/>
                <w:szCs w:val="20"/>
              </w:rPr>
            </w:pPr>
            <w:r w:rsidRPr="00F6205B">
              <w:rPr>
                <w:i/>
                <w:sz w:val="20"/>
                <w:szCs w:val="20"/>
              </w:rPr>
              <w:t>6.4%</w:t>
            </w:r>
          </w:p>
        </w:tc>
        <w:tc>
          <w:tcPr>
            <w:tcW w:w="981" w:type="dxa"/>
            <w:tcBorders>
              <w:top w:val="single" w:sz="4" w:space="0" w:color="000000" w:themeColor="text1"/>
              <w:bottom w:val="single" w:sz="4" w:space="0" w:color="000000" w:themeColor="text1"/>
            </w:tcBorders>
            <w:shd w:val="clear" w:color="auto" w:fill="BFBFBF" w:themeFill="background1" w:themeFillShade="BF"/>
            <w:vAlign w:val="center"/>
          </w:tcPr>
          <w:p w14:paraId="5DD5C14A" w14:textId="77777777" w:rsidR="00231AE4" w:rsidRPr="00F6205B" w:rsidRDefault="00231AE4" w:rsidP="004F23CF">
            <w:pPr>
              <w:keepNext/>
              <w:keepLines/>
              <w:spacing w:after="0"/>
              <w:jc w:val="center"/>
              <w:rPr>
                <w:i/>
                <w:sz w:val="20"/>
                <w:szCs w:val="20"/>
              </w:rPr>
            </w:pPr>
            <w:r w:rsidRPr="00F6205B">
              <w:rPr>
                <w:i/>
                <w:sz w:val="20"/>
                <w:szCs w:val="20"/>
              </w:rPr>
              <w:t>8.6%</w:t>
            </w:r>
          </w:p>
        </w:tc>
        <w:tc>
          <w:tcPr>
            <w:tcW w:w="1195" w:type="dxa"/>
            <w:tcBorders>
              <w:top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6C651E6E" w14:textId="77777777" w:rsidR="00231AE4" w:rsidRPr="00F6205B" w:rsidRDefault="00231AE4" w:rsidP="004F23CF">
            <w:pPr>
              <w:keepNext/>
              <w:keepLines/>
              <w:spacing w:after="0"/>
              <w:jc w:val="center"/>
              <w:rPr>
                <w:i/>
                <w:sz w:val="20"/>
                <w:szCs w:val="20"/>
              </w:rPr>
            </w:pPr>
            <w:r w:rsidRPr="00F6205B">
              <w:rPr>
                <w:i/>
                <w:sz w:val="20"/>
                <w:szCs w:val="20"/>
              </w:rPr>
              <w:t>2.7%</w:t>
            </w:r>
          </w:p>
        </w:tc>
      </w:tr>
      <w:tr w:rsidR="00231AE4" w:rsidRPr="00F6205B" w14:paraId="7950AE01" w14:textId="77777777" w:rsidTr="00431DEA">
        <w:trPr>
          <w:trHeight w:val="288"/>
          <w:jc w:val="center"/>
        </w:trPr>
        <w:tc>
          <w:tcPr>
            <w:tcW w:w="377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5AB25D1" w14:textId="77777777" w:rsidR="00231AE4" w:rsidRPr="00F6205B" w:rsidRDefault="00231AE4" w:rsidP="004F23CF">
            <w:pPr>
              <w:keepNext/>
              <w:keepLines/>
              <w:spacing w:after="0"/>
              <w:rPr>
                <w:sz w:val="20"/>
                <w:szCs w:val="20"/>
              </w:rPr>
            </w:pPr>
            <w:r w:rsidRPr="00F6205B">
              <w:rPr>
                <w:sz w:val="20"/>
                <w:szCs w:val="20"/>
              </w:rPr>
              <w:t>75% conversion rate (million MMBtu)</w:t>
            </w:r>
          </w:p>
        </w:tc>
        <w:tc>
          <w:tcPr>
            <w:tcW w:w="981" w:type="dxa"/>
            <w:tcBorders>
              <w:top w:val="single" w:sz="4" w:space="0" w:color="000000" w:themeColor="text1"/>
              <w:bottom w:val="single" w:sz="4" w:space="0" w:color="000000" w:themeColor="text1"/>
              <w:right w:val="single" w:sz="4" w:space="0" w:color="000000" w:themeColor="text1"/>
            </w:tcBorders>
            <w:vAlign w:val="center"/>
          </w:tcPr>
          <w:p w14:paraId="41D6C560" w14:textId="77777777" w:rsidR="00231AE4" w:rsidRPr="00F6205B" w:rsidRDefault="00231AE4" w:rsidP="004F23CF">
            <w:pPr>
              <w:keepNext/>
              <w:keepLines/>
              <w:spacing w:after="0"/>
              <w:jc w:val="center"/>
              <w:rPr>
                <w:sz w:val="20"/>
                <w:szCs w:val="20"/>
              </w:rPr>
            </w:pPr>
            <w:r w:rsidRPr="00F6205B">
              <w:rPr>
                <w:sz w:val="20"/>
                <w:szCs w:val="20"/>
              </w:rPr>
              <w:t>155.9</w:t>
            </w:r>
          </w:p>
        </w:tc>
        <w:tc>
          <w:tcPr>
            <w:tcW w:w="981" w:type="dxa"/>
            <w:tcBorders>
              <w:top w:val="single" w:sz="4" w:space="0" w:color="000000" w:themeColor="text1"/>
              <w:bottom w:val="single" w:sz="4" w:space="0" w:color="000000" w:themeColor="text1"/>
            </w:tcBorders>
            <w:vAlign w:val="center"/>
          </w:tcPr>
          <w:p w14:paraId="675ED6DA" w14:textId="77777777" w:rsidR="00231AE4" w:rsidRPr="00F6205B" w:rsidRDefault="00231AE4" w:rsidP="004F23CF">
            <w:pPr>
              <w:keepNext/>
              <w:keepLines/>
              <w:spacing w:after="0"/>
              <w:jc w:val="center"/>
              <w:rPr>
                <w:sz w:val="20"/>
                <w:szCs w:val="20"/>
              </w:rPr>
            </w:pPr>
            <w:r w:rsidRPr="00F6205B">
              <w:rPr>
                <w:sz w:val="20"/>
                <w:szCs w:val="20"/>
              </w:rPr>
              <w:t>149.5</w:t>
            </w:r>
          </w:p>
        </w:tc>
        <w:tc>
          <w:tcPr>
            <w:tcW w:w="981" w:type="dxa"/>
            <w:tcBorders>
              <w:top w:val="single" w:sz="4" w:space="0" w:color="000000" w:themeColor="text1"/>
              <w:bottom w:val="single" w:sz="4" w:space="0" w:color="000000" w:themeColor="text1"/>
            </w:tcBorders>
            <w:vAlign w:val="center"/>
          </w:tcPr>
          <w:p w14:paraId="3C656760" w14:textId="77777777" w:rsidR="00231AE4" w:rsidRPr="00F6205B" w:rsidRDefault="00231AE4" w:rsidP="004F23CF">
            <w:pPr>
              <w:keepNext/>
              <w:keepLines/>
              <w:spacing w:after="0"/>
              <w:jc w:val="center"/>
              <w:rPr>
                <w:sz w:val="20"/>
                <w:szCs w:val="20"/>
              </w:rPr>
            </w:pPr>
            <w:r w:rsidRPr="00F6205B">
              <w:rPr>
                <w:sz w:val="20"/>
                <w:szCs w:val="20"/>
              </w:rPr>
              <w:t>142.4</w:t>
            </w:r>
          </w:p>
        </w:tc>
        <w:tc>
          <w:tcPr>
            <w:tcW w:w="981" w:type="dxa"/>
            <w:tcBorders>
              <w:top w:val="single" w:sz="4" w:space="0" w:color="000000" w:themeColor="text1"/>
              <w:bottom w:val="single" w:sz="4" w:space="0" w:color="000000" w:themeColor="text1"/>
            </w:tcBorders>
            <w:vAlign w:val="center"/>
          </w:tcPr>
          <w:p w14:paraId="193BA339" w14:textId="77777777" w:rsidR="00231AE4" w:rsidRPr="00F6205B" w:rsidRDefault="00231AE4" w:rsidP="004F23CF">
            <w:pPr>
              <w:keepNext/>
              <w:keepLines/>
              <w:spacing w:after="0"/>
              <w:jc w:val="center"/>
              <w:rPr>
                <w:sz w:val="20"/>
                <w:szCs w:val="20"/>
              </w:rPr>
            </w:pPr>
            <w:r w:rsidRPr="00F6205B">
              <w:rPr>
                <w:sz w:val="20"/>
                <w:szCs w:val="20"/>
              </w:rPr>
              <w:t>135.4</w:t>
            </w:r>
          </w:p>
        </w:tc>
        <w:tc>
          <w:tcPr>
            <w:tcW w:w="981" w:type="dxa"/>
            <w:tcBorders>
              <w:top w:val="single" w:sz="4" w:space="0" w:color="000000" w:themeColor="text1"/>
              <w:bottom w:val="single" w:sz="4" w:space="0" w:color="000000" w:themeColor="text1"/>
            </w:tcBorders>
            <w:vAlign w:val="center"/>
          </w:tcPr>
          <w:p w14:paraId="1FF170EA" w14:textId="77777777" w:rsidR="00231AE4" w:rsidRPr="00F6205B" w:rsidRDefault="00231AE4" w:rsidP="004F23CF">
            <w:pPr>
              <w:keepNext/>
              <w:keepLines/>
              <w:spacing w:after="0"/>
              <w:jc w:val="center"/>
              <w:rPr>
                <w:sz w:val="20"/>
                <w:szCs w:val="20"/>
              </w:rPr>
            </w:pPr>
            <w:r w:rsidRPr="00F6205B">
              <w:rPr>
                <w:sz w:val="20"/>
                <w:szCs w:val="20"/>
              </w:rPr>
              <w:t>128.7</w:t>
            </w:r>
          </w:p>
        </w:tc>
        <w:tc>
          <w:tcPr>
            <w:tcW w:w="1195" w:type="dxa"/>
            <w:tcBorders>
              <w:top w:val="single" w:sz="4" w:space="0" w:color="000000" w:themeColor="text1"/>
              <w:bottom w:val="single" w:sz="4" w:space="0" w:color="000000" w:themeColor="text1"/>
              <w:right w:val="single" w:sz="4" w:space="0" w:color="auto"/>
            </w:tcBorders>
            <w:vAlign w:val="center"/>
          </w:tcPr>
          <w:p w14:paraId="0C85851F" w14:textId="77777777" w:rsidR="00231AE4" w:rsidRPr="00F6205B" w:rsidRDefault="00231AE4" w:rsidP="004F23CF">
            <w:pPr>
              <w:keepNext/>
              <w:keepLines/>
              <w:spacing w:after="0"/>
              <w:jc w:val="center"/>
              <w:rPr>
                <w:sz w:val="20"/>
                <w:szCs w:val="20"/>
              </w:rPr>
            </w:pPr>
            <w:r w:rsidRPr="00F6205B">
              <w:rPr>
                <w:sz w:val="20"/>
                <w:szCs w:val="20"/>
              </w:rPr>
              <w:t>1,414.9</w:t>
            </w:r>
          </w:p>
        </w:tc>
      </w:tr>
      <w:tr w:rsidR="00231AE4" w:rsidRPr="00F6205B" w14:paraId="1675E6EC" w14:textId="77777777" w:rsidTr="00431DEA">
        <w:trPr>
          <w:trHeight w:val="288"/>
          <w:jc w:val="center"/>
        </w:trPr>
        <w:tc>
          <w:tcPr>
            <w:tcW w:w="377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273061F6" w14:textId="77777777" w:rsidR="00231AE4" w:rsidRPr="00F6205B" w:rsidRDefault="00231AE4" w:rsidP="004F23CF">
            <w:pPr>
              <w:keepNext/>
              <w:keepLines/>
              <w:spacing w:after="0"/>
              <w:rPr>
                <w:i/>
                <w:sz w:val="20"/>
                <w:szCs w:val="20"/>
              </w:rPr>
            </w:pPr>
            <w:r w:rsidRPr="00F6205B">
              <w:rPr>
                <w:i/>
                <w:sz w:val="20"/>
                <w:szCs w:val="20"/>
              </w:rPr>
              <w:t xml:space="preserve">  Percent change from existing</w:t>
            </w:r>
          </w:p>
        </w:tc>
        <w:tc>
          <w:tcPr>
            <w:tcW w:w="981" w:type="dxa"/>
            <w:tcBorders>
              <w:top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062AEF1D" w14:textId="5F7FE1F7" w:rsidR="00231AE4" w:rsidRPr="00F6205B" w:rsidRDefault="000B3EA9" w:rsidP="004F23CF">
            <w:pPr>
              <w:keepNext/>
              <w:keepLines/>
              <w:spacing w:after="0"/>
              <w:jc w:val="center"/>
              <w:rPr>
                <w:i/>
                <w:sz w:val="20"/>
                <w:szCs w:val="20"/>
              </w:rPr>
            </w:pPr>
            <w:r w:rsidRPr="00F6205B">
              <w:rPr>
                <w:i/>
                <w:sz w:val="20"/>
                <w:szCs w:val="20"/>
              </w:rPr>
              <w:t>--</w:t>
            </w:r>
          </w:p>
        </w:tc>
        <w:tc>
          <w:tcPr>
            <w:tcW w:w="981" w:type="dxa"/>
            <w:tcBorders>
              <w:top w:val="single" w:sz="4" w:space="0" w:color="000000" w:themeColor="text1"/>
              <w:left w:val="single" w:sz="4" w:space="0" w:color="000000" w:themeColor="text1"/>
              <w:bottom w:val="single" w:sz="4" w:space="0" w:color="000000" w:themeColor="text1"/>
            </w:tcBorders>
            <w:shd w:val="clear" w:color="auto" w:fill="BFBFBF" w:themeFill="background1" w:themeFillShade="BF"/>
            <w:vAlign w:val="center"/>
          </w:tcPr>
          <w:p w14:paraId="3823EFB9" w14:textId="77777777" w:rsidR="00231AE4" w:rsidRPr="00F6205B" w:rsidRDefault="00231AE4" w:rsidP="004F23CF">
            <w:pPr>
              <w:keepNext/>
              <w:keepLines/>
              <w:spacing w:after="0"/>
              <w:jc w:val="center"/>
              <w:rPr>
                <w:i/>
                <w:sz w:val="20"/>
                <w:szCs w:val="20"/>
              </w:rPr>
            </w:pPr>
            <w:r w:rsidRPr="00F6205B">
              <w:rPr>
                <w:i/>
                <w:sz w:val="20"/>
                <w:szCs w:val="20"/>
              </w:rPr>
              <w:t>3.2%</w:t>
            </w:r>
          </w:p>
        </w:tc>
        <w:tc>
          <w:tcPr>
            <w:tcW w:w="981" w:type="dxa"/>
            <w:tcBorders>
              <w:top w:val="single" w:sz="4" w:space="0" w:color="000000" w:themeColor="text1"/>
              <w:bottom w:val="single" w:sz="4" w:space="0" w:color="000000" w:themeColor="text1"/>
            </w:tcBorders>
            <w:shd w:val="clear" w:color="auto" w:fill="BFBFBF" w:themeFill="background1" w:themeFillShade="BF"/>
            <w:vAlign w:val="center"/>
          </w:tcPr>
          <w:p w14:paraId="55B04AEC" w14:textId="77777777" w:rsidR="00231AE4" w:rsidRPr="00F6205B" w:rsidRDefault="00231AE4" w:rsidP="004F23CF">
            <w:pPr>
              <w:keepNext/>
              <w:keepLines/>
              <w:spacing w:after="0"/>
              <w:jc w:val="center"/>
              <w:rPr>
                <w:i/>
                <w:sz w:val="20"/>
                <w:szCs w:val="20"/>
              </w:rPr>
            </w:pPr>
            <w:r w:rsidRPr="00F6205B">
              <w:rPr>
                <w:i/>
                <w:sz w:val="20"/>
                <w:szCs w:val="20"/>
              </w:rPr>
              <w:t>6.4%</w:t>
            </w:r>
          </w:p>
        </w:tc>
        <w:tc>
          <w:tcPr>
            <w:tcW w:w="981" w:type="dxa"/>
            <w:tcBorders>
              <w:top w:val="single" w:sz="4" w:space="0" w:color="000000" w:themeColor="text1"/>
              <w:bottom w:val="single" w:sz="4" w:space="0" w:color="000000" w:themeColor="text1"/>
            </w:tcBorders>
            <w:shd w:val="clear" w:color="auto" w:fill="BFBFBF" w:themeFill="background1" w:themeFillShade="BF"/>
            <w:vAlign w:val="center"/>
          </w:tcPr>
          <w:p w14:paraId="67371AD8" w14:textId="77777777" w:rsidR="00231AE4" w:rsidRPr="00F6205B" w:rsidRDefault="00231AE4" w:rsidP="004F23CF">
            <w:pPr>
              <w:keepNext/>
              <w:keepLines/>
              <w:spacing w:after="0"/>
              <w:jc w:val="center"/>
              <w:rPr>
                <w:i/>
                <w:sz w:val="20"/>
                <w:szCs w:val="20"/>
              </w:rPr>
            </w:pPr>
            <w:r w:rsidRPr="00F6205B">
              <w:rPr>
                <w:i/>
                <w:sz w:val="20"/>
                <w:szCs w:val="20"/>
              </w:rPr>
              <w:t>9.7%</w:t>
            </w:r>
          </w:p>
        </w:tc>
        <w:tc>
          <w:tcPr>
            <w:tcW w:w="981" w:type="dxa"/>
            <w:tcBorders>
              <w:top w:val="single" w:sz="4" w:space="0" w:color="000000" w:themeColor="text1"/>
              <w:bottom w:val="single" w:sz="4" w:space="0" w:color="000000" w:themeColor="text1"/>
            </w:tcBorders>
            <w:shd w:val="clear" w:color="auto" w:fill="BFBFBF" w:themeFill="background1" w:themeFillShade="BF"/>
            <w:vAlign w:val="center"/>
          </w:tcPr>
          <w:p w14:paraId="480DCBE0" w14:textId="77777777" w:rsidR="00231AE4" w:rsidRPr="00F6205B" w:rsidRDefault="00231AE4" w:rsidP="004F23CF">
            <w:pPr>
              <w:keepNext/>
              <w:keepLines/>
              <w:spacing w:after="0"/>
              <w:jc w:val="center"/>
              <w:rPr>
                <w:i/>
                <w:sz w:val="20"/>
                <w:szCs w:val="20"/>
              </w:rPr>
            </w:pPr>
            <w:r w:rsidRPr="00F6205B">
              <w:rPr>
                <w:i/>
                <w:sz w:val="20"/>
                <w:szCs w:val="20"/>
              </w:rPr>
              <w:t>12.9%</w:t>
            </w:r>
          </w:p>
        </w:tc>
        <w:tc>
          <w:tcPr>
            <w:tcW w:w="1195" w:type="dxa"/>
            <w:tcBorders>
              <w:top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5453306F" w14:textId="77777777" w:rsidR="00231AE4" w:rsidRPr="00F6205B" w:rsidRDefault="00231AE4" w:rsidP="004F23CF">
            <w:pPr>
              <w:keepNext/>
              <w:keepLines/>
              <w:spacing w:after="0"/>
              <w:jc w:val="center"/>
              <w:rPr>
                <w:i/>
                <w:sz w:val="20"/>
                <w:szCs w:val="20"/>
              </w:rPr>
            </w:pPr>
            <w:r w:rsidRPr="00F6205B">
              <w:rPr>
                <w:i/>
                <w:sz w:val="20"/>
                <w:szCs w:val="20"/>
              </w:rPr>
              <w:t>4.1%</w:t>
            </w:r>
          </w:p>
        </w:tc>
      </w:tr>
      <w:tr w:rsidR="00231AE4" w:rsidRPr="00F6205B" w14:paraId="14AAE4FE" w14:textId="77777777" w:rsidTr="00431DEA">
        <w:trPr>
          <w:trHeight w:val="288"/>
          <w:jc w:val="center"/>
        </w:trPr>
        <w:tc>
          <w:tcPr>
            <w:tcW w:w="3777" w:type="dxa"/>
            <w:tcBorders>
              <w:top w:val="single" w:sz="4" w:space="0" w:color="000000" w:themeColor="text1"/>
              <w:left w:val="single" w:sz="4" w:space="0" w:color="auto"/>
              <w:bottom w:val="single" w:sz="4" w:space="0" w:color="000000" w:themeColor="text1"/>
            </w:tcBorders>
            <w:vAlign w:val="center"/>
          </w:tcPr>
          <w:p w14:paraId="4428A1FC" w14:textId="77777777" w:rsidR="00231AE4" w:rsidRPr="00F6205B" w:rsidRDefault="00231AE4" w:rsidP="004F23CF">
            <w:pPr>
              <w:keepNext/>
              <w:keepLines/>
              <w:spacing w:after="0"/>
              <w:rPr>
                <w:sz w:val="20"/>
                <w:szCs w:val="20"/>
              </w:rPr>
            </w:pPr>
            <w:r w:rsidRPr="00F6205B">
              <w:rPr>
                <w:sz w:val="20"/>
                <w:szCs w:val="20"/>
              </w:rPr>
              <w:t>100% conversion rate (million MMBtu)</w:t>
            </w:r>
          </w:p>
        </w:tc>
        <w:tc>
          <w:tcPr>
            <w:tcW w:w="981" w:type="dxa"/>
            <w:tcBorders>
              <w:top w:val="single" w:sz="4" w:space="0" w:color="000000" w:themeColor="text1"/>
              <w:bottom w:val="single" w:sz="4" w:space="0" w:color="000000" w:themeColor="text1"/>
            </w:tcBorders>
            <w:vAlign w:val="center"/>
          </w:tcPr>
          <w:p w14:paraId="65DB0781" w14:textId="77777777" w:rsidR="00231AE4" w:rsidRPr="00F6205B" w:rsidRDefault="00231AE4" w:rsidP="004F23CF">
            <w:pPr>
              <w:keepNext/>
              <w:keepLines/>
              <w:spacing w:after="0"/>
              <w:jc w:val="center"/>
              <w:rPr>
                <w:sz w:val="20"/>
                <w:szCs w:val="20"/>
              </w:rPr>
            </w:pPr>
            <w:r w:rsidRPr="00F6205B">
              <w:rPr>
                <w:sz w:val="20"/>
                <w:szCs w:val="20"/>
              </w:rPr>
              <w:t>155.9</w:t>
            </w:r>
          </w:p>
        </w:tc>
        <w:tc>
          <w:tcPr>
            <w:tcW w:w="981" w:type="dxa"/>
            <w:tcBorders>
              <w:top w:val="single" w:sz="4" w:space="0" w:color="000000" w:themeColor="text1"/>
              <w:bottom w:val="single" w:sz="4" w:space="0" w:color="000000" w:themeColor="text1"/>
            </w:tcBorders>
            <w:vAlign w:val="center"/>
          </w:tcPr>
          <w:p w14:paraId="1EBBBA3B" w14:textId="77777777" w:rsidR="00231AE4" w:rsidRPr="00F6205B" w:rsidRDefault="00231AE4" w:rsidP="004F23CF">
            <w:pPr>
              <w:keepNext/>
              <w:keepLines/>
              <w:spacing w:after="0"/>
              <w:jc w:val="center"/>
              <w:rPr>
                <w:sz w:val="20"/>
                <w:szCs w:val="20"/>
              </w:rPr>
            </w:pPr>
            <w:r w:rsidRPr="00F6205B">
              <w:rPr>
                <w:sz w:val="20"/>
                <w:szCs w:val="20"/>
              </w:rPr>
              <w:t>147.9</w:t>
            </w:r>
          </w:p>
        </w:tc>
        <w:tc>
          <w:tcPr>
            <w:tcW w:w="981" w:type="dxa"/>
            <w:tcBorders>
              <w:top w:val="single" w:sz="4" w:space="0" w:color="000000" w:themeColor="text1"/>
              <w:bottom w:val="single" w:sz="4" w:space="0" w:color="000000" w:themeColor="text1"/>
            </w:tcBorders>
            <w:vAlign w:val="center"/>
          </w:tcPr>
          <w:p w14:paraId="22E41F29" w14:textId="77777777" w:rsidR="00231AE4" w:rsidRPr="00F6205B" w:rsidRDefault="00231AE4" w:rsidP="004F23CF">
            <w:pPr>
              <w:keepNext/>
              <w:keepLines/>
              <w:spacing w:after="0"/>
              <w:jc w:val="center"/>
              <w:rPr>
                <w:sz w:val="20"/>
                <w:szCs w:val="20"/>
              </w:rPr>
            </w:pPr>
            <w:r w:rsidRPr="00F6205B">
              <w:rPr>
                <w:sz w:val="20"/>
                <w:szCs w:val="20"/>
              </w:rPr>
              <w:t>139.1</w:t>
            </w:r>
          </w:p>
        </w:tc>
        <w:tc>
          <w:tcPr>
            <w:tcW w:w="981" w:type="dxa"/>
            <w:tcBorders>
              <w:top w:val="single" w:sz="4" w:space="0" w:color="000000" w:themeColor="text1"/>
              <w:bottom w:val="single" w:sz="4" w:space="0" w:color="000000" w:themeColor="text1"/>
            </w:tcBorders>
            <w:vAlign w:val="center"/>
          </w:tcPr>
          <w:p w14:paraId="248C2470" w14:textId="77777777" w:rsidR="00231AE4" w:rsidRPr="00F6205B" w:rsidRDefault="00231AE4" w:rsidP="004F23CF">
            <w:pPr>
              <w:keepNext/>
              <w:keepLines/>
              <w:spacing w:after="0"/>
              <w:jc w:val="center"/>
              <w:rPr>
                <w:sz w:val="20"/>
                <w:szCs w:val="20"/>
              </w:rPr>
            </w:pPr>
            <w:r w:rsidRPr="00F6205B">
              <w:rPr>
                <w:sz w:val="20"/>
                <w:szCs w:val="20"/>
              </w:rPr>
              <w:t>130.6</w:t>
            </w:r>
          </w:p>
        </w:tc>
        <w:tc>
          <w:tcPr>
            <w:tcW w:w="981" w:type="dxa"/>
            <w:tcBorders>
              <w:top w:val="single" w:sz="4" w:space="0" w:color="000000" w:themeColor="text1"/>
              <w:bottom w:val="single" w:sz="4" w:space="0" w:color="000000" w:themeColor="text1"/>
            </w:tcBorders>
            <w:vAlign w:val="center"/>
          </w:tcPr>
          <w:p w14:paraId="2F5EAD89" w14:textId="77777777" w:rsidR="00231AE4" w:rsidRPr="00F6205B" w:rsidRDefault="00231AE4" w:rsidP="004F23CF">
            <w:pPr>
              <w:keepNext/>
              <w:keepLines/>
              <w:spacing w:after="0"/>
              <w:jc w:val="center"/>
              <w:rPr>
                <w:sz w:val="20"/>
                <w:szCs w:val="20"/>
              </w:rPr>
            </w:pPr>
            <w:r w:rsidRPr="00F6205B">
              <w:rPr>
                <w:sz w:val="20"/>
                <w:szCs w:val="20"/>
              </w:rPr>
              <w:t>122.3</w:t>
            </w:r>
          </w:p>
        </w:tc>
        <w:tc>
          <w:tcPr>
            <w:tcW w:w="1195" w:type="dxa"/>
            <w:tcBorders>
              <w:top w:val="single" w:sz="4" w:space="0" w:color="000000" w:themeColor="text1"/>
              <w:bottom w:val="single" w:sz="4" w:space="0" w:color="000000" w:themeColor="text1"/>
              <w:right w:val="single" w:sz="4" w:space="0" w:color="auto"/>
            </w:tcBorders>
            <w:vAlign w:val="center"/>
          </w:tcPr>
          <w:p w14:paraId="5E343A3B" w14:textId="77777777" w:rsidR="00231AE4" w:rsidRPr="00F6205B" w:rsidRDefault="00231AE4" w:rsidP="004F23CF">
            <w:pPr>
              <w:keepNext/>
              <w:keepLines/>
              <w:spacing w:after="0"/>
              <w:jc w:val="center"/>
              <w:rPr>
                <w:sz w:val="20"/>
                <w:szCs w:val="20"/>
              </w:rPr>
            </w:pPr>
            <w:r w:rsidRPr="00F6205B">
              <w:rPr>
                <w:sz w:val="20"/>
                <w:szCs w:val="20"/>
              </w:rPr>
              <w:t>1,394.7</w:t>
            </w:r>
          </w:p>
        </w:tc>
      </w:tr>
      <w:tr w:rsidR="00231AE4" w:rsidRPr="00F6205B" w14:paraId="69814144" w14:textId="77777777" w:rsidTr="00431DEA">
        <w:trPr>
          <w:trHeight w:val="288"/>
          <w:jc w:val="center"/>
        </w:trPr>
        <w:tc>
          <w:tcPr>
            <w:tcW w:w="377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7B1FABE7" w14:textId="77777777" w:rsidR="00231AE4" w:rsidRPr="00F6205B" w:rsidRDefault="00231AE4" w:rsidP="004F23CF">
            <w:pPr>
              <w:keepNext/>
              <w:keepLines/>
              <w:spacing w:after="0"/>
              <w:rPr>
                <w:i/>
                <w:sz w:val="20"/>
                <w:szCs w:val="20"/>
              </w:rPr>
            </w:pPr>
            <w:r w:rsidRPr="00F6205B">
              <w:rPr>
                <w:i/>
                <w:sz w:val="20"/>
                <w:szCs w:val="20"/>
              </w:rPr>
              <w:t xml:space="preserve">  Percent change from existing</w:t>
            </w:r>
          </w:p>
        </w:tc>
        <w:tc>
          <w:tcPr>
            <w:tcW w:w="981" w:type="dxa"/>
            <w:tcBorders>
              <w:top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0912AFA3" w14:textId="437B4DFE" w:rsidR="00231AE4" w:rsidRPr="00F6205B" w:rsidRDefault="000B3EA9" w:rsidP="004F23CF">
            <w:pPr>
              <w:keepNext/>
              <w:keepLines/>
              <w:spacing w:after="0"/>
              <w:jc w:val="center"/>
              <w:rPr>
                <w:i/>
                <w:sz w:val="20"/>
                <w:szCs w:val="20"/>
              </w:rPr>
            </w:pPr>
            <w:r w:rsidRPr="00F6205B">
              <w:rPr>
                <w:i/>
                <w:sz w:val="20"/>
                <w:szCs w:val="20"/>
              </w:rPr>
              <w:t>--</w:t>
            </w:r>
          </w:p>
        </w:tc>
        <w:tc>
          <w:tcPr>
            <w:tcW w:w="981" w:type="dxa"/>
            <w:tcBorders>
              <w:top w:val="single" w:sz="4" w:space="0" w:color="000000" w:themeColor="text1"/>
              <w:left w:val="single" w:sz="4" w:space="0" w:color="000000" w:themeColor="text1"/>
              <w:bottom w:val="single" w:sz="4" w:space="0" w:color="000000" w:themeColor="text1"/>
            </w:tcBorders>
            <w:shd w:val="clear" w:color="auto" w:fill="BFBFBF" w:themeFill="background1" w:themeFillShade="BF"/>
            <w:vAlign w:val="center"/>
          </w:tcPr>
          <w:p w14:paraId="2CE8B74A" w14:textId="77777777" w:rsidR="00231AE4" w:rsidRPr="00F6205B" w:rsidRDefault="00231AE4" w:rsidP="004F23CF">
            <w:pPr>
              <w:keepNext/>
              <w:keepLines/>
              <w:spacing w:after="0"/>
              <w:jc w:val="center"/>
              <w:rPr>
                <w:i/>
                <w:sz w:val="20"/>
                <w:szCs w:val="20"/>
              </w:rPr>
            </w:pPr>
            <w:r w:rsidRPr="00F6205B">
              <w:rPr>
                <w:i/>
                <w:sz w:val="20"/>
                <w:szCs w:val="20"/>
              </w:rPr>
              <w:t>4.3%</w:t>
            </w:r>
          </w:p>
        </w:tc>
        <w:tc>
          <w:tcPr>
            <w:tcW w:w="981" w:type="dxa"/>
            <w:tcBorders>
              <w:top w:val="single" w:sz="4" w:space="0" w:color="000000" w:themeColor="text1"/>
              <w:bottom w:val="single" w:sz="4" w:space="0" w:color="000000" w:themeColor="text1"/>
            </w:tcBorders>
            <w:shd w:val="clear" w:color="auto" w:fill="BFBFBF" w:themeFill="background1" w:themeFillShade="BF"/>
            <w:vAlign w:val="center"/>
          </w:tcPr>
          <w:p w14:paraId="76CC58C3" w14:textId="77777777" w:rsidR="00231AE4" w:rsidRPr="00F6205B" w:rsidRDefault="00231AE4" w:rsidP="004F23CF">
            <w:pPr>
              <w:keepNext/>
              <w:keepLines/>
              <w:spacing w:after="0"/>
              <w:jc w:val="center"/>
              <w:rPr>
                <w:i/>
                <w:sz w:val="20"/>
                <w:szCs w:val="20"/>
              </w:rPr>
            </w:pPr>
            <w:r w:rsidRPr="00F6205B">
              <w:rPr>
                <w:i/>
                <w:sz w:val="20"/>
                <w:szCs w:val="20"/>
              </w:rPr>
              <w:t>8.6%</w:t>
            </w:r>
          </w:p>
        </w:tc>
        <w:tc>
          <w:tcPr>
            <w:tcW w:w="981" w:type="dxa"/>
            <w:tcBorders>
              <w:top w:val="single" w:sz="4" w:space="0" w:color="000000" w:themeColor="text1"/>
              <w:bottom w:val="single" w:sz="4" w:space="0" w:color="000000" w:themeColor="text1"/>
            </w:tcBorders>
            <w:shd w:val="clear" w:color="auto" w:fill="BFBFBF" w:themeFill="background1" w:themeFillShade="BF"/>
            <w:vAlign w:val="center"/>
          </w:tcPr>
          <w:p w14:paraId="18762A9A" w14:textId="77777777" w:rsidR="00231AE4" w:rsidRPr="00F6205B" w:rsidRDefault="00231AE4" w:rsidP="004F23CF">
            <w:pPr>
              <w:keepNext/>
              <w:keepLines/>
              <w:spacing w:after="0"/>
              <w:jc w:val="center"/>
              <w:rPr>
                <w:i/>
                <w:sz w:val="20"/>
                <w:szCs w:val="20"/>
              </w:rPr>
            </w:pPr>
            <w:r w:rsidRPr="00F6205B">
              <w:rPr>
                <w:i/>
                <w:sz w:val="20"/>
                <w:szCs w:val="20"/>
              </w:rPr>
              <w:t>12.9%</w:t>
            </w:r>
          </w:p>
        </w:tc>
        <w:tc>
          <w:tcPr>
            <w:tcW w:w="981" w:type="dxa"/>
            <w:tcBorders>
              <w:top w:val="single" w:sz="4" w:space="0" w:color="000000" w:themeColor="text1"/>
              <w:bottom w:val="single" w:sz="4" w:space="0" w:color="000000" w:themeColor="text1"/>
            </w:tcBorders>
            <w:shd w:val="clear" w:color="auto" w:fill="BFBFBF" w:themeFill="background1" w:themeFillShade="BF"/>
            <w:vAlign w:val="center"/>
          </w:tcPr>
          <w:p w14:paraId="084D0FDE" w14:textId="77777777" w:rsidR="00231AE4" w:rsidRPr="00F6205B" w:rsidRDefault="00231AE4" w:rsidP="004F23CF">
            <w:pPr>
              <w:keepNext/>
              <w:keepLines/>
              <w:spacing w:after="0"/>
              <w:jc w:val="center"/>
              <w:rPr>
                <w:i/>
                <w:sz w:val="20"/>
                <w:szCs w:val="20"/>
              </w:rPr>
            </w:pPr>
            <w:r w:rsidRPr="00F6205B">
              <w:rPr>
                <w:i/>
                <w:sz w:val="20"/>
                <w:szCs w:val="20"/>
              </w:rPr>
              <w:t>17.2%</w:t>
            </w:r>
          </w:p>
        </w:tc>
        <w:tc>
          <w:tcPr>
            <w:tcW w:w="1195" w:type="dxa"/>
            <w:tcBorders>
              <w:top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0F667ACA" w14:textId="77777777" w:rsidR="00231AE4" w:rsidRPr="00F6205B" w:rsidRDefault="00231AE4" w:rsidP="004F23CF">
            <w:pPr>
              <w:keepNext/>
              <w:keepLines/>
              <w:spacing w:after="0"/>
              <w:jc w:val="center"/>
              <w:rPr>
                <w:i/>
                <w:sz w:val="20"/>
                <w:szCs w:val="20"/>
              </w:rPr>
            </w:pPr>
            <w:r w:rsidRPr="00F6205B">
              <w:rPr>
                <w:i/>
                <w:sz w:val="20"/>
                <w:szCs w:val="20"/>
              </w:rPr>
              <w:t>5.5%</w:t>
            </w:r>
          </w:p>
        </w:tc>
      </w:tr>
      <w:tr w:rsidR="00431DEA" w:rsidRPr="00F6205B" w14:paraId="238BCD9B" w14:textId="77777777" w:rsidTr="00431DEA">
        <w:trPr>
          <w:trHeight w:val="288"/>
          <w:jc w:val="center"/>
        </w:trPr>
        <w:tc>
          <w:tcPr>
            <w:tcW w:w="9877" w:type="dxa"/>
            <w:gridSpan w:val="7"/>
            <w:tcBorders>
              <w:top w:val="single" w:sz="4" w:space="0" w:color="000000" w:themeColor="text1"/>
              <w:left w:val="single" w:sz="4" w:space="0" w:color="auto"/>
              <w:bottom w:val="single" w:sz="4" w:space="0" w:color="000000" w:themeColor="text1"/>
              <w:right w:val="single" w:sz="4" w:space="0" w:color="auto"/>
            </w:tcBorders>
            <w:shd w:val="clear" w:color="auto" w:fill="404040" w:themeFill="text1" w:themeFillTint="BF"/>
            <w:vAlign w:val="center"/>
          </w:tcPr>
          <w:p w14:paraId="1EB1BC26" w14:textId="77777777" w:rsidR="00231AE4" w:rsidRPr="00F6205B" w:rsidRDefault="00231AE4" w:rsidP="004F23CF">
            <w:pPr>
              <w:keepNext/>
              <w:keepLines/>
              <w:spacing w:after="0"/>
              <w:jc w:val="center"/>
              <w:rPr>
                <w:b/>
                <w:color w:val="FFFFFF" w:themeColor="background1"/>
                <w:sz w:val="20"/>
                <w:szCs w:val="20"/>
              </w:rPr>
            </w:pPr>
            <w:r w:rsidRPr="00F6205B">
              <w:rPr>
                <w:b/>
                <w:color w:val="FFFFFF" w:themeColor="background1"/>
                <w:sz w:val="20"/>
                <w:szCs w:val="20"/>
              </w:rPr>
              <w:t>Upgrade Case</w:t>
            </w:r>
          </w:p>
        </w:tc>
      </w:tr>
      <w:tr w:rsidR="00231AE4" w:rsidRPr="00F6205B" w14:paraId="79AD5248" w14:textId="77777777" w:rsidTr="00431DEA">
        <w:trPr>
          <w:trHeight w:val="288"/>
          <w:jc w:val="center"/>
        </w:trPr>
        <w:tc>
          <w:tcPr>
            <w:tcW w:w="377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55B77F1" w14:textId="77777777" w:rsidR="00231AE4" w:rsidRPr="00F6205B" w:rsidRDefault="00231AE4" w:rsidP="004F23CF">
            <w:pPr>
              <w:keepNext/>
              <w:keepLines/>
              <w:spacing w:after="0"/>
              <w:rPr>
                <w:sz w:val="20"/>
                <w:szCs w:val="20"/>
              </w:rPr>
            </w:pPr>
            <w:r w:rsidRPr="00F6205B">
              <w:rPr>
                <w:sz w:val="20"/>
                <w:szCs w:val="20"/>
              </w:rPr>
              <w:t>25% conversion rate (million MMBtu)</w:t>
            </w:r>
          </w:p>
        </w:tc>
        <w:tc>
          <w:tcPr>
            <w:tcW w:w="981" w:type="dxa"/>
            <w:tcBorders>
              <w:top w:val="single" w:sz="4" w:space="0" w:color="000000" w:themeColor="text1"/>
              <w:bottom w:val="single" w:sz="4" w:space="0" w:color="000000" w:themeColor="text1"/>
              <w:right w:val="single" w:sz="4" w:space="0" w:color="000000" w:themeColor="text1"/>
            </w:tcBorders>
            <w:vAlign w:val="center"/>
          </w:tcPr>
          <w:p w14:paraId="61154113" w14:textId="77777777" w:rsidR="00231AE4" w:rsidRPr="00F6205B" w:rsidRDefault="00231AE4" w:rsidP="004F23CF">
            <w:pPr>
              <w:keepNext/>
              <w:keepLines/>
              <w:spacing w:after="0"/>
              <w:jc w:val="center"/>
              <w:rPr>
                <w:sz w:val="20"/>
                <w:szCs w:val="20"/>
              </w:rPr>
            </w:pPr>
            <w:r w:rsidRPr="00F6205B">
              <w:rPr>
                <w:sz w:val="20"/>
                <w:szCs w:val="20"/>
              </w:rPr>
              <w:t>155.9</w:t>
            </w:r>
          </w:p>
        </w:tc>
        <w:tc>
          <w:tcPr>
            <w:tcW w:w="981" w:type="dxa"/>
            <w:tcBorders>
              <w:top w:val="single" w:sz="4" w:space="0" w:color="000000" w:themeColor="text1"/>
              <w:bottom w:val="single" w:sz="4" w:space="0" w:color="000000" w:themeColor="text1"/>
            </w:tcBorders>
            <w:vAlign w:val="center"/>
          </w:tcPr>
          <w:p w14:paraId="076E5EA8" w14:textId="77777777" w:rsidR="00231AE4" w:rsidRPr="00F6205B" w:rsidRDefault="00231AE4" w:rsidP="004F23CF">
            <w:pPr>
              <w:keepNext/>
              <w:keepLines/>
              <w:spacing w:after="0"/>
              <w:jc w:val="center"/>
              <w:rPr>
                <w:sz w:val="20"/>
                <w:szCs w:val="20"/>
              </w:rPr>
            </w:pPr>
            <w:r w:rsidRPr="00F6205B">
              <w:rPr>
                <w:sz w:val="20"/>
                <w:szCs w:val="20"/>
              </w:rPr>
              <w:t>152.3</w:t>
            </w:r>
          </w:p>
        </w:tc>
        <w:tc>
          <w:tcPr>
            <w:tcW w:w="981" w:type="dxa"/>
            <w:tcBorders>
              <w:top w:val="single" w:sz="4" w:space="0" w:color="000000" w:themeColor="text1"/>
              <w:bottom w:val="single" w:sz="4" w:space="0" w:color="000000" w:themeColor="text1"/>
            </w:tcBorders>
            <w:vAlign w:val="center"/>
          </w:tcPr>
          <w:p w14:paraId="303203F6" w14:textId="77777777" w:rsidR="00231AE4" w:rsidRPr="00F6205B" w:rsidRDefault="00231AE4" w:rsidP="004F23CF">
            <w:pPr>
              <w:keepNext/>
              <w:keepLines/>
              <w:spacing w:after="0"/>
              <w:jc w:val="center"/>
              <w:rPr>
                <w:sz w:val="20"/>
                <w:szCs w:val="20"/>
              </w:rPr>
            </w:pPr>
            <w:r w:rsidRPr="00F6205B">
              <w:rPr>
                <w:sz w:val="20"/>
                <w:szCs w:val="20"/>
              </w:rPr>
              <w:t>147.9</w:t>
            </w:r>
          </w:p>
        </w:tc>
        <w:tc>
          <w:tcPr>
            <w:tcW w:w="981" w:type="dxa"/>
            <w:tcBorders>
              <w:top w:val="single" w:sz="4" w:space="0" w:color="000000" w:themeColor="text1"/>
              <w:bottom w:val="single" w:sz="4" w:space="0" w:color="000000" w:themeColor="text1"/>
            </w:tcBorders>
            <w:vAlign w:val="center"/>
          </w:tcPr>
          <w:p w14:paraId="09CEBF4D" w14:textId="77777777" w:rsidR="00231AE4" w:rsidRPr="00F6205B" w:rsidRDefault="00231AE4" w:rsidP="004F23CF">
            <w:pPr>
              <w:keepNext/>
              <w:keepLines/>
              <w:spacing w:after="0"/>
              <w:jc w:val="center"/>
              <w:rPr>
                <w:sz w:val="20"/>
                <w:szCs w:val="20"/>
              </w:rPr>
            </w:pPr>
            <w:r w:rsidRPr="00F6205B">
              <w:rPr>
                <w:sz w:val="20"/>
                <w:szCs w:val="20"/>
              </w:rPr>
              <w:t>143.6</w:t>
            </w:r>
          </w:p>
        </w:tc>
        <w:tc>
          <w:tcPr>
            <w:tcW w:w="981" w:type="dxa"/>
            <w:tcBorders>
              <w:top w:val="single" w:sz="4" w:space="0" w:color="000000" w:themeColor="text1"/>
              <w:bottom w:val="single" w:sz="4" w:space="0" w:color="000000" w:themeColor="text1"/>
            </w:tcBorders>
            <w:vAlign w:val="center"/>
          </w:tcPr>
          <w:p w14:paraId="5B8D92A9" w14:textId="77777777" w:rsidR="00231AE4" w:rsidRPr="00F6205B" w:rsidRDefault="00231AE4" w:rsidP="004F23CF">
            <w:pPr>
              <w:keepNext/>
              <w:keepLines/>
              <w:spacing w:after="0"/>
              <w:jc w:val="center"/>
              <w:rPr>
                <w:sz w:val="20"/>
                <w:szCs w:val="20"/>
              </w:rPr>
            </w:pPr>
            <w:r w:rsidRPr="00F6205B">
              <w:rPr>
                <w:sz w:val="20"/>
                <w:szCs w:val="20"/>
              </w:rPr>
              <w:t>139.4</w:t>
            </w:r>
          </w:p>
        </w:tc>
        <w:tc>
          <w:tcPr>
            <w:tcW w:w="1195" w:type="dxa"/>
            <w:tcBorders>
              <w:top w:val="single" w:sz="4" w:space="0" w:color="000000" w:themeColor="text1"/>
              <w:bottom w:val="single" w:sz="4" w:space="0" w:color="000000" w:themeColor="text1"/>
              <w:right w:val="single" w:sz="4" w:space="0" w:color="auto"/>
            </w:tcBorders>
            <w:vAlign w:val="center"/>
          </w:tcPr>
          <w:p w14:paraId="6140453E" w14:textId="77777777" w:rsidR="00231AE4" w:rsidRPr="00F6205B" w:rsidRDefault="00231AE4" w:rsidP="004F23CF">
            <w:pPr>
              <w:keepNext/>
              <w:keepLines/>
              <w:spacing w:after="0"/>
              <w:jc w:val="center"/>
              <w:rPr>
                <w:sz w:val="20"/>
                <w:szCs w:val="20"/>
              </w:rPr>
            </w:pPr>
            <w:r w:rsidRPr="00F6205B">
              <w:rPr>
                <w:sz w:val="20"/>
                <w:szCs w:val="20"/>
              </w:rPr>
              <w:t>1,444.4</w:t>
            </w:r>
          </w:p>
        </w:tc>
      </w:tr>
      <w:tr w:rsidR="00231AE4" w:rsidRPr="00F6205B" w14:paraId="256749E0" w14:textId="77777777" w:rsidTr="00431DEA">
        <w:trPr>
          <w:trHeight w:val="288"/>
          <w:jc w:val="center"/>
        </w:trPr>
        <w:tc>
          <w:tcPr>
            <w:tcW w:w="377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093A908A" w14:textId="77777777" w:rsidR="00231AE4" w:rsidRPr="00F6205B" w:rsidRDefault="00231AE4" w:rsidP="004F23CF">
            <w:pPr>
              <w:keepNext/>
              <w:keepLines/>
              <w:spacing w:after="0"/>
              <w:rPr>
                <w:sz w:val="20"/>
                <w:szCs w:val="20"/>
              </w:rPr>
            </w:pPr>
            <w:r w:rsidRPr="00F6205B">
              <w:rPr>
                <w:i/>
                <w:sz w:val="20"/>
                <w:szCs w:val="20"/>
              </w:rPr>
              <w:t xml:space="preserve">  Percent change from base</w:t>
            </w:r>
          </w:p>
        </w:tc>
        <w:tc>
          <w:tcPr>
            <w:tcW w:w="981" w:type="dxa"/>
            <w:tcBorders>
              <w:top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26C7C5B1" w14:textId="7E0F6DC1" w:rsidR="00231AE4" w:rsidRPr="00F6205B" w:rsidRDefault="000B3EA9" w:rsidP="004F23CF">
            <w:pPr>
              <w:keepNext/>
              <w:keepLines/>
              <w:spacing w:after="0"/>
              <w:jc w:val="center"/>
              <w:rPr>
                <w:sz w:val="20"/>
                <w:szCs w:val="20"/>
              </w:rPr>
            </w:pPr>
            <w:r w:rsidRPr="00F6205B">
              <w:rPr>
                <w:sz w:val="20"/>
                <w:szCs w:val="20"/>
              </w:rPr>
              <w:t>--</w:t>
            </w:r>
          </w:p>
        </w:tc>
        <w:tc>
          <w:tcPr>
            <w:tcW w:w="981" w:type="dxa"/>
            <w:tcBorders>
              <w:top w:val="single" w:sz="4" w:space="0" w:color="000000" w:themeColor="text1"/>
              <w:left w:val="single" w:sz="4" w:space="0" w:color="000000" w:themeColor="text1"/>
              <w:bottom w:val="single" w:sz="4" w:space="0" w:color="000000" w:themeColor="text1"/>
            </w:tcBorders>
            <w:shd w:val="clear" w:color="auto" w:fill="BFBFBF" w:themeFill="background1" w:themeFillShade="BF"/>
            <w:vAlign w:val="center"/>
          </w:tcPr>
          <w:p w14:paraId="58F7DCAF" w14:textId="77777777" w:rsidR="00231AE4" w:rsidRPr="00F6205B" w:rsidRDefault="00231AE4" w:rsidP="004F23CF">
            <w:pPr>
              <w:keepNext/>
              <w:keepLines/>
              <w:spacing w:after="0"/>
              <w:jc w:val="center"/>
              <w:rPr>
                <w:i/>
                <w:sz w:val="20"/>
                <w:szCs w:val="20"/>
              </w:rPr>
            </w:pPr>
            <w:r w:rsidRPr="00F6205B">
              <w:rPr>
                <w:i/>
                <w:sz w:val="20"/>
                <w:szCs w:val="20"/>
              </w:rPr>
              <w:t>0.3%</w:t>
            </w:r>
          </w:p>
        </w:tc>
        <w:tc>
          <w:tcPr>
            <w:tcW w:w="981" w:type="dxa"/>
            <w:tcBorders>
              <w:top w:val="single" w:sz="4" w:space="0" w:color="000000" w:themeColor="text1"/>
              <w:bottom w:val="single" w:sz="4" w:space="0" w:color="000000" w:themeColor="text1"/>
            </w:tcBorders>
            <w:shd w:val="clear" w:color="auto" w:fill="BFBFBF" w:themeFill="background1" w:themeFillShade="BF"/>
            <w:vAlign w:val="center"/>
          </w:tcPr>
          <w:p w14:paraId="37DA070F" w14:textId="77777777" w:rsidR="00231AE4" w:rsidRPr="00F6205B" w:rsidRDefault="00231AE4" w:rsidP="004F23CF">
            <w:pPr>
              <w:keepNext/>
              <w:keepLines/>
              <w:spacing w:after="0"/>
              <w:jc w:val="center"/>
              <w:rPr>
                <w:i/>
                <w:sz w:val="20"/>
                <w:szCs w:val="20"/>
              </w:rPr>
            </w:pPr>
            <w:r w:rsidRPr="00F6205B">
              <w:rPr>
                <w:i/>
                <w:sz w:val="20"/>
                <w:szCs w:val="20"/>
              </w:rPr>
              <w:t>0.7%</w:t>
            </w:r>
          </w:p>
        </w:tc>
        <w:tc>
          <w:tcPr>
            <w:tcW w:w="981" w:type="dxa"/>
            <w:tcBorders>
              <w:top w:val="single" w:sz="4" w:space="0" w:color="000000" w:themeColor="text1"/>
              <w:bottom w:val="single" w:sz="4" w:space="0" w:color="000000" w:themeColor="text1"/>
            </w:tcBorders>
            <w:shd w:val="clear" w:color="auto" w:fill="BFBFBF" w:themeFill="background1" w:themeFillShade="BF"/>
            <w:vAlign w:val="center"/>
          </w:tcPr>
          <w:p w14:paraId="424D89FD" w14:textId="77777777" w:rsidR="00231AE4" w:rsidRPr="00F6205B" w:rsidRDefault="00231AE4" w:rsidP="004F23CF">
            <w:pPr>
              <w:keepNext/>
              <w:keepLines/>
              <w:spacing w:after="0"/>
              <w:jc w:val="center"/>
              <w:rPr>
                <w:i/>
                <w:sz w:val="20"/>
                <w:szCs w:val="20"/>
              </w:rPr>
            </w:pPr>
            <w:r w:rsidRPr="00F6205B">
              <w:rPr>
                <w:i/>
                <w:sz w:val="20"/>
                <w:szCs w:val="20"/>
              </w:rPr>
              <w:t>1.0%</w:t>
            </w:r>
          </w:p>
        </w:tc>
        <w:tc>
          <w:tcPr>
            <w:tcW w:w="981" w:type="dxa"/>
            <w:tcBorders>
              <w:top w:val="single" w:sz="4" w:space="0" w:color="000000" w:themeColor="text1"/>
              <w:bottom w:val="single" w:sz="4" w:space="0" w:color="000000" w:themeColor="text1"/>
            </w:tcBorders>
            <w:shd w:val="clear" w:color="auto" w:fill="BFBFBF" w:themeFill="background1" w:themeFillShade="BF"/>
            <w:vAlign w:val="center"/>
          </w:tcPr>
          <w:p w14:paraId="33B389F3" w14:textId="77777777" w:rsidR="00231AE4" w:rsidRPr="00F6205B" w:rsidRDefault="00231AE4" w:rsidP="004F23CF">
            <w:pPr>
              <w:keepNext/>
              <w:keepLines/>
              <w:spacing w:after="0"/>
              <w:jc w:val="center"/>
              <w:rPr>
                <w:i/>
                <w:sz w:val="20"/>
                <w:szCs w:val="20"/>
              </w:rPr>
            </w:pPr>
            <w:r w:rsidRPr="00F6205B">
              <w:rPr>
                <w:i/>
                <w:sz w:val="20"/>
                <w:szCs w:val="20"/>
              </w:rPr>
              <w:t>1.3%</w:t>
            </w:r>
          </w:p>
        </w:tc>
        <w:tc>
          <w:tcPr>
            <w:tcW w:w="1195" w:type="dxa"/>
            <w:tcBorders>
              <w:top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09BFFD5B" w14:textId="77777777" w:rsidR="00231AE4" w:rsidRPr="00F6205B" w:rsidRDefault="00231AE4" w:rsidP="004F23CF">
            <w:pPr>
              <w:keepNext/>
              <w:keepLines/>
              <w:spacing w:after="0"/>
              <w:jc w:val="center"/>
              <w:rPr>
                <w:i/>
                <w:sz w:val="20"/>
                <w:szCs w:val="20"/>
              </w:rPr>
            </w:pPr>
            <w:r w:rsidRPr="00F6205B">
              <w:rPr>
                <w:i/>
                <w:sz w:val="20"/>
                <w:szCs w:val="20"/>
              </w:rPr>
              <w:t>0.8%</w:t>
            </w:r>
          </w:p>
        </w:tc>
      </w:tr>
      <w:tr w:rsidR="00231AE4" w:rsidRPr="00F6205B" w14:paraId="6E8BE06C" w14:textId="77777777" w:rsidTr="00431DEA">
        <w:trPr>
          <w:trHeight w:val="288"/>
          <w:jc w:val="center"/>
        </w:trPr>
        <w:tc>
          <w:tcPr>
            <w:tcW w:w="377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689EA99" w14:textId="77777777" w:rsidR="00231AE4" w:rsidRPr="00F6205B" w:rsidRDefault="00231AE4" w:rsidP="004F23CF">
            <w:pPr>
              <w:keepNext/>
              <w:keepLines/>
              <w:spacing w:after="0"/>
              <w:rPr>
                <w:sz w:val="20"/>
                <w:szCs w:val="20"/>
              </w:rPr>
            </w:pPr>
            <w:r w:rsidRPr="00F6205B">
              <w:rPr>
                <w:sz w:val="20"/>
                <w:szCs w:val="20"/>
              </w:rPr>
              <w:t>50% conversion rate (million MMBtu)</w:t>
            </w:r>
          </w:p>
        </w:tc>
        <w:tc>
          <w:tcPr>
            <w:tcW w:w="981" w:type="dxa"/>
            <w:tcBorders>
              <w:top w:val="single" w:sz="4" w:space="0" w:color="000000" w:themeColor="text1"/>
              <w:bottom w:val="single" w:sz="4" w:space="0" w:color="000000" w:themeColor="text1"/>
              <w:right w:val="single" w:sz="4" w:space="0" w:color="000000" w:themeColor="text1"/>
            </w:tcBorders>
            <w:vAlign w:val="center"/>
          </w:tcPr>
          <w:p w14:paraId="73F9A959" w14:textId="77777777" w:rsidR="00231AE4" w:rsidRPr="00F6205B" w:rsidRDefault="00231AE4" w:rsidP="004F23CF">
            <w:pPr>
              <w:keepNext/>
              <w:keepLines/>
              <w:spacing w:after="0"/>
              <w:jc w:val="center"/>
              <w:rPr>
                <w:sz w:val="20"/>
                <w:szCs w:val="20"/>
              </w:rPr>
            </w:pPr>
            <w:r w:rsidRPr="00F6205B">
              <w:rPr>
                <w:sz w:val="20"/>
                <w:szCs w:val="20"/>
              </w:rPr>
              <w:t>155.9</w:t>
            </w:r>
          </w:p>
        </w:tc>
        <w:tc>
          <w:tcPr>
            <w:tcW w:w="981" w:type="dxa"/>
            <w:tcBorders>
              <w:top w:val="single" w:sz="4" w:space="0" w:color="000000" w:themeColor="text1"/>
              <w:bottom w:val="single" w:sz="4" w:space="0" w:color="000000" w:themeColor="text1"/>
            </w:tcBorders>
            <w:vAlign w:val="center"/>
          </w:tcPr>
          <w:p w14:paraId="4BE2BD42" w14:textId="77777777" w:rsidR="00231AE4" w:rsidRPr="00F6205B" w:rsidRDefault="00231AE4" w:rsidP="004F23CF">
            <w:pPr>
              <w:keepNext/>
              <w:keepLines/>
              <w:spacing w:after="0"/>
              <w:jc w:val="center"/>
              <w:rPr>
                <w:sz w:val="20"/>
                <w:szCs w:val="20"/>
              </w:rPr>
            </w:pPr>
            <w:r w:rsidRPr="00F6205B">
              <w:rPr>
                <w:sz w:val="20"/>
                <w:szCs w:val="20"/>
              </w:rPr>
              <w:t>150.1</w:t>
            </w:r>
          </w:p>
        </w:tc>
        <w:tc>
          <w:tcPr>
            <w:tcW w:w="981" w:type="dxa"/>
            <w:tcBorders>
              <w:top w:val="single" w:sz="4" w:space="0" w:color="000000" w:themeColor="text1"/>
              <w:bottom w:val="single" w:sz="4" w:space="0" w:color="000000" w:themeColor="text1"/>
            </w:tcBorders>
            <w:vAlign w:val="center"/>
          </w:tcPr>
          <w:p w14:paraId="5483659E" w14:textId="77777777" w:rsidR="00231AE4" w:rsidRPr="00F6205B" w:rsidRDefault="00231AE4" w:rsidP="004F23CF">
            <w:pPr>
              <w:keepNext/>
              <w:keepLines/>
              <w:spacing w:after="0"/>
              <w:jc w:val="center"/>
              <w:rPr>
                <w:sz w:val="20"/>
                <w:szCs w:val="20"/>
              </w:rPr>
            </w:pPr>
            <w:r w:rsidRPr="00F6205B">
              <w:rPr>
                <w:sz w:val="20"/>
                <w:szCs w:val="20"/>
              </w:rPr>
              <w:t>143.6</w:t>
            </w:r>
          </w:p>
        </w:tc>
        <w:tc>
          <w:tcPr>
            <w:tcW w:w="981" w:type="dxa"/>
            <w:tcBorders>
              <w:top w:val="single" w:sz="4" w:space="0" w:color="000000" w:themeColor="text1"/>
              <w:bottom w:val="single" w:sz="4" w:space="0" w:color="000000" w:themeColor="text1"/>
            </w:tcBorders>
            <w:vAlign w:val="center"/>
          </w:tcPr>
          <w:p w14:paraId="4FDE33AB" w14:textId="77777777" w:rsidR="00231AE4" w:rsidRPr="00F6205B" w:rsidRDefault="00231AE4" w:rsidP="004F23CF">
            <w:pPr>
              <w:keepNext/>
              <w:keepLines/>
              <w:spacing w:after="0"/>
              <w:jc w:val="center"/>
              <w:rPr>
                <w:sz w:val="20"/>
                <w:szCs w:val="20"/>
              </w:rPr>
            </w:pPr>
            <w:r w:rsidRPr="00F6205B">
              <w:rPr>
                <w:sz w:val="20"/>
                <w:szCs w:val="20"/>
              </w:rPr>
              <w:t>137.3</w:t>
            </w:r>
          </w:p>
        </w:tc>
        <w:tc>
          <w:tcPr>
            <w:tcW w:w="981" w:type="dxa"/>
            <w:tcBorders>
              <w:top w:val="single" w:sz="4" w:space="0" w:color="000000" w:themeColor="text1"/>
              <w:bottom w:val="single" w:sz="4" w:space="0" w:color="000000" w:themeColor="text1"/>
            </w:tcBorders>
            <w:vAlign w:val="center"/>
          </w:tcPr>
          <w:p w14:paraId="1A70F5B9" w14:textId="77777777" w:rsidR="00231AE4" w:rsidRPr="00F6205B" w:rsidRDefault="00231AE4" w:rsidP="004F23CF">
            <w:pPr>
              <w:keepNext/>
              <w:keepLines/>
              <w:spacing w:after="0"/>
              <w:jc w:val="center"/>
              <w:rPr>
                <w:sz w:val="20"/>
                <w:szCs w:val="20"/>
              </w:rPr>
            </w:pPr>
            <w:r w:rsidRPr="00F6205B">
              <w:rPr>
                <w:sz w:val="20"/>
                <w:szCs w:val="20"/>
              </w:rPr>
              <w:t>131.1</w:t>
            </w:r>
          </w:p>
        </w:tc>
        <w:tc>
          <w:tcPr>
            <w:tcW w:w="1195" w:type="dxa"/>
            <w:tcBorders>
              <w:top w:val="single" w:sz="4" w:space="0" w:color="000000" w:themeColor="text1"/>
              <w:bottom w:val="single" w:sz="4" w:space="0" w:color="000000" w:themeColor="text1"/>
              <w:right w:val="single" w:sz="4" w:space="0" w:color="auto"/>
            </w:tcBorders>
            <w:vAlign w:val="center"/>
          </w:tcPr>
          <w:p w14:paraId="7A8F826F" w14:textId="77777777" w:rsidR="00231AE4" w:rsidRPr="00F6205B" w:rsidRDefault="00231AE4" w:rsidP="004F23CF">
            <w:pPr>
              <w:keepNext/>
              <w:keepLines/>
              <w:spacing w:after="0"/>
              <w:jc w:val="center"/>
              <w:rPr>
                <w:sz w:val="20"/>
                <w:szCs w:val="20"/>
              </w:rPr>
            </w:pPr>
            <w:r w:rsidRPr="00F6205B">
              <w:rPr>
                <w:sz w:val="20"/>
                <w:szCs w:val="20"/>
              </w:rPr>
              <w:t>1,413.2</w:t>
            </w:r>
          </w:p>
        </w:tc>
      </w:tr>
      <w:tr w:rsidR="00231AE4" w:rsidRPr="00F6205B" w14:paraId="31D8E0E0" w14:textId="77777777" w:rsidTr="00431DEA">
        <w:trPr>
          <w:trHeight w:val="288"/>
          <w:jc w:val="center"/>
        </w:trPr>
        <w:tc>
          <w:tcPr>
            <w:tcW w:w="377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072D7212" w14:textId="77777777" w:rsidR="00231AE4" w:rsidRPr="00F6205B" w:rsidRDefault="00231AE4" w:rsidP="004F23CF">
            <w:pPr>
              <w:keepNext/>
              <w:keepLines/>
              <w:spacing w:after="0"/>
              <w:rPr>
                <w:sz w:val="20"/>
                <w:szCs w:val="20"/>
              </w:rPr>
            </w:pPr>
            <w:r w:rsidRPr="00F6205B">
              <w:rPr>
                <w:i/>
                <w:sz w:val="20"/>
                <w:szCs w:val="20"/>
              </w:rPr>
              <w:t xml:space="preserve">  Percent change from base</w:t>
            </w:r>
          </w:p>
        </w:tc>
        <w:tc>
          <w:tcPr>
            <w:tcW w:w="981" w:type="dxa"/>
            <w:tcBorders>
              <w:top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757DC021" w14:textId="1A58CA26" w:rsidR="00231AE4" w:rsidRPr="00F6205B" w:rsidRDefault="000B3EA9" w:rsidP="004F23CF">
            <w:pPr>
              <w:keepNext/>
              <w:keepLines/>
              <w:spacing w:after="0"/>
              <w:jc w:val="center"/>
              <w:rPr>
                <w:sz w:val="20"/>
                <w:szCs w:val="20"/>
              </w:rPr>
            </w:pPr>
            <w:r w:rsidRPr="00F6205B">
              <w:rPr>
                <w:sz w:val="20"/>
                <w:szCs w:val="20"/>
              </w:rPr>
              <w:t>--</w:t>
            </w:r>
          </w:p>
        </w:tc>
        <w:tc>
          <w:tcPr>
            <w:tcW w:w="981" w:type="dxa"/>
            <w:tcBorders>
              <w:top w:val="single" w:sz="4" w:space="0" w:color="000000" w:themeColor="text1"/>
              <w:left w:val="single" w:sz="4" w:space="0" w:color="000000" w:themeColor="text1"/>
              <w:bottom w:val="single" w:sz="4" w:space="0" w:color="000000" w:themeColor="text1"/>
            </w:tcBorders>
            <w:shd w:val="clear" w:color="auto" w:fill="BFBFBF" w:themeFill="background1" w:themeFillShade="BF"/>
            <w:vAlign w:val="center"/>
          </w:tcPr>
          <w:p w14:paraId="7440968A" w14:textId="77777777" w:rsidR="00231AE4" w:rsidRPr="00F6205B" w:rsidRDefault="00231AE4" w:rsidP="004F23CF">
            <w:pPr>
              <w:keepNext/>
              <w:keepLines/>
              <w:spacing w:after="0"/>
              <w:jc w:val="center"/>
              <w:rPr>
                <w:i/>
                <w:sz w:val="20"/>
                <w:szCs w:val="20"/>
              </w:rPr>
            </w:pPr>
            <w:r w:rsidRPr="00F6205B">
              <w:rPr>
                <w:i/>
                <w:sz w:val="20"/>
                <w:szCs w:val="20"/>
              </w:rPr>
              <w:t>0.7%</w:t>
            </w:r>
          </w:p>
        </w:tc>
        <w:tc>
          <w:tcPr>
            <w:tcW w:w="981" w:type="dxa"/>
            <w:tcBorders>
              <w:top w:val="single" w:sz="4" w:space="0" w:color="000000" w:themeColor="text1"/>
              <w:bottom w:val="single" w:sz="4" w:space="0" w:color="000000" w:themeColor="text1"/>
            </w:tcBorders>
            <w:shd w:val="clear" w:color="auto" w:fill="BFBFBF" w:themeFill="background1" w:themeFillShade="BF"/>
            <w:vAlign w:val="center"/>
          </w:tcPr>
          <w:p w14:paraId="6CDC2357" w14:textId="77777777" w:rsidR="00231AE4" w:rsidRPr="00F6205B" w:rsidRDefault="00231AE4" w:rsidP="004F23CF">
            <w:pPr>
              <w:keepNext/>
              <w:keepLines/>
              <w:spacing w:after="0"/>
              <w:jc w:val="center"/>
              <w:rPr>
                <w:i/>
                <w:sz w:val="20"/>
                <w:szCs w:val="20"/>
              </w:rPr>
            </w:pPr>
            <w:r w:rsidRPr="00F6205B">
              <w:rPr>
                <w:i/>
                <w:sz w:val="20"/>
                <w:szCs w:val="20"/>
              </w:rPr>
              <w:t>1.4%</w:t>
            </w:r>
          </w:p>
        </w:tc>
        <w:tc>
          <w:tcPr>
            <w:tcW w:w="981" w:type="dxa"/>
            <w:tcBorders>
              <w:top w:val="single" w:sz="4" w:space="0" w:color="000000" w:themeColor="text1"/>
              <w:bottom w:val="single" w:sz="4" w:space="0" w:color="000000" w:themeColor="text1"/>
            </w:tcBorders>
            <w:shd w:val="clear" w:color="auto" w:fill="BFBFBF" w:themeFill="background1" w:themeFillShade="BF"/>
            <w:vAlign w:val="center"/>
          </w:tcPr>
          <w:p w14:paraId="5444C082" w14:textId="77777777" w:rsidR="00231AE4" w:rsidRPr="00F6205B" w:rsidRDefault="00231AE4" w:rsidP="004F23CF">
            <w:pPr>
              <w:keepNext/>
              <w:keepLines/>
              <w:spacing w:after="0"/>
              <w:jc w:val="center"/>
              <w:rPr>
                <w:i/>
                <w:sz w:val="20"/>
                <w:szCs w:val="20"/>
              </w:rPr>
            </w:pPr>
            <w:r w:rsidRPr="00F6205B">
              <w:rPr>
                <w:i/>
                <w:sz w:val="20"/>
                <w:szCs w:val="20"/>
              </w:rPr>
              <w:t>2.1%</w:t>
            </w:r>
          </w:p>
        </w:tc>
        <w:tc>
          <w:tcPr>
            <w:tcW w:w="981" w:type="dxa"/>
            <w:tcBorders>
              <w:top w:val="single" w:sz="4" w:space="0" w:color="000000" w:themeColor="text1"/>
              <w:bottom w:val="single" w:sz="4" w:space="0" w:color="000000" w:themeColor="text1"/>
            </w:tcBorders>
            <w:shd w:val="clear" w:color="auto" w:fill="BFBFBF" w:themeFill="background1" w:themeFillShade="BF"/>
            <w:vAlign w:val="center"/>
          </w:tcPr>
          <w:p w14:paraId="6C9A1776" w14:textId="77777777" w:rsidR="00231AE4" w:rsidRPr="00F6205B" w:rsidRDefault="00231AE4" w:rsidP="004F23CF">
            <w:pPr>
              <w:keepNext/>
              <w:keepLines/>
              <w:spacing w:after="0"/>
              <w:jc w:val="center"/>
              <w:rPr>
                <w:i/>
                <w:sz w:val="20"/>
                <w:szCs w:val="20"/>
              </w:rPr>
            </w:pPr>
            <w:r w:rsidRPr="00F6205B">
              <w:rPr>
                <w:i/>
                <w:sz w:val="20"/>
                <w:szCs w:val="20"/>
              </w:rPr>
              <w:t>2.9%</w:t>
            </w:r>
          </w:p>
        </w:tc>
        <w:tc>
          <w:tcPr>
            <w:tcW w:w="1195" w:type="dxa"/>
            <w:tcBorders>
              <w:top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6E82FAB5" w14:textId="77777777" w:rsidR="00231AE4" w:rsidRPr="00F6205B" w:rsidRDefault="00231AE4" w:rsidP="004F23CF">
            <w:pPr>
              <w:keepNext/>
              <w:keepLines/>
              <w:spacing w:after="0"/>
              <w:jc w:val="center"/>
              <w:rPr>
                <w:i/>
                <w:sz w:val="20"/>
                <w:szCs w:val="20"/>
              </w:rPr>
            </w:pPr>
            <w:r w:rsidRPr="00F6205B">
              <w:rPr>
                <w:i/>
                <w:sz w:val="20"/>
                <w:szCs w:val="20"/>
              </w:rPr>
              <w:t>1.5%</w:t>
            </w:r>
          </w:p>
        </w:tc>
      </w:tr>
      <w:tr w:rsidR="00231AE4" w:rsidRPr="00F6205B" w14:paraId="3521AA87" w14:textId="77777777" w:rsidTr="00431DEA">
        <w:trPr>
          <w:trHeight w:val="288"/>
          <w:jc w:val="center"/>
        </w:trPr>
        <w:tc>
          <w:tcPr>
            <w:tcW w:w="377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837B33C" w14:textId="77777777" w:rsidR="00231AE4" w:rsidRPr="00F6205B" w:rsidRDefault="00231AE4" w:rsidP="004F23CF">
            <w:pPr>
              <w:keepNext/>
              <w:keepLines/>
              <w:spacing w:after="0"/>
              <w:rPr>
                <w:sz w:val="20"/>
                <w:szCs w:val="20"/>
              </w:rPr>
            </w:pPr>
            <w:r w:rsidRPr="00F6205B">
              <w:rPr>
                <w:sz w:val="20"/>
                <w:szCs w:val="20"/>
              </w:rPr>
              <w:t>75% conversion rate (million MMBtu)</w:t>
            </w:r>
          </w:p>
        </w:tc>
        <w:tc>
          <w:tcPr>
            <w:tcW w:w="981" w:type="dxa"/>
            <w:tcBorders>
              <w:top w:val="single" w:sz="4" w:space="0" w:color="000000" w:themeColor="text1"/>
              <w:bottom w:val="single" w:sz="4" w:space="0" w:color="000000" w:themeColor="text1"/>
              <w:right w:val="single" w:sz="4" w:space="0" w:color="000000" w:themeColor="text1"/>
            </w:tcBorders>
            <w:vAlign w:val="center"/>
          </w:tcPr>
          <w:p w14:paraId="3BE3F80A" w14:textId="77777777" w:rsidR="00231AE4" w:rsidRPr="00F6205B" w:rsidRDefault="00231AE4" w:rsidP="004F23CF">
            <w:pPr>
              <w:keepNext/>
              <w:keepLines/>
              <w:spacing w:after="0"/>
              <w:jc w:val="center"/>
              <w:rPr>
                <w:sz w:val="20"/>
                <w:szCs w:val="20"/>
              </w:rPr>
            </w:pPr>
            <w:r w:rsidRPr="00F6205B">
              <w:rPr>
                <w:sz w:val="20"/>
                <w:szCs w:val="20"/>
              </w:rPr>
              <w:t>155.9</w:t>
            </w:r>
          </w:p>
        </w:tc>
        <w:tc>
          <w:tcPr>
            <w:tcW w:w="981" w:type="dxa"/>
            <w:tcBorders>
              <w:top w:val="single" w:sz="4" w:space="0" w:color="000000" w:themeColor="text1"/>
              <w:bottom w:val="single" w:sz="4" w:space="0" w:color="000000" w:themeColor="text1"/>
            </w:tcBorders>
            <w:vAlign w:val="center"/>
          </w:tcPr>
          <w:p w14:paraId="33AF590C" w14:textId="77777777" w:rsidR="00231AE4" w:rsidRPr="00F6205B" w:rsidRDefault="00231AE4" w:rsidP="004F23CF">
            <w:pPr>
              <w:keepNext/>
              <w:keepLines/>
              <w:spacing w:after="0"/>
              <w:jc w:val="center"/>
              <w:rPr>
                <w:sz w:val="20"/>
                <w:szCs w:val="20"/>
              </w:rPr>
            </w:pPr>
            <w:r w:rsidRPr="00F6205B">
              <w:rPr>
                <w:sz w:val="20"/>
                <w:szCs w:val="20"/>
              </w:rPr>
              <w:t>148.0</w:t>
            </w:r>
          </w:p>
        </w:tc>
        <w:tc>
          <w:tcPr>
            <w:tcW w:w="981" w:type="dxa"/>
            <w:tcBorders>
              <w:top w:val="single" w:sz="4" w:space="0" w:color="000000" w:themeColor="text1"/>
              <w:bottom w:val="single" w:sz="4" w:space="0" w:color="000000" w:themeColor="text1"/>
            </w:tcBorders>
            <w:vAlign w:val="center"/>
          </w:tcPr>
          <w:p w14:paraId="68F7EAC9" w14:textId="77777777" w:rsidR="00231AE4" w:rsidRPr="00F6205B" w:rsidRDefault="00231AE4" w:rsidP="004F23CF">
            <w:pPr>
              <w:keepNext/>
              <w:keepLines/>
              <w:spacing w:after="0"/>
              <w:jc w:val="center"/>
              <w:rPr>
                <w:sz w:val="20"/>
                <w:szCs w:val="20"/>
              </w:rPr>
            </w:pPr>
            <w:r w:rsidRPr="00F6205B">
              <w:rPr>
                <w:sz w:val="20"/>
                <w:szCs w:val="20"/>
              </w:rPr>
              <w:t>139.4</w:t>
            </w:r>
          </w:p>
        </w:tc>
        <w:tc>
          <w:tcPr>
            <w:tcW w:w="981" w:type="dxa"/>
            <w:tcBorders>
              <w:top w:val="single" w:sz="4" w:space="0" w:color="000000" w:themeColor="text1"/>
              <w:bottom w:val="single" w:sz="4" w:space="0" w:color="000000" w:themeColor="text1"/>
            </w:tcBorders>
            <w:vAlign w:val="center"/>
          </w:tcPr>
          <w:p w14:paraId="09F72186" w14:textId="77777777" w:rsidR="00231AE4" w:rsidRPr="00F6205B" w:rsidRDefault="00231AE4" w:rsidP="004F23CF">
            <w:pPr>
              <w:keepNext/>
              <w:keepLines/>
              <w:spacing w:after="0"/>
              <w:jc w:val="center"/>
              <w:rPr>
                <w:sz w:val="20"/>
                <w:szCs w:val="20"/>
              </w:rPr>
            </w:pPr>
            <w:r w:rsidRPr="00F6205B">
              <w:rPr>
                <w:sz w:val="20"/>
                <w:szCs w:val="20"/>
              </w:rPr>
              <w:t>130.9</w:t>
            </w:r>
          </w:p>
        </w:tc>
        <w:tc>
          <w:tcPr>
            <w:tcW w:w="981" w:type="dxa"/>
            <w:tcBorders>
              <w:top w:val="single" w:sz="4" w:space="0" w:color="000000" w:themeColor="text1"/>
              <w:bottom w:val="single" w:sz="4" w:space="0" w:color="000000" w:themeColor="text1"/>
            </w:tcBorders>
            <w:vAlign w:val="center"/>
          </w:tcPr>
          <w:p w14:paraId="68CDD8DC" w14:textId="77777777" w:rsidR="00231AE4" w:rsidRPr="00F6205B" w:rsidRDefault="00231AE4" w:rsidP="004F23CF">
            <w:pPr>
              <w:keepNext/>
              <w:keepLines/>
              <w:spacing w:after="0"/>
              <w:jc w:val="center"/>
              <w:rPr>
                <w:sz w:val="20"/>
                <w:szCs w:val="20"/>
              </w:rPr>
            </w:pPr>
            <w:r w:rsidRPr="00F6205B">
              <w:rPr>
                <w:sz w:val="20"/>
                <w:szCs w:val="20"/>
              </w:rPr>
              <w:t>122.8</w:t>
            </w:r>
          </w:p>
        </w:tc>
        <w:tc>
          <w:tcPr>
            <w:tcW w:w="1195" w:type="dxa"/>
            <w:tcBorders>
              <w:top w:val="single" w:sz="4" w:space="0" w:color="000000" w:themeColor="text1"/>
              <w:bottom w:val="single" w:sz="4" w:space="0" w:color="000000" w:themeColor="text1"/>
              <w:right w:val="single" w:sz="4" w:space="0" w:color="auto"/>
            </w:tcBorders>
            <w:vAlign w:val="center"/>
          </w:tcPr>
          <w:p w14:paraId="3C055F31" w14:textId="77777777" w:rsidR="00231AE4" w:rsidRPr="00F6205B" w:rsidRDefault="00231AE4" w:rsidP="004F23CF">
            <w:pPr>
              <w:keepNext/>
              <w:keepLines/>
              <w:spacing w:after="0"/>
              <w:jc w:val="center"/>
              <w:rPr>
                <w:sz w:val="20"/>
                <w:szCs w:val="20"/>
              </w:rPr>
            </w:pPr>
            <w:r w:rsidRPr="00F6205B">
              <w:rPr>
                <w:sz w:val="20"/>
                <w:szCs w:val="20"/>
              </w:rPr>
              <w:t>1,382.1</w:t>
            </w:r>
          </w:p>
        </w:tc>
      </w:tr>
      <w:tr w:rsidR="00231AE4" w:rsidRPr="00F6205B" w14:paraId="18AE90DC" w14:textId="77777777" w:rsidTr="00431DEA">
        <w:trPr>
          <w:trHeight w:val="288"/>
          <w:jc w:val="center"/>
        </w:trPr>
        <w:tc>
          <w:tcPr>
            <w:tcW w:w="377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6797BAB5" w14:textId="77777777" w:rsidR="00231AE4" w:rsidRPr="00F6205B" w:rsidRDefault="00231AE4" w:rsidP="004F23CF">
            <w:pPr>
              <w:keepNext/>
              <w:keepLines/>
              <w:spacing w:after="0"/>
              <w:rPr>
                <w:sz w:val="20"/>
                <w:szCs w:val="20"/>
              </w:rPr>
            </w:pPr>
            <w:r w:rsidRPr="00F6205B">
              <w:rPr>
                <w:i/>
                <w:sz w:val="20"/>
                <w:szCs w:val="20"/>
              </w:rPr>
              <w:t xml:space="preserve">  Percent change from base</w:t>
            </w:r>
          </w:p>
        </w:tc>
        <w:tc>
          <w:tcPr>
            <w:tcW w:w="981" w:type="dxa"/>
            <w:tcBorders>
              <w:top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42E29E66" w14:textId="5122A245" w:rsidR="00231AE4" w:rsidRPr="00F6205B" w:rsidRDefault="000B3EA9" w:rsidP="004F23CF">
            <w:pPr>
              <w:keepNext/>
              <w:keepLines/>
              <w:spacing w:after="0"/>
              <w:jc w:val="center"/>
              <w:rPr>
                <w:sz w:val="20"/>
                <w:szCs w:val="20"/>
              </w:rPr>
            </w:pPr>
            <w:r w:rsidRPr="00F6205B">
              <w:rPr>
                <w:sz w:val="20"/>
                <w:szCs w:val="20"/>
              </w:rPr>
              <w:t>--</w:t>
            </w:r>
          </w:p>
        </w:tc>
        <w:tc>
          <w:tcPr>
            <w:tcW w:w="981" w:type="dxa"/>
            <w:tcBorders>
              <w:top w:val="single" w:sz="4" w:space="0" w:color="000000" w:themeColor="text1"/>
              <w:left w:val="single" w:sz="4" w:space="0" w:color="000000" w:themeColor="text1"/>
              <w:bottom w:val="single" w:sz="4" w:space="0" w:color="000000" w:themeColor="text1"/>
            </w:tcBorders>
            <w:shd w:val="clear" w:color="auto" w:fill="BFBFBF" w:themeFill="background1" w:themeFillShade="BF"/>
            <w:vAlign w:val="center"/>
          </w:tcPr>
          <w:p w14:paraId="0AE3976F" w14:textId="77777777" w:rsidR="00231AE4" w:rsidRPr="00F6205B" w:rsidRDefault="00231AE4" w:rsidP="004F23CF">
            <w:pPr>
              <w:keepNext/>
              <w:keepLines/>
              <w:spacing w:after="0"/>
              <w:jc w:val="center"/>
              <w:rPr>
                <w:i/>
                <w:sz w:val="20"/>
                <w:szCs w:val="20"/>
              </w:rPr>
            </w:pPr>
            <w:r w:rsidRPr="00F6205B">
              <w:rPr>
                <w:i/>
                <w:sz w:val="20"/>
                <w:szCs w:val="20"/>
              </w:rPr>
              <w:t>1.0%</w:t>
            </w:r>
          </w:p>
        </w:tc>
        <w:tc>
          <w:tcPr>
            <w:tcW w:w="981" w:type="dxa"/>
            <w:tcBorders>
              <w:top w:val="single" w:sz="4" w:space="0" w:color="000000" w:themeColor="text1"/>
              <w:bottom w:val="single" w:sz="4" w:space="0" w:color="000000" w:themeColor="text1"/>
            </w:tcBorders>
            <w:shd w:val="clear" w:color="auto" w:fill="BFBFBF" w:themeFill="background1" w:themeFillShade="BF"/>
            <w:vAlign w:val="center"/>
          </w:tcPr>
          <w:p w14:paraId="583531C6" w14:textId="77777777" w:rsidR="00231AE4" w:rsidRPr="00F6205B" w:rsidRDefault="00231AE4" w:rsidP="004F23CF">
            <w:pPr>
              <w:keepNext/>
              <w:keepLines/>
              <w:spacing w:after="0"/>
              <w:jc w:val="center"/>
              <w:rPr>
                <w:i/>
                <w:sz w:val="20"/>
                <w:szCs w:val="20"/>
              </w:rPr>
            </w:pPr>
            <w:r w:rsidRPr="00F6205B">
              <w:rPr>
                <w:i/>
                <w:sz w:val="20"/>
                <w:szCs w:val="20"/>
              </w:rPr>
              <w:t>2.1%</w:t>
            </w:r>
          </w:p>
        </w:tc>
        <w:tc>
          <w:tcPr>
            <w:tcW w:w="981" w:type="dxa"/>
            <w:tcBorders>
              <w:top w:val="single" w:sz="4" w:space="0" w:color="000000" w:themeColor="text1"/>
              <w:bottom w:val="single" w:sz="4" w:space="0" w:color="000000" w:themeColor="text1"/>
            </w:tcBorders>
            <w:shd w:val="clear" w:color="auto" w:fill="BFBFBF" w:themeFill="background1" w:themeFillShade="BF"/>
            <w:vAlign w:val="center"/>
          </w:tcPr>
          <w:p w14:paraId="0BC35877" w14:textId="77777777" w:rsidR="00231AE4" w:rsidRPr="00F6205B" w:rsidRDefault="00231AE4" w:rsidP="004F23CF">
            <w:pPr>
              <w:keepNext/>
              <w:keepLines/>
              <w:spacing w:after="0"/>
              <w:jc w:val="center"/>
              <w:rPr>
                <w:i/>
                <w:sz w:val="20"/>
                <w:szCs w:val="20"/>
              </w:rPr>
            </w:pPr>
            <w:r w:rsidRPr="00F6205B">
              <w:rPr>
                <w:i/>
                <w:sz w:val="20"/>
                <w:szCs w:val="20"/>
              </w:rPr>
              <w:t>3.3%</w:t>
            </w:r>
          </w:p>
        </w:tc>
        <w:tc>
          <w:tcPr>
            <w:tcW w:w="981" w:type="dxa"/>
            <w:tcBorders>
              <w:top w:val="single" w:sz="4" w:space="0" w:color="000000" w:themeColor="text1"/>
              <w:bottom w:val="single" w:sz="4" w:space="0" w:color="000000" w:themeColor="text1"/>
            </w:tcBorders>
            <w:shd w:val="clear" w:color="auto" w:fill="BFBFBF" w:themeFill="background1" w:themeFillShade="BF"/>
            <w:vAlign w:val="center"/>
          </w:tcPr>
          <w:p w14:paraId="60259768" w14:textId="77777777" w:rsidR="00231AE4" w:rsidRPr="00F6205B" w:rsidRDefault="00231AE4" w:rsidP="004F23CF">
            <w:pPr>
              <w:keepNext/>
              <w:keepLines/>
              <w:spacing w:after="0"/>
              <w:jc w:val="center"/>
              <w:rPr>
                <w:i/>
                <w:sz w:val="20"/>
                <w:szCs w:val="20"/>
              </w:rPr>
            </w:pPr>
            <w:r w:rsidRPr="00F6205B">
              <w:rPr>
                <w:i/>
                <w:sz w:val="20"/>
                <w:szCs w:val="20"/>
              </w:rPr>
              <w:t>3.5%</w:t>
            </w:r>
          </w:p>
        </w:tc>
        <w:tc>
          <w:tcPr>
            <w:tcW w:w="1195" w:type="dxa"/>
            <w:tcBorders>
              <w:top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1D2E6A3E" w14:textId="77777777" w:rsidR="00231AE4" w:rsidRPr="00F6205B" w:rsidRDefault="00231AE4" w:rsidP="004F23CF">
            <w:pPr>
              <w:keepNext/>
              <w:keepLines/>
              <w:spacing w:after="0"/>
              <w:jc w:val="center"/>
              <w:rPr>
                <w:i/>
                <w:sz w:val="20"/>
                <w:szCs w:val="20"/>
              </w:rPr>
            </w:pPr>
            <w:r w:rsidRPr="00F6205B">
              <w:rPr>
                <w:i/>
                <w:sz w:val="20"/>
                <w:szCs w:val="20"/>
              </w:rPr>
              <w:t>2.3%</w:t>
            </w:r>
          </w:p>
        </w:tc>
      </w:tr>
      <w:tr w:rsidR="00231AE4" w:rsidRPr="00F6205B" w14:paraId="30DC9A1E" w14:textId="77777777" w:rsidTr="00431DEA">
        <w:trPr>
          <w:trHeight w:val="288"/>
          <w:jc w:val="center"/>
        </w:trPr>
        <w:tc>
          <w:tcPr>
            <w:tcW w:w="377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BF81492" w14:textId="77777777" w:rsidR="00231AE4" w:rsidRPr="00F6205B" w:rsidRDefault="00231AE4" w:rsidP="004F23CF">
            <w:pPr>
              <w:keepNext/>
              <w:keepLines/>
              <w:spacing w:after="0"/>
              <w:rPr>
                <w:sz w:val="20"/>
                <w:szCs w:val="20"/>
              </w:rPr>
            </w:pPr>
            <w:r w:rsidRPr="00F6205B">
              <w:rPr>
                <w:sz w:val="20"/>
                <w:szCs w:val="20"/>
              </w:rPr>
              <w:t>100% conversion rate (million MMBtu)</w:t>
            </w:r>
          </w:p>
        </w:tc>
        <w:tc>
          <w:tcPr>
            <w:tcW w:w="981" w:type="dxa"/>
            <w:tcBorders>
              <w:top w:val="single" w:sz="4" w:space="0" w:color="000000" w:themeColor="text1"/>
              <w:bottom w:val="single" w:sz="4" w:space="0" w:color="000000" w:themeColor="text1"/>
              <w:right w:val="single" w:sz="4" w:space="0" w:color="000000" w:themeColor="text1"/>
            </w:tcBorders>
            <w:vAlign w:val="center"/>
          </w:tcPr>
          <w:p w14:paraId="773A1E45" w14:textId="77777777" w:rsidR="00231AE4" w:rsidRPr="00F6205B" w:rsidRDefault="00231AE4" w:rsidP="004F23CF">
            <w:pPr>
              <w:keepNext/>
              <w:keepLines/>
              <w:spacing w:after="0"/>
              <w:jc w:val="center"/>
              <w:rPr>
                <w:sz w:val="20"/>
                <w:szCs w:val="20"/>
              </w:rPr>
            </w:pPr>
            <w:r w:rsidRPr="00F6205B">
              <w:rPr>
                <w:sz w:val="20"/>
                <w:szCs w:val="20"/>
              </w:rPr>
              <w:t>155.9</w:t>
            </w:r>
          </w:p>
        </w:tc>
        <w:tc>
          <w:tcPr>
            <w:tcW w:w="981" w:type="dxa"/>
            <w:tcBorders>
              <w:top w:val="single" w:sz="4" w:space="0" w:color="000000" w:themeColor="text1"/>
              <w:bottom w:val="single" w:sz="4" w:space="0" w:color="000000" w:themeColor="text1"/>
            </w:tcBorders>
            <w:vAlign w:val="center"/>
          </w:tcPr>
          <w:p w14:paraId="0BA83960" w14:textId="77777777" w:rsidR="00231AE4" w:rsidRPr="00F6205B" w:rsidRDefault="00231AE4" w:rsidP="004F23CF">
            <w:pPr>
              <w:keepNext/>
              <w:keepLines/>
              <w:spacing w:after="0"/>
              <w:jc w:val="center"/>
              <w:rPr>
                <w:sz w:val="20"/>
                <w:szCs w:val="20"/>
              </w:rPr>
            </w:pPr>
            <w:r w:rsidRPr="00F6205B">
              <w:rPr>
                <w:sz w:val="20"/>
                <w:szCs w:val="20"/>
              </w:rPr>
              <w:t>145.8</w:t>
            </w:r>
          </w:p>
        </w:tc>
        <w:tc>
          <w:tcPr>
            <w:tcW w:w="981" w:type="dxa"/>
            <w:tcBorders>
              <w:top w:val="single" w:sz="4" w:space="0" w:color="000000" w:themeColor="text1"/>
              <w:bottom w:val="single" w:sz="4" w:space="0" w:color="000000" w:themeColor="text1"/>
            </w:tcBorders>
            <w:vAlign w:val="center"/>
          </w:tcPr>
          <w:p w14:paraId="4FADD88A" w14:textId="77777777" w:rsidR="00231AE4" w:rsidRPr="00F6205B" w:rsidRDefault="00231AE4" w:rsidP="004F23CF">
            <w:pPr>
              <w:keepNext/>
              <w:keepLines/>
              <w:spacing w:after="0"/>
              <w:jc w:val="center"/>
              <w:rPr>
                <w:sz w:val="20"/>
                <w:szCs w:val="20"/>
              </w:rPr>
            </w:pPr>
            <w:r w:rsidRPr="00F6205B">
              <w:rPr>
                <w:sz w:val="20"/>
                <w:szCs w:val="20"/>
              </w:rPr>
              <w:t>135.1</w:t>
            </w:r>
          </w:p>
        </w:tc>
        <w:tc>
          <w:tcPr>
            <w:tcW w:w="981" w:type="dxa"/>
            <w:tcBorders>
              <w:top w:val="single" w:sz="4" w:space="0" w:color="000000" w:themeColor="text1"/>
              <w:bottom w:val="single" w:sz="4" w:space="0" w:color="000000" w:themeColor="text1"/>
            </w:tcBorders>
            <w:vAlign w:val="center"/>
          </w:tcPr>
          <w:p w14:paraId="5B58F69B" w14:textId="77777777" w:rsidR="00231AE4" w:rsidRPr="00F6205B" w:rsidRDefault="00231AE4" w:rsidP="004F23CF">
            <w:pPr>
              <w:keepNext/>
              <w:keepLines/>
              <w:spacing w:after="0"/>
              <w:jc w:val="center"/>
              <w:rPr>
                <w:sz w:val="20"/>
                <w:szCs w:val="20"/>
              </w:rPr>
            </w:pPr>
            <w:r w:rsidRPr="00F6205B">
              <w:rPr>
                <w:sz w:val="20"/>
                <w:szCs w:val="20"/>
              </w:rPr>
              <w:t>124.6</w:t>
            </w:r>
          </w:p>
        </w:tc>
        <w:tc>
          <w:tcPr>
            <w:tcW w:w="981" w:type="dxa"/>
            <w:tcBorders>
              <w:top w:val="single" w:sz="4" w:space="0" w:color="000000" w:themeColor="text1"/>
              <w:bottom w:val="single" w:sz="4" w:space="0" w:color="000000" w:themeColor="text1"/>
            </w:tcBorders>
            <w:vAlign w:val="center"/>
          </w:tcPr>
          <w:p w14:paraId="7EF9754B" w14:textId="77777777" w:rsidR="00231AE4" w:rsidRPr="00F6205B" w:rsidRDefault="00231AE4" w:rsidP="004F23CF">
            <w:pPr>
              <w:keepNext/>
              <w:keepLines/>
              <w:spacing w:after="0"/>
              <w:jc w:val="center"/>
              <w:rPr>
                <w:sz w:val="20"/>
                <w:szCs w:val="20"/>
              </w:rPr>
            </w:pPr>
            <w:r w:rsidRPr="00F6205B">
              <w:rPr>
                <w:sz w:val="20"/>
                <w:szCs w:val="20"/>
              </w:rPr>
              <w:t>114.5</w:t>
            </w:r>
          </w:p>
        </w:tc>
        <w:tc>
          <w:tcPr>
            <w:tcW w:w="1195" w:type="dxa"/>
            <w:tcBorders>
              <w:top w:val="single" w:sz="4" w:space="0" w:color="000000" w:themeColor="text1"/>
              <w:bottom w:val="single" w:sz="4" w:space="0" w:color="000000" w:themeColor="text1"/>
              <w:right w:val="single" w:sz="4" w:space="0" w:color="auto"/>
            </w:tcBorders>
            <w:vAlign w:val="center"/>
          </w:tcPr>
          <w:p w14:paraId="4315A80C" w14:textId="77777777" w:rsidR="00231AE4" w:rsidRPr="00F6205B" w:rsidRDefault="00231AE4" w:rsidP="004F23CF">
            <w:pPr>
              <w:keepNext/>
              <w:keepLines/>
              <w:spacing w:after="0"/>
              <w:jc w:val="center"/>
              <w:rPr>
                <w:sz w:val="20"/>
                <w:szCs w:val="20"/>
              </w:rPr>
            </w:pPr>
            <w:r w:rsidRPr="00F6205B">
              <w:rPr>
                <w:sz w:val="20"/>
                <w:szCs w:val="20"/>
              </w:rPr>
              <w:t>1,350.9</w:t>
            </w:r>
          </w:p>
        </w:tc>
      </w:tr>
      <w:tr w:rsidR="00231AE4" w:rsidRPr="00F6205B" w14:paraId="1749C8AF" w14:textId="77777777" w:rsidTr="00431DEA">
        <w:trPr>
          <w:trHeight w:val="288"/>
          <w:jc w:val="center"/>
        </w:trPr>
        <w:tc>
          <w:tcPr>
            <w:tcW w:w="377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1A114EDC" w14:textId="77777777" w:rsidR="00231AE4" w:rsidRPr="00F6205B" w:rsidRDefault="00231AE4" w:rsidP="004F23CF">
            <w:pPr>
              <w:keepNext/>
              <w:keepLines/>
              <w:spacing w:after="0"/>
              <w:rPr>
                <w:sz w:val="20"/>
                <w:szCs w:val="20"/>
              </w:rPr>
            </w:pPr>
            <w:r w:rsidRPr="00F6205B">
              <w:rPr>
                <w:i/>
                <w:sz w:val="20"/>
                <w:szCs w:val="20"/>
              </w:rPr>
              <w:t xml:space="preserve">  Percent change from base</w:t>
            </w:r>
          </w:p>
        </w:tc>
        <w:tc>
          <w:tcPr>
            <w:tcW w:w="981" w:type="dxa"/>
            <w:tcBorders>
              <w:top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250B1F39" w14:textId="7316AC8E" w:rsidR="00231AE4" w:rsidRPr="00F6205B" w:rsidRDefault="000B3EA9" w:rsidP="004F23CF">
            <w:pPr>
              <w:keepNext/>
              <w:keepLines/>
              <w:spacing w:after="0"/>
              <w:jc w:val="center"/>
              <w:rPr>
                <w:sz w:val="20"/>
                <w:szCs w:val="20"/>
              </w:rPr>
            </w:pPr>
            <w:r w:rsidRPr="00F6205B">
              <w:rPr>
                <w:sz w:val="20"/>
                <w:szCs w:val="20"/>
              </w:rPr>
              <w:t>--</w:t>
            </w:r>
          </w:p>
        </w:tc>
        <w:tc>
          <w:tcPr>
            <w:tcW w:w="981" w:type="dxa"/>
            <w:tcBorders>
              <w:top w:val="single" w:sz="4" w:space="0" w:color="000000" w:themeColor="text1"/>
              <w:left w:val="single" w:sz="4" w:space="0" w:color="000000" w:themeColor="text1"/>
              <w:bottom w:val="single" w:sz="4" w:space="0" w:color="000000" w:themeColor="text1"/>
            </w:tcBorders>
            <w:shd w:val="clear" w:color="auto" w:fill="BFBFBF" w:themeFill="background1" w:themeFillShade="BF"/>
            <w:vAlign w:val="center"/>
          </w:tcPr>
          <w:p w14:paraId="36B98441" w14:textId="77777777" w:rsidR="00231AE4" w:rsidRPr="00F6205B" w:rsidRDefault="00231AE4" w:rsidP="004F23CF">
            <w:pPr>
              <w:keepNext/>
              <w:keepLines/>
              <w:spacing w:after="0"/>
              <w:jc w:val="center"/>
              <w:rPr>
                <w:i/>
                <w:sz w:val="20"/>
                <w:szCs w:val="20"/>
              </w:rPr>
            </w:pPr>
            <w:r w:rsidRPr="00F6205B">
              <w:rPr>
                <w:i/>
                <w:sz w:val="20"/>
                <w:szCs w:val="20"/>
              </w:rPr>
              <w:t>1.4%</w:t>
            </w:r>
          </w:p>
        </w:tc>
        <w:tc>
          <w:tcPr>
            <w:tcW w:w="981" w:type="dxa"/>
            <w:tcBorders>
              <w:top w:val="single" w:sz="4" w:space="0" w:color="000000" w:themeColor="text1"/>
              <w:bottom w:val="single" w:sz="4" w:space="0" w:color="000000" w:themeColor="text1"/>
            </w:tcBorders>
            <w:shd w:val="clear" w:color="auto" w:fill="BFBFBF" w:themeFill="background1" w:themeFillShade="BF"/>
            <w:vAlign w:val="center"/>
          </w:tcPr>
          <w:p w14:paraId="06139473" w14:textId="77777777" w:rsidR="00231AE4" w:rsidRPr="00F6205B" w:rsidRDefault="00231AE4" w:rsidP="004F23CF">
            <w:pPr>
              <w:keepNext/>
              <w:keepLines/>
              <w:spacing w:after="0"/>
              <w:jc w:val="center"/>
              <w:rPr>
                <w:i/>
                <w:sz w:val="20"/>
                <w:szCs w:val="20"/>
              </w:rPr>
            </w:pPr>
            <w:r w:rsidRPr="00F6205B">
              <w:rPr>
                <w:i/>
                <w:sz w:val="20"/>
                <w:szCs w:val="20"/>
              </w:rPr>
              <w:t>2.9%</w:t>
            </w:r>
          </w:p>
        </w:tc>
        <w:tc>
          <w:tcPr>
            <w:tcW w:w="981" w:type="dxa"/>
            <w:tcBorders>
              <w:top w:val="single" w:sz="4" w:space="0" w:color="000000" w:themeColor="text1"/>
              <w:bottom w:val="single" w:sz="4" w:space="0" w:color="000000" w:themeColor="text1"/>
            </w:tcBorders>
            <w:shd w:val="clear" w:color="auto" w:fill="BFBFBF" w:themeFill="background1" w:themeFillShade="BF"/>
            <w:vAlign w:val="center"/>
          </w:tcPr>
          <w:p w14:paraId="3832A34B" w14:textId="77777777" w:rsidR="00231AE4" w:rsidRPr="00F6205B" w:rsidRDefault="00231AE4" w:rsidP="004F23CF">
            <w:pPr>
              <w:keepNext/>
              <w:keepLines/>
              <w:spacing w:after="0"/>
              <w:jc w:val="center"/>
              <w:rPr>
                <w:i/>
                <w:sz w:val="20"/>
                <w:szCs w:val="20"/>
              </w:rPr>
            </w:pPr>
            <w:r w:rsidRPr="00F6205B">
              <w:rPr>
                <w:i/>
                <w:sz w:val="20"/>
                <w:szCs w:val="20"/>
              </w:rPr>
              <w:t>4.6%</w:t>
            </w:r>
          </w:p>
        </w:tc>
        <w:tc>
          <w:tcPr>
            <w:tcW w:w="981" w:type="dxa"/>
            <w:tcBorders>
              <w:top w:val="single" w:sz="4" w:space="0" w:color="000000" w:themeColor="text1"/>
              <w:bottom w:val="single" w:sz="4" w:space="0" w:color="000000" w:themeColor="text1"/>
            </w:tcBorders>
            <w:shd w:val="clear" w:color="auto" w:fill="BFBFBF" w:themeFill="background1" w:themeFillShade="BF"/>
            <w:vAlign w:val="center"/>
          </w:tcPr>
          <w:p w14:paraId="09AF51D6" w14:textId="77777777" w:rsidR="00231AE4" w:rsidRPr="00F6205B" w:rsidRDefault="00231AE4" w:rsidP="004F23CF">
            <w:pPr>
              <w:keepNext/>
              <w:keepLines/>
              <w:spacing w:after="0"/>
              <w:jc w:val="center"/>
              <w:rPr>
                <w:i/>
                <w:sz w:val="20"/>
                <w:szCs w:val="20"/>
              </w:rPr>
            </w:pPr>
            <w:r w:rsidRPr="00F6205B">
              <w:rPr>
                <w:i/>
                <w:sz w:val="20"/>
                <w:szCs w:val="20"/>
              </w:rPr>
              <w:t>6.4%</w:t>
            </w:r>
          </w:p>
        </w:tc>
        <w:tc>
          <w:tcPr>
            <w:tcW w:w="1195" w:type="dxa"/>
            <w:tcBorders>
              <w:top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25E32D33" w14:textId="77777777" w:rsidR="00231AE4" w:rsidRPr="00F6205B" w:rsidRDefault="00231AE4" w:rsidP="004F23CF">
            <w:pPr>
              <w:keepNext/>
              <w:keepLines/>
              <w:spacing w:after="0"/>
              <w:jc w:val="center"/>
              <w:rPr>
                <w:i/>
                <w:sz w:val="20"/>
                <w:szCs w:val="20"/>
              </w:rPr>
            </w:pPr>
            <w:r w:rsidRPr="00F6205B">
              <w:rPr>
                <w:i/>
                <w:sz w:val="20"/>
                <w:szCs w:val="20"/>
              </w:rPr>
              <w:t>3.1%</w:t>
            </w:r>
          </w:p>
        </w:tc>
      </w:tr>
      <w:tr w:rsidR="00431DEA" w:rsidRPr="00F6205B" w14:paraId="3A07F91C" w14:textId="77777777" w:rsidTr="00431DEA">
        <w:trPr>
          <w:trHeight w:val="288"/>
          <w:jc w:val="center"/>
        </w:trPr>
        <w:tc>
          <w:tcPr>
            <w:tcW w:w="9877" w:type="dxa"/>
            <w:gridSpan w:val="7"/>
            <w:tcBorders>
              <w:top w:val="single" w:sz="4" w:space="0" w:color="000000" w:themeColor="text1"/>
              <w:left w:val="single" w:sz="4" w:space="0" w:color="auto"/>
              <w:bottom w:val="single" w:sz="4" w:space="0" w:color="000000" w:themeColor="text1"/>
              <w:right w:val="single" w:sz="4" w:space="0" w:color="auto"/>
            </w:tcBorders>
            <w:shd w:val="clear" w:color="auto" w:fill="404040" w:themeFill="text1" w:themeFillTint="BF"/>
            <w:vAlign w:val="center"/>
          </w:tcPr>
          <w:p w14:paraId="04A49C2C" w14:textId="77777777" w:rsidR="00231AE4" w:rsidRPr="00F6205B" w:rsidRDefault="00231AE4" w:rsidP="004F23CF">
            <w:pPr>
              <w:keepNext/>
              <w:keepLines/>
              <w:spacing w:after="0"/>
              <w:jc w:val="center"/>
              <w:rPr>
                <w:b/>
                <w:color w:val="FFFFFF" w:themeColor="background1"/>
                <w:sz w:val="20"/>
                <w:szCs w:val="20"/>
              </w:rPr>
            </w:pPr>
            <w:r w:rsidRPr="00F6205B">
              <w:rPr>
                <w:b/>
                <w:color w:val="FFFFFF" w:themeColor="background1"/>
                <w:sz w:val="20"/>
                <w:szCs w:val="20"/>
              </w:rPr>
              <w:t>Incentive Impact in Million MMBtu</w:t>
            </w:r>
          </w:p>
        </w:tc>
      </w:tr>
      <w:tr w:rsidR="00231AE4" w:rsidRPr="00F6205B" w14:paraId="14DED19B" w14:textId="77777777" w:rsidTr="00431DEA">
        <w:trPr>
          <w:trHeight w:val="288"/>
          <w:jc w:val="center"/>
        </w:trPr>
        <w:tc>
          <w:tcPr>
            <w:tcW w:w="377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EEC78B1" w14:textId="77777777" w:rsidR="00231AE4" w:rsidRPr="00F6205B" w:rsidRDefault="00231AE4" w:rsidP="004F23CF">
            <w:pPr>
              <w:keepNext/>
              <w:keepLines/>
              <w:spacing w:after="0"/>
              <w:rPr>
                <w:sz w:val="20"/>
                <w:szCs w:val="20"/>
              </w:rPr>
            </w:pPr>
            <w:r w:rsidRPr="00F6205B">
              <w:rPr>
                <w:sz w:val="20"/>
                <w:szCs w:val="20"/>
              </w:rPr>
              <w:t>25% conversion rate (million MMBtu)</w:t>
            </w:r>
          </w:p>
        </w:tc>
        <w:tc>
          <w:tcPr>
            <w:tcW w:w="981" w:type="dxa"/>
            <w:tcBorders>
              <w:top w:val="single" w:sz="4" w:space="0" w:color="000000" w:themeColor="text1"/>
              <w:bottom w:val="single" w:sz="4" w:space="0" w:color="000000" w:themeColor="text1"/>
              <w:right w:val="single" w:sz="4" w:space="0" w:color="000000" w:themeColor="text1"/>
            </w:tcBorders>
            <w:shd w:val="clear" w:color="auto" w:fill="auto"/>
            <w:vAlign w:val="center"/>
          </w:tcPr>
          <w:p w14:paraId="30DF101E" w14:textId="0DB6C25A" w:rsidR="00231AE4" w:rsidRPr="00F6205B" w:rsidRDefault="000B3EA9" w:rsidP="004F23CF">
            <w:pPr>
              <w:keepNext/>
              <w:keepLines/>
              <w:spacing w:after="0"/>
              <w:jc w:val="center"/>
              <w:rPr>
                <w:sz w:val="20"/>
                <w:szCs w:val="20"/>
              </w:rPr>
            </w:pPr>
            <w:r w:rsidRPr="00F6205B">
              <w:rPr>
                <w:sz w:val="20"/>
                <w:szCs w:val="20"/>
              </w:rPr>
              <w:t>--</w:t>
            </w:r>
          </w:p>
        </w:tc>
        <w:tc>
          <w:tcPr>
            <w:tcW w:w="981" w:type="dxa"/>
            <w:tcBorders>
              <w:top w:val="single" w:sz="4" w:space="0" w:color="000000" w:themeColor="text1"/>
              <w:left w:val="single" w:sz="4" w:space="0" w:color="000000" w:themeColor="text1"/>
              <w:bottom w:val="single" w:sz="4" w:space="0" w:color="000000" w:themeColor="text1"/>
            </w:tcBorders>
            <w:vAlign w:val="center"/>
          </w:tcPr>
          <w:p w14:paraId="787A255D" w14:textId="77777777" w:rsidR="00231AE4" w:rsidRPr="00F6205B" w:rsidRDefault="00231AE4" w:rsidP="004F23CF">
            <w:pPr>
              <w:keepNext/>
              <w:keepLines/>
              <w:spacing w:after="0"/>
              <w:jc w:val="center"/>
              <w:rPr>
                <w:sz w:val="20"/>
                <w:szCs w:val="20"/>
              </w:rPr>
            </w:pPr>
            <w:r w:rsidRPr="00F6205B">
              <w:rPr>
                <w:sz w:val="20"/>
                <w:szCs w:val="20"/>
              </w:rPr>
              <w:t>0.5</w:t>
            </w:r>
          </w:p>
        </w:tc>
        <w:tc>
          <w:tcPr>
            <w:tcW w:w="981" w:type="dxa"/>
            <w:tcBorders>
              <w:top w:val="single" w:sz="4" w:space="0" w:color="000000" w:themeColor="text1"/>
              <w:bottom w:val="single" w:sz="4" w:space="0" w:color="000000" w:themeColor="text1"/>
            </w:tcBorders>
            <w:vAlign w:val="center"/>
          </w:tcPr>
          <w:p w14:paraId="00F85228" w14:textId="77777777" w:rsidR="00231AE4" w:rsidRPr="00F6205B" w:rsidRDefault="00231AE4" w:rsidP="004F23CF">
            <w:pPr>
              <w:keepNext/>
              <w:keepLines/>
              <w:spacing w:after="0"/>
              <w:jc w:val="center"/>
              <w:rPr>
                <w:sz w:val="20"/>
                <w:szCs w:val="20"/>
              </w:rPr>
            </w:pPr>
            <w:r w:rsidRPr="00F6205B">
              <w:rPr>
                <w:sz w:val="20"/>
                <w:szCs w:val="20"/>
              </w:rPr>
              <w:t>1.0</w:t>
            </w:r>
          </w:p>
        </w:tc>
        <w:tc>
          <w:tcPr>
            <w:tcW w:w="981" w:type="dxa"/>
            <w:tcBorders>
              <w:top w:val="single" w:sz="4" w:space="0" w:color="000000" w:themeColor="text1"/>
              <w:bottom w:val="single" w:sz="4" w:space="0" w:color="000000" w:themeColor="text1"/>
            </w:tcBorders>
            <w:vAlign w:val="center"/>
          </w:tcPr>
          <w:p w14:paraId="51747543" w14:textId="77777777" w:rsidR="00231AE4" w:rsidRPr="00F6205B" w:rsidRDefault="00231AE4" w:rsidP="004F23CF">
            <w:pPr>
              <w:keepNext/>
              <w:keepLines/>
              <w:spacing w:after="0"/>
              <w:jc w:val="center"/>
              <w:rPr>
                <w:sz w:val="20"/>
                <w:szCs w:val="20"/>
              </w:rPr>
            </w:pPr>
            <w:r w:rsidRPr="00F6205B">
              <w:rPr>
                <w:sz w:val="20"/>
                <w:szCs w:val="20"/>
              </w:rPr>
              <w:t>1.5</w:t>
            </w:r>
          </w:p>
        </w:tc>
        <w:tc>
          <w:tcPr>
            <w:tcW w:w="981" w:type="dxa"/>
            <w:tcBorders>
              <w:top w:val="single" w:sz="4" w:space="0" w:color="000000" w:themeColor="text1"/>
              <w:bottom w:val="single" w:sz="4" w:space="0" w:color="000000" w:themeColor="text1"/>
            </w:tcBorders>
            <w:vAlign w:val="center"/>
          </w:tcPr>
          <w:p w14:paraId="7BC37609" w14:textId="77777777" w:rsidR="00231AE4" w:rsidRPr="00F6205B" w:rsidRDefault="00231AE4" w:rsidP="004F23CF">
            <w:pPr>
              <w:keepNext/>
              <w:keepLines/>
              <w:spacing w:after="0"/>
              <w:jc w:val="center"/>
              <w:rPr>
                <w:sz w:val="20"/>
                <w:szCs w:val="20"/>
              </w:rPr>
            </w:pPr>
            <w:r w:rsidRPr="00F6205B">
              <w:rPr>
                <w:sz w:val="20"/>
                <w:szCs w:val="20"/>
              </w:rPr>
              <w:t>1.9</w:t>
            </w:r>
          </w:p>
        </w:tc>
        <w:tc>
          <w:tcPr>
            <w:tcW w:w="1195" w:type="dxa"/>
            <w:tcBorders>
              <w:top w:val="single" w:sz="4" w:space="0" w:color="000000" w:themeColor="text1"/>
              <w:bottom w:val="single" w:sz="4" w:space="0" w:color="000000" w:themeColor="text1"/>
              <w:right w:val="single" w:sz="4" w:space="0" w:color="auto"/>
            </w:tcBorders>
            <w:vAlign w:val="center"/>
          </w:tcPr>
          <w:p w14:paraId="149435C0" w14:textId="77777777" w:rsidR="00231AE4" w:rsidRPr="00F6205B" w:rsidRDefault="00231AE4" w:rsidP="004F23CF">
            <w:pPr>
              <w:keepNext/>
              <w:keepLines/>
              <w:spacing w:after="0"/>
              <w:jc w:val="center"/>
              <w:rPr>
                <w:sz w:val="20"/>
                <w:szCs w:val="20"/>
              </w:rPr>
            </w:pPr>
            <w:r w:rsidRPr="00F6205B">
              <w:rPr>
                <w:sz w:val="20"/>
                <w:szCs w:val="20"/>
              </w:rPr>
              <w:t>10.9</w:t>
            </w:r>
          </w:p>
        </w:tc>
      </w:tr>
      <w:tr w:rsidR="00231AE4" w:rsidRPr="00F6205B" w14:paraId="73ED3406" w14:textId="77777777" w:rsidTr="00431DEA">
        <w:trPr>
          <w:trHeight w:val="288"/>
          <w:jc w:val="center"/>
        </w:trPr>
        <w:tc>
          <w:tcPr>
            <w:tcW w:w="377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431BEC65" w14:textId="77777777" w:rsidR="00231AE4" w:rsidRPr="00F6205B" w:rsidRDefault="00231AE4" w:rsidP="004F23CF">
            <w:pPr>
              <w:keepNext/>
              <w:keepLines/>
              <w:spacing w:after="0"/>
              <w:rPr>
                <w:sz w:val="20"/>
                <w:szCs w:val="20"/>
              </w:rPr>
            </w:pPr>
            <w:r w:rsidRPr="00F6205B">
              <w:rPr>
                <w:sz w:val="20"/>
                <w:szCs w:val="20"/>
              </w:rPr>
              <w:t>50% conversion rate (million MMBtu)</w:t>
            </w:r>
          </w:p>
        </w:tc>
        <w:tc>
          <w:tcPr>
            <w:tcW w:w="981" w:type="dxa"/>
            <w:tcBorders>
              <w:top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2148A44D" w14:textId="7D8E7866" w:rsidR="00231AE4" w:rsidRPr="00F6205B" w:rsidRDefault="000B3EA9" w:rsidP="004F23CF">
            <w:pPr>
              <w:keepNext/>
              <w:keepLines/>
              <w:spacing w:after="0"/>
              <w:jc w:val="center"/>
              <w:rPr>
                <w:sz w:val="20"/>
                <w:szCs w:val="20"/>
              </w:rPr>
            </w:pPr>
            <w:r w:rsidRPr="00F6205B">
              <w:rPr>
                <w:sz w:val="20"/>
                <w:szCs w:val="20"/>
              </w:rPr>
              <w:t>--</w:t>
            </w:r>
          </w:p>
        </w:tc>
        <w:tc>
          <w:tcPr>
            <w:tcW w:w="981" w:type="dxa"/>
            <w:tcBorders>
              <w:top w:val="single" w:sz="4" w:space="0" w:color="000000" w:themeColor="text1"/>
              <w:left w:val="single" w:sz="4" w:space="0" w:color="000000" w:themeColor="text1"/>
              <w:bottom w:val="single" w:sz="4" w:space="0" w:color="000000" w:themeColor="text1"/>
            </w:tcBorders>
            <w:shd w:val="clear" w:color="auto" w:fill="BFBFBF" w:themeFill="background1" w:themeFillShade="BF"/>
            <w:vAlign w:val="center"/>
          </w:tcPr>
          <w:p w14:paraId="7AD3EDFE" w14:textId="77777777" w:rsidR="00231AE4" w:rsidRPr="00F6205B" w:rsidRDefault="00231AE4" w:rsidP="004F23CF">
            <w:pPr>
              <w:keepNext/>
              <w:keepLines/>
              <w:spacing w:after="0"/>
              <w:jc w:val="center"/>
              <w:rPr>
                <w:sz w:val="20"/>
                <w:szCs w:val="20"/>
              </w:rPr>
            </w:pPr>
            <w:r w:rsidRPr="00F6205B">
              <w:rPr>
                <w:sz w:val="20"/>
                <w:szCs w:val="20"/>
              </w:rPr>
              <w:t>1.1</w:t>
            </w:r>
          </w:p>
        </w:tc>
        <w:tc>
          <w:tcPr>
            <w:tcW w:w="981" w:type="dxa"/>
            <w:tcBorders>
              <w:top w:val="single" w:sz="4" w:space="0" w:color="000000" w:themeColor="text1"/>
              <w:bottom w:val="single" w:sz="4" w:space="0" w:color="000000" w:themeColor="text1"/>
            </w:tcBorders>
            <w:shd w:val="clear" w:color="auto" w:fill="BFBFBF" w:themeFill="background1" w:themeFillShade="BF"/>
            <w:vAlign w:val="center"/>
          </w:tcPr>
          <w:p w14:paraId="2F5E292D" w14:textId="77777777" w:rsidR="00231AE4" w:rsidRPr="00F6205B" w:rsidRDefault="00231AE4" w:rsidP="004F23CF">
            <w:pPr>
              <w:keepNext/>
              <w:keepLines/>
              <w:spacing w:after="0"/>
              <w:jc w:val="center"/>
              <w:rPr>
                <w:sz w:val="20"/>
                <w:szCs w:val="20"/>
              </w:rPr>
            </w:pPr>
            <w:r w:rsidRPr="00F6205B">
              <w:rPr>
                <w:sz w:val="20"/>
                <w:szCs w:val="20"/>
              </w:rPr>
              <w:t>2.1</w:t>
            </w:r>
          </w:p>
        </w:tc>
        <w:tc>
          <w:tcPr>
            <w:tcW w:w="981" w:type="dxa"/>
            <w:tcBorders>
              <w:top w:val="single" w:sz="4" w:space="0" w:color="000000" w:themeColor="text1"/>
              <w:bottom w:val="single" w:sz="4" w:space="0" w:color="000000" w:themeColor="text1"/>
            </w:tcBorders>
            <w:shd w:val="clear" w:color="auto" w:fill="BFBFBF" w:themeFill="background1" w:themeFillShade="BF"/>
            <w:vAlign w:val="center"/>
          </w:tcPr>
          <w:p w14:paraId="4A5E7F96" w14:textId="77777777" w:rsidR="00231AE4" w:rsidRPr="00F6205B" w:rsidRDefault="00231AE4" w:rsidP="004F23CF">
            <w:pPr>
              <w:keepNext/>
              <w:keepLines/>
              <w:spacing w:after="0"/>
              <w:jc w:val="center"/>
              <w:rPr>
                <w:sz w:val="20"/>
                <w:szCs w:val="20"/>
              </w:rPr>
            </w:pPr>
            <w:r w:rsidRPr="00F6205B">
              <w:rPr>
                <w:sz w:val="20"/>
                <w:szCs w:val="20"/>
              </w:rPr>
              <w:t>3.0</w:t>
            </w:r>
          </w:p>
        </w:tc>
        <w:tc>
          <w:tcPr>
            <w:tcW w:w="981" w:type="dxa"/>
            <w:tcBorders>
              <w:top w:val="single" w:sz="4" w:space="0" w:color="000000" w:themeColor="text1"/>
              <w:bottom w:val="single" w:sz="4" w:space="0" w:color="000000" w:themeColor="text1"/>
            </w:tcBorders>
            <w:shd w:val="clear" w:color="auto" w:fill="BFBFBF" w:themeFill="background1" w:themeFillShade="BF"/>
            <w:vAlign w:val="center"/>
          </w:tcPr>
          <w:p w14:paraId="265167F9" w14:textId="77777777" w:rsidR="00231AE4" w:rsidRPr="00F6205B" w:rsidRDefault="00231AE4" w:rsidP="004F23CF">
            <w:pPr>
              <w:keepNext/>
              <w:keepLines/>
              <w:spacing w:after="0"/>
              <w:jc w:val="center"/>
              <w:rPr>
                <w:sz w:val="20"/>
                <w:szCs w:val="20"/>
              </w:rPr>
            </w:pPr>
            <w:r w:rsidRPr="00F6205B">
              <w:rPr>
                <w:sz w:val="20"/>
                <w:szCs w:val="20"/>
              </w:rPr>
              <w:t>3.9</w:t>
            </w:r>
          </w:p>
        </w:tc>
        <w:tc>
          <w:tcPr>
            <w:tcW w:w="1195" w:type="dxa"/>
            <w:tcBorders>
              <w:top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1C0E8411" w14:textId="77777777" w:rsidR="00231AE4" w:rsidRPr="00F6205B" w:rsidRDefault="00231AE4" w:rsidP="004F23CF">
            <w:pPr>
              <w:keepNext/>
              <w:keepLines/>
              <w:spacing w:after="0"/>
              <w:jc w:val="center"/>
              <w:rPr>
                <w:sz w:val="20"/>
                <w:szCs w:val="20"/>
              </w:rPr>
            </w:pPr>
            <w:r w:rsidRPr="00F6205B">
              <w:rPr>
                <w:sz w:val="20"/>
                <w:szCs w:val="20"/>
              </w:rPr>
              <w:t>21.9</w:t>
            </w:r>
          </w:p>
        </w:tc>
      </w:tr>
      <w:tr w:rsidR="00231AE4" w:rsidRPr="00F6205B" w14:paraId="6BC87FDF" w14:textId="77777777" w:rsidTr="00431DEA">
        <w:trPr>
          <w:trHeight w:val="288"/>
          <w:jc w:val="center"/>
        </w:trPr>
        <w:tc>
          <w:tcPr>
            <w:tcW w:w="377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DF1BEB1" w14:textId="77777777" w:rsidR="00231AE4" w:rsidRPr="00F6205B" w:rsidRDefault="00231AE4" w:rsidP="004F23CF">
            <w:pPr>
              <w:keepNext/>
              <w:keepLines/>
              <w:spacing w:after="0"/>
              <w:rPr>
                <w:sz w:val="20"/>
                <w:szCs w:val="20"/>
              </w:rPr>
            </w:pPr>
            <w:r w:rsidRPr="00F6205B">
              <w:rPr>
                <w:sz w:val="20"/>
                <w:szCs w:val="20"/>
              </w:rPr>
              <w:t>75% conversion rate (million MMBtu)</w:t>
            </w:r>
          </w:p>
        </w:tc>
        <w:tc>
          <w:tcPr>
            <w:tcW w:w="981" w:type="dxa"/>
            <w:tcBorders>
              <w:top w:val="single" w:sz="4" w:space="0" w:color="000000" w:themeColor="text1"/>
              <w:bottom w:val="single" w:sz="4" w:space="0" w:color="000000" w:themeColor="text1"/>
              <w:right w:val="single" w:sz="4" w:space="0" w:color="000000" w:themeColor="text1"/>
            </w:tcBorders>
            <w:shd w:val="clear" w:color="auto" w:fill="auto"/>
            <w:vAlign w:val="center"/>
          </w:tcPr>
          <w:p w14:paraId="6E2D7785" w14:textId="475B26C9" w:rsidR="00231AE4" w:rsidRPr="00F6205B" w:rsidRDefault="000B3EA9" w:rsidP="004F23CF">
            <w:pPr>
              <w:keepNext/>
              <w:keepLines/>
              <w:spacing w:after="0"/>
              <w:jc w:val="center"/>
              <w:rPr>
                <w:sz w:val="20"/>
                <w:szCs w:val="20"/>
              </w:rPr>
            </w:pPr>
            <w:r w:rsidRPr="00F6205B">
              <w:rPr>
                <w:sz w:val="20"/>
                <w:szCs w:val="20"/>
              </w:rPr>
              <w:t>--</w:t>
            </w:r>
          </w:p>
        </w:tc>
        <w:tc>
          <w:tcPr>
            <w:tcW w:w="981" w:type="dxa"/>
            <w:tcBorders>
              <w:top w:val="single" w:sz="4" w:space="0" w:color="000000" w:themeColor="text1"/>
              <w:left w:val="single" w:sz="4" w:space="0" w:color="000000" w:themeColor="text1"/>
              <w:bottom w:val="single" w:sz="4" w:space="0" w:color="000000" w:themeColor="text1"/>
            </w:tcBorders>
            <w:vAlign w:val="center"/>
          </w:tcPr>
          <w:p w14:paraId="614F26D2" w14:textId="77777777" w:rsidR="00231AE4" w:rsidRPr="00F6205B" w:rsidRDefault="00231AE4" w:rsidP="004F23CF">
            <w:pPr>
              <w:keepNext/>
              <w:keepLines/>
              <w:spacing w:after="0"/>
              <w:jc w:val="center"/>
              <w:rPr>
                <w:sz w:val="20"/>
                <w:szCs w:val="20"/>
              </w:rPr>
            </w:pPr>
            <w:r w:rsidRPr="00F6205B">
              <w:rPr>
                <w:sz w:val="20"/>
                <w:szCs w:val="20"/>
              </w:rPr>
              <w:t>1.5</w:t>
            </w:r>
          </w:p>
        </w:tc>
        <w:tc>
          <w:tcPr>
            <w:tcW w:w="981" w:type="dxa"/>
            <w:tcBorders>
              <w:top w:val="single" w:sz="4" w:space="0" w:color="000000" w:themeColor="text1"/>
              <w:bottom w:val="single" w:sz="4" w:space="0" w:color="000000" w:themeColor="text1"/>
            </w:tcBorders>
            <w:vAlign w:val="center"/>
          </w:tcPr>
          <w:p w14:paraId="349129B8" w14:textId="77777777" w:rsidR="00231AE4" w:rsidRPr="00F6205B" w:rsidRDefault="00231AE4" w:rsidP="004F23CF">
            <w:pPr>
              <w:keepNext/>
              <w:keepLines/>
              <w:spacing w:after="0"/>
              <w:jc w:val="center"/>
              <w:rPr>
                <w:sz w:val="20"/>
                <w:szCs w:val="20"/>
              </w:rPr>
            </w:pPr>
            <w:r w:rsidRPr="00F6205B">
              <w:rPr>
                <w:sz w:val="20"/>
                <w:szCs w:val="20"/>
              </w:rPr>
              <w:t>3.0</w:t>
            </w:r>
          </w:p>
        </w:tc>
        <w:tc>
          <w:tcPr>
            <w:tcW w:w="981" w:type="dxa"/>
            <w:tcBorders>
              <w:top w:val="single" w:sz="4" w:space="0" w:color="000000" w:themeColor="text1"/>
              <w:bottom w:val="single" w:sz="4" w:space="0" w:color="000000" w:themeColor="text1"/>
            </w:tcBorders>
            <w:vAlign w:val="center"/>
          </w:tcPr>
          <w:p w14:paraId="3FFA531B" w14:textId="77777777" w:rsidR="00231AE4" w:rsidRPr="00F6205B" w:rsidRDefault="00231AE4" w:rsidP="004F23CF">
            <w:pPr>
              <w:keepNext/>
              <w:keepLines/>
              <w:spacing w:after="0"/>
              <w:jc w:val="center"/>
              <w:rPr>
                <w:sz w:val="20"/>
                <w:szCs w:val="20"/>
              </w:rPr>
            </w:pPr>
            <w:r w:rsidRPr="00F6205B">
              <w:rPr>
                <w:sz w:val="20"/>
                <w:szCs w:val="20"/>
              </w:rPr>
              <w:t>4.5</w:t>
            </w:r>
          </w:p>
        </w:tc>
        <w:tc>
          <w:tcPr>
            <w:tcW w:w="981" w:type="dxa"/>
            <w:tcBorders>
              <w:top w:val="single" w:sz="4" w:space="0" w:color="000000" w:themeColor="text1"/>
              <w:bottom w:val="single" w:sz="4" w:space="0" w:color="000000" w:themeColor="text1"/>
            </w:tcBorders>
            <w:vAlign w:val="center"/>
          </w:tcPr>
          <w:p w14:paraId="015315CB" w14:textId="77777777" w:rsidR="00231AE4" w:rsidRPr="00F6205B" w:rsidRDefault="00231AE4" w:rsidP="004F23CF">
            <w:pPr>
              <w:keepNext/>
              <w:keepLines/>
              <w:spacing w:after="0"/>
              <w:jc w:val="center"/>
              <w:rPr>
                <w:sz w:val="20"/>
                <w:szCs w:val="20"/>
              </w:rPr>
            </w:pPr>
            <w:r w:rsidRPr="00F6205B">
              <w:rPr>
                <w:sz w:val="20"/>
                <w:szCs w:val="20"/>
              </w:rPr>
              <w:t>5.9</w:t>
            </w:r>
          </w:p>
        </w:tc>
        <w:tc>
          <w:tcPr>
            <w:tcW w:w="1195" w:type="dxa"/>
            <w:tcBorders>
              <w:top w:val="single" w:sz="4" w:space="0" w:color="000000" w:themeColor="text1"/>
              <w:bottom w:val="single" w:sz="4" w:space="0" w:color="000000" w:themeColor="text1"/>
              <w:right w:val="single" w:sz="4" w:space="0" w:color="auto"/>
            </w:tcBorders>
            <w:vAlign w:val="center"/>
          </w:tcPr>
          <w:p w14:paraId="6B77BE32" w14:textId="77777777" w:rsidR="00231AE4" w:rsidRPr="00F6205B" w:rsidRDefault="00231AE4" w:rsidP="004F23CF">
            <w:pPr>
              <w:keepNext/>
              <w:keepLines/>
              <w:spacing w:after="0"/>
              <w:jc w:val="center"/>
              <w:rPr>
                <w:sz w:val="20"/>
                <w:szCs w:val="20"/>
              </w:rPr>
            </w:pPr>
            <w:r w:rsidRPr="00F6205B">
              <w:rPr>
                <w:sz w:val="20"/>
                <w:szCs w:val="20"/>
              </w:rPr>
              <w:t>32.8</w:t>
            </w:r>
          </w:p>
        </w:tc>
      </w:tr>
      <w:tr w:rsidR="00231AE4" w:rsidRPr="00F6205B" w14:paraId="054FEAE9" w14:textId="77777777" w:rsidTr="00431DEA">
        <w:trPr>
          <w:trHeight w:val="288"/>
          <w:jc w:val="center"/>
        </w:trPr>
        <w:tc>
          <w:tcPr>
            <w:tcW w:w="3777" w:type="dxa"/>
            <w:tcBorders>
              <w:top w:val="single" w:sz="4" w:space="0" w:color="000000" w:themeColor="text1"/>
              <w:left w:val="single" w:sz="4" w:space="0" w:color="auto"/>
              <w:bottom w:val="single" w:sz="4" w:space="0" w:color="auto"/>
              <w:right w:val="single" w:sz="4" w:space="0" w:color="000000" w:themeColor="text1"/>
            </w:tcBorders>
            <w:shd w:val="clear" w:color="auto" w:fill="BFBFBF" w:themeFill="background1" w:themeFillShade="BF"/>
            <w:vAlign w:val="center"/>
          </w:tcPr>
          <w:p w14:paraId="05DE6F33" w14:textId="77777777" w:rsidR="00231AE4" w:rsidRPr="00F6205B" w:rsidRDefault="00231AE4" w:rsidP="004F23CF">
            <w:pPr>
              <w:keepNext/>
              <w:keepLines/>
              <w:spacing w:after="0"/>
              <w:rPr>
                <w:sz w:val="20"/>
                <w:szCs w:val="20"/>
              </w:rPr>
            </w:pPr>
            <w:r w:rsidRPr="00F6205B">
              <w:rPr>
                <w:sz w:val="20"/>
                <w:szCs w:val="20"/>
              </w:rPr>
              <w:t>100% conversion rate (million MMBtu)</w:t>
            </w:r>
          </w:p>
        </w:tc>
        <w:tc>
          <w:tcPr>
            <w:tcW w:w="981" w:type="dxa"/>
            <w:tcBorders>
              <w:top w:val="single" w:sz="4" w:space="0" w:color="000000" w:themeColor="text1"/>
              <w:bottom w:val="single" w:sz="4" w:space="0" w:color="auto"/>
              <w:right w:val="single" w:sz="4" w:space="0" w:color="000000" w:themeColor="text1"/>
            </w:tcBorders>
            <w:shd w:val="clear" w:color="auto" w:fill="BFBFBF" w:themeFill="background1" w:themeFillShade="BF"/>
            <w:vAlign w:val="center"/>
          </w:tcPr>
          <w:p w14:paraId="415C9B45" w14:textId="16C1C397" w:rsidR="00231AE4" w:rsidRPr="00F6205B" w:rsidRDefault="000B3EA9" w:rsidP="004F23CF">
            <w:pPr>
              <w:keepNext/>
              <w:keepLines/>
              <w:spacing w:after="0"/>
              <w:jc w:val="center"/>
              <w:rPr>
                <w:sz w:val="20"/>
                <w:szCs w:val="20"/>
              </w:rPr>
            </w:pPr>
            <w:r w:rsidRPr="00F6205B">
              <w:rPr>
                <w:sz w:val="20"/>
                <w:szCs w:val="20"/>
              </w:rPr>
              <w:t>--</w:t>
            </w:r>
          </w:p>
        </w:tc>
        <w:tc>
          <w:tcPr>
            <w:tcW w:w="981" w:type="dxa"/>
            <w:tcBorders>
              <w:top w:val="single" w:sz="4" w:space="0" w:color="000000" w:themeColor="text1"/>
              <w:left w:val="single" w:sz="4" w:space="0" w:color="000000" w:themeColor="text1"/>
              <w:bottom w:val="single" w:sz="4" w:space="0" w:color="auto"/>
            </w:tcBorders>
            <w:shd w:val="clear" w:color="auto" w:fill="BFBFBF" w:themeFill="background1" w:themeFillShade="BF"/>
            <w:vAlign w:val="center"/>
          </w:tcPr>
          <w:p w14:paraId="18BD7232" w14:textId="77777777" w:rsidR="00231AE4" w:rsidRPr="00F6205B" w:rsidRDefault="00231AE4" w:rsidP="004F23CF">
            <w:pPr>
              <w:keepNext/>
              <w:keepLines/>
              <w:spacing w:after="0"/>
              <w:jc w:val="center"/>
              <w:rPr>
                <w:sz w:val="20"/>
                <w:szCs w:val="20"/>
              </w:rPr>
            </w:pPr>
            <w:r w:rsidRPr="00F6205B">
              <w:rPr>
                <w:sz w:val="20"/>
                <w:szCs w:val="20"/>
              </w:rPr>
              <w:t>2.1</w:t>
            </w:r>
          </w:p>
        </w:tc>
        <w:tc>
          <w:tcPr>
            <w:tcW w:w="981" w:type="dxa"/>
            <w:tcBorders>
              <w:top w:val="single" w:sz="4" w:space="0" w:color="000000" w:themeColor="text1"/>
              <w:bottom w:val="single" w:sz="4" w:space="0" w:color="auto"/>
            </w:tcBorders>
            <w:shd w:val="clear" w:color="auto" w:fill="BFBFBF" w:themeFill="background1" w:themeFillShade="BF"/>
            <w:vAlign w:val="center"/>
          </w:tcPr>
          <w:p w14:paraId="36D2B09F" w14:textId="77777777" w:rsidR="00231AE4" w:rsidRPr="00F6205B" w:rsidRDefault="00231AE4" w:rsidP="004F23CF">
            <w:pPr>
              <w:keepNext/>
              <w:keepLines/>
              <w:spacing w:after="0"/>
              <w:jc w:val="center"/>
              <w:rPr>
                <w:sz w:val="20"/>
                <w:szCs w:val="20"/>
              </w:rPr>
            </w:pPr>
            <w:r w:rsidRPr="00F6205B">
              <w:rPr>
                <w:sz w:val="20"/>
                <w:szCs w:val="20"/>
              </w:rPr>
              <w:t>4.0</w:t>
            </w:r>
          </w:p>
        </w:tc>
        <w:tc>
          <w:tcPr>
            <w:tcW w:w="981" w:type="dxa"/>
            <w:tcBorders>
              <w:top w:val="single" w:sz="4" w:space="0" w:color="000000" w:themeColor="text1"/>
              <w:bottom w:val="single" w:sz="4" w:space="0" w:color="auto"/>
            </w:tcBorders>
            <w:shd w:val="clear" w:color="auto" w:fill="BFBFBF" w:themeFill="background1" w:themeFillShade="BF"/>
            <w:vAlign w:val="center"/>
          </w:tcPr>
          <w:p w14:paraId="4BCE900A" w14:textId="77777777" w:rsidR="00231AE4" w:rsidRPr="00F6205B" w:rsidRDefault="00231AE4" w:rsidP="004F23CF">
            <w:pPr>
              <w:keepNext/>
              <w:keepLines/>
              <w:spacing w:after="0"/>
              <w:jc w:val="center"/>
              <w:rPr>
                <w:sz w:val="20"/>
                <w:szCs w:val="20"/>
              </w:rPr>
            </w:pPr>
            <w:r w:rsidRPr="00F6205B">
              <w:rPr>
                <w:sz w:val="20"/>
                <w:szCs w:val="20"/>
              </w:rPr>
              <w:t>6.0</w:t>
            </w:r>
          </w:p>
        </w:tc>
        <w:tc>
          <w:tcPr>
            <w:tcW w:w="981" w:type="dxa"/>
            <w:tcBorders>
              <w:top w:val="single" w:sz="4" w:space="0" w:color="000000" w:themeColor="text1"/>
              <w:bottom w:val="single" w:sz="4" w:space="0" w:color="auto"/>
            </w:tcBorders>
            <w:shd w:val="clear" w:color="auto" w:fill="BFBFBF" w:themeFill="background1" w:themeFillShade="BF"/>
            <w:vAlign w:val="center"/>
          </w:tcPr>
          <w:p w14:paraId="4E78A606" w14:textId="77777777" w:rsidR="00231AE4" w:rsidRPr="00F6205B" w:rsidRDefault="00231AE4" w:rsidP="004F23CF">
            <w:pPr>
              <w:keepNext/>
              <w:keepLines/>
              <w:spacing w:after="0"/>
              <w:jc w:val="center"/>
              <w:rPr>
                <w:sz w:val="20"/>
                <w:szCs w:val="20"/>
              </w:rPr>
            </w:pPr>
            <w:r w:rsidRPr="00F6205B">
              <w:rPr>
                <w:sz w:val="20"/>
                <w:szCs w:val="20"/>
              </w:rPr>
              <w:t>7.8</w:t>
            </w:r>
          </w:p>
        </w:tc>
        <w:tc>
          <w:tcPr>
            <w:tcW w:w="1195" w:type="dxa"/>
            <w:tcBorders>
              <w:top w:val="single" w:sz="4" w:space="0" w:color="000000" w:themeColor="text1"/>
              <w:bottom w:val="single" w:sz="4" w:space="0" w:color="auto"/>
              <w:right w:val="single" w:sz="4" w:space="0" w:color="auto"/>
            </w:tcBorders>
            <w:shd w:val="clear" w:color="auto" w:fill="BFBFBF" w:themeFill="background1" w:themeFillShade="BF"/>
            <w:vAlign w:val="center"/>
          </w:tcPr>
          <w:p w14:paraId="05861E95" w14:textId="77777777" w:rsidR="00231AE4" w:rsidRPr="00F6205B" w:rsidRDefault="00231AE4" w:rsidP="004F23CF">
            <w:pPr>
              <w:keepNext/>
              <w:keepLines/>
              <w:spacing w:after="0"/>
              <w:jc w:val="center"/>
              <w:rPr>
                <w:sz w:val="20"/>
                <w:szCs w:val="20"/>
              </w:rPr>
            </w:pPr>
            <w:r w:rsidRPr="00F6205B">
              <w:rPr>
                <w:sz w:val="20"/>
                <w:szCs w:val="20"/>
              </w:rPr>
              <w:t>43.8</w:t>
            </w:r>
          </w:p>
        </w:tc>
      </w:tr>
    </w:tbl>
    <w:p w14:paraId="65F3A9A2" w14:textId="77777777" w:rsidR="00231AE4" w:rsidRPr="00F6205B" w:rsidRDefault="00231AE4" w:rsidP="00231AE4"/>
    <w:p w14:paraId="4FBFA682" w14:textId="06051855" w:rsidR="00231AE4" w:rsidRPr="00F6205B" w:rsidRDefault="00231AE4" w:rsidP="00231AE4">
      <w:pPr>
        <w:keepNext/>
      </w:pPr>
      <w:r w:rsidRPr="00F6205B">
        <w:t xml:space="preserve">As </w:t>
      </w:r>
      <w:r w:rsidR="001B22F1" w:rsidRPr="00F6205B">
        <w:fldChar w:fldCharType="begin"/>
      </w:r>
      <w:r w:rsidR="001B22F1" w:rsidRPr="00F6205B">
        <w:instrText xml:space="preserve"> REF _Ref439331985 \h </w:instrText>
      </w:r>
      <w:r w:rsidR="00F6205B">
        <w:instrText xml:space="preserve"> \* MERGEFORMAT </w:instrText>
      </w:r>
      <w:r w:rsidR="001B22F1" w:rsidRPr="00F6205B">
        <w:fldChar w:fldCharType="separate"/>
      </w:r>
      <w:r w:rsidR="00FA26A9" w:rsidRPr="00F6205B">
        <w:t xml:space="preserve">Figure </w:t>
      </w:r>
      <w:r w:rsidR="00FA26A9">
        <w:rPr>
          <w:noProof/>
        </w:rPr>
        <w:t>21</w:t>
      </w:r>
      <w:r w:rsidR="001B22F1" w:rsidRPr="00F6205B">
        <w:fldChar w:fldCharType="end"/>
      </w:r>
      <w:r w:rsidR="001B22F1" w:rsidRPr="00F6205B">
        <w:t xml:space="preserve"> and </w:t>
      </w:r>
      <w:r w:rsidR="001B22F1" w:rsidRPr="00F6205B">
        <w:fldChar w:fldCharType="begin"/>
      </w:r>
      <w:r w:rsidR="001B22F1" w:rsidRPr="00F6205B">
        <w:instrText xml:space="preserve"> REF _Ref439331986 \h </w:instrText>
      </w:r>
      <w:r w:rsidR="00F6205B">
        <w:instrText xml:space="preserve"> \* MERGEFORMAT </w:instrText>
      </w:r>
      <w:r w:rsidR="001B22F1" w:rsidRPr="00F6205B">
        <w:fldChar w:fldCharType="separate"/>
      </w:r>
      <w:r w:rsidR="00FA26A9" w:rsidRPr="00F6205B">
        <w:t xml:space="preserve">Figure </w:t>
      </w:r>
      <w:r w:rsidR="00FA26A9">
        <w:rPr>
          <w:noProof/>
        </w:rPr>
        <w:t>22</w:t>
      </w:r>
      <w:r w:rsidR="001B22F1" w:rsidRPr="00F6205B">
        <w:fldChar w:fldCharType="end"/>
      </w:r>
      <w:r w:rsidRPr="00F6205B">
        <w:t xml:space="preserve"> demonstrate, total annual fuel consumption in the state will decrease by 5% in the next decade (from 155.9 million MMBtu to 147.7 million MMBtu) if left on its current trajectory. Fuel switching could potentially lead to an additional 4% (base </w:t>
      </w:r>
      <w:r w:rsidRPr="00F6205B">
        <w:lastRenderedPageBreak/>
        <w:t>case scenario with 25% conversion rate) to 22% (upgrade case scenario with 100% conversion rate) decrease in annual fuel consumption in MMBtu in that same time period.</w:t>
      </w:r>
    </w:p>
    <w:p w14:paraId="0663B055" w14:textId="39DC4D7D" w:rsidR="00231AE4" w:rsidRPr="00F6205B" w:rsidRDefault="00231AE4" w:rsidP="004F23CF">
      <w:pPr>
        <w:pStyle w:val="Caption"/>
      </w:pPr>
      <w:bookmarkStart w:id="354" w:name="_Ref372018014"/>
      <w:bookmarkStart w:id="355" w:name="_Ref439331985"/>
      <w:bookmarkStart w:id="356" w:name="_Toc373318449"/>
      <w:bookmarkStart w:id="357" w:name="_Toc391887407"/>
      <w:bookmarkStart w:id="358" w:name="_Toc439931814"/>
      <w:r w:rsidRPr="00F6205B">
        <w:t>Figure</w:t>
      </w:r>
      <w:bookmarkEnd w:id="354"/>
      <w:r w:rsidR="004F23CF" w:rsidRPr="00F6205B">
        <w:t xml:space="preserve"> </w:t>
      </w:r>
      <w:fldSimple w:instr=" SEQ Figure \* ARABIC ">
        <w:r w:rsidR="00FA26A9">
          <w:rPr>
            <w:noProof/>
          </w:rPr>
          <w:t>21</w:t>
        </w:r>
      </w:fldSimple>
      <w:bookmarkEnd w:id="355"/>
      <w:r w:rsidRPr="00F6205B">
        <w:t xml:space="preserve">: </w:t>
      </w:r>
      <w:r w:rsidR="00501AE4">
        <w:t>Fuel Switching—</w:t>
      </w:r>
      <w:r w:rsidRPr="00F6205B">
        <w:t>Change in Total Consumption in MMBtu, Base Case Scenario</w:t>
      </w:r>
      <w:bookmarkEnd w:id="356"/>
      <w:bookmarkEnd w:id="357"/>
      <w:bookmarkEnd w:id="358"/>
    </w:p>
    <w:p w14:paraId="6AE6C164" w14:textId="19DAC0C2" w:rsidR="00346A82" w:rsidRPr="00F6205B" w:rsidRDefault="00346A82" w:rsidP="00346A82">
      <w:pPr>
        <w:pStyle w:val="Caption"/>
        <w:spacing w:before="0" w:after="120"/>
        <w:rPr>
          <w:b w:val="0"/>
          <w:bCs w:val="0"/>
          <w:sz w:val="18"/>
        </w:rPr>
      </w:pPr>
      <w:r w:rsidRPr="00F6205B">
        <w:rPr>
          <w:b w:val="0"/>
          <w:bCs w:val="0"/>
          <w:sz w:val="18"/>
        </w:rPr>
        <w:t>Base: all single-family homes (population-weighted)</w:t>
      </w:r>
    </w:p>
    <w:p w14:paraId="39705DF5" w14:textId="77777777" w:rsidR="00231AE4" w:rsidRPr="00F6205B" w:rsidRDefault="00231AE4" w:rsidP="00231AE4">
      <w:pPr>
        <w:keepNext/>
        <w:spacing w:after="0"/>
        <w:jc w:val="center"/>
      </w:pPr>
      <w:r w:rsidRPr="00F6205B">
        <w:rPr>
          <w:noProof/>
          <w:lang w:bidi="ar-SA"/>
        </w:rPr>
        <w:drawing>
          <wp:inline distT="0" distB="0" distL="0" distR="0" wp14:anchorId="39860AEE" wp14:editId="5CB17F61">
            <wp:extent cx="4858428" cy="2800741"/>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Btu Base Case.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858428" cy="2800741"/>
                    </a:xfrm>
                    <a:prstGeom prst="rect">
                      <a:avLst/>
                    </a:prstGeom>
                  </pic:spPr>
                </pic:pic>
              </a:graphicData>
            </a:graphic>
          </wp:inline>
        </w:drawing>
      </w:r>
    </w:p>
    <w:p w14:paraId="26D158DF" w14:textId="377C51CD" w:rsidR="00231AE4" w:rsidRPr="00F6205B" w:rsidRDefault="00231AE4" w:rsidP="004F23CF">
      <w:pPr>
        <w:pStyle w:val="Caption"/>
      </w:pPr>
      <w:bookmarkStart w:id="359" w:name="_Ref372018020"/>
      <w:bookmarkStart w:id="360" w:name="_Ref439331986"/>
      <w:bookmarkStart w:id="361" w:name="_Toc373318450"/>
      <w:bookmarkStart w:id="362" w:name="_Toc391887408"/>
      <w:bookmarkStart w:id="363" w:name="_Toc439931815"/>
      <w:r w:rsidRPr="00F6205B">
        <w:t>Figure</w:t>
      </w:r>
      <w:bookmarkEnd w:id="359"/>
      <w:r w:rsidR="004F23CF" w:rsidRPr="00F6205B">
        <w:t xml:space="preserve"> </w:t>
      </w:r>
      <w:fldSimple w:instr=" SEQ Figure \* ARABIC ">
        <w:r w:rsidR="00FA26A9">
          <w:rPr>
            <w:noProof/>
          </w:rPr>
          <w:t>22</w:t>
        </w:r>
      </w:fldSimple>
      <w:bookmarkEnd w:id="360"/>
      <w:r w:rsidRPr="00F6205B">
        <w:t xml:space="preserve">: </w:t>
      </w:r>
      <w:r w:rsidR="00501AE4">
        <w:t>Fuel Switching—</w:t>
      </w:r>
      <w:r w:rsidRPr="00F6205B">
        <w:t>Change in Total Consumption in MMBtu, Upgrade Case Scenario</w:t>
      </w:r>
      <w:bookmarkEnd w:id="361"/>
      <w:bookmarkEnd w:id="362"/>
      <w:bookmarkEnd w:id="363"/>
    </w:p>
    <w:p w14:paraId="5439400C" w14:textId="320B583D" w:rsidR="00346A82" w:rsidRPr="00F6205B" w:rsidRDefault="00346A82" w:rsidP="00346A82">
      <w:pPr>
        <w:pStyle w:val="Caption"/>
        <w:spacing w:before="0" w:after="120"/>
        <w:rPr>
          <w:b w:val="0"/>
          <w:bCs w:val="0"/>
          <w:sz w:val="18"/>
        </w:rPr>
      </w:pPr>
      <w:r w:rsidRPr="00F6205B">
        <w:rPr>
          <w:b w:val="0"/>
          <w:bCs w:val="0"/>
          <w:sz w:val="18"/>
        </w:rPr>
        <w:t>Base: all single-family homes (population-weighted)</w:t>
      </w:r>
    </w:p>
    <w:p w14:paraId="484B26D2" w14:textId="77777777" w:rsidR="00231AE4" w:rsidRPr="00F6205B" w:rsidRDefault="00231AE4" w:rsidP="00231AE4">
      <w:pPr>
        <w:spacing w:after="0"/>
        <w:jc w:val="center"/>
      </w:pPr>
      <w:r w:rsidRPr="00F6205B">
        <w:rPr>
          <w:noProof/>
          <w:lang w:bidi="ar-SA"/>
        </w:rPr>
        <w:drawing>
          <wp:inline distT="0" distB="0" distL="0" distR="0" wp14:anchorId="43385D6E" wp14:editId="207098E3">
            <wp:extent cx="4896534" cy="281979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Btu Upgrade Case.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896534" cy="2819794"/>
                    </a:xfrm>
                    <a:prstGeom prst="rect">
                      <a:avLst/>
                    </a:prstGeom>
                  </pic:spPr>
                </pic:pic>
              </a:graphicData>
            </a:graphic>
          </wp:inline>
        </w:drawing>
      </w:r>
    </w:p>
    <w:p w14:paraId="061D2EE5" w14:textId="77777777" w:rsidR="00231AE4" w:rsidRPr="00F6205B" w:rsidRDefault="00231AE4" w:rsidP="00231AE4"/>
    <w:p w14:paraId="289CAA2F" w14:textId="77777777" w:rsidR="00231AE4" w:rsidRPr="00F6205B" w:rsidRDefault="00231AE4" w:rsidP="001B22F1">
      <w:pPr>
        <w:pStyle w:val="Heading3"/>
        <w:numPr>
          <w:ilvl w:val="0"/>
          <w:numId w:val="0"/>
        </w:numPr>
        <w:jc w:val="both"/>
      </w:pPr>
      <w:bookmarkStart w:id="364" w:name="_Ref373242125"/>
      <w:bookmarkStart w:id="365" w:name="_Toc373322746"/>
      <w:bookmarkStart w:id="366" w:name="_Toc391887324"/>
      <w:bookmarkStart w:id="367" w:name="_Toc439939413"/>
      <w:r w:rsidRPr="00F6205B">
        <w:lastRenderedPageBreak/>
        <w:t>Results by Fuel</w:t>
      </w:r>
      <w:bookmarkEnd w:id="364"/>
      <w:bookmarkEnd w:id="365"/>
      <w:bookmarkEnd w:id="366"/>
      <w:bookmarkEnd w:id="367"/>
    </w:p>
    <w:p w14:paraId="1D39A03F" w14:textId="77777777" w:rsidR="00231AE4" w:rsidRPr="00F6205B" w:rsidRDefault="00231AE4" w:rsidP="00231AE4">
      <w:r w:rsidRPr="00F6205B">
        <w:t>This section presents the results of fuel switching for each of the four fuel types included in the analysis.</w:t>
      </w:r>
    </w:p>
    <w:p w14:paraId="46C55C31" w14:textId="561B4018" w:rsidR="00231AE4" w:rsidRPr="00F6205B" w:rsidRDefault="00F620C3" w:rsidP="00231AE4">
      <w:r>
        <w:fldChar w:fldCharType="begin"/>
      </w:r>
      <w:r>
        <w:instrText xml:space="preserve"> REF _Ref439936206 \h </w:instrText>
      </w:r>
      <w:r>
        <w:fldChar w:fldCharType="separate"/>
      </w:r>
      <w:r w:rsidRPr="00F6205B">
        <w:t xml:space="preserve">Table </w:t>
      </w:r>
      <w:r>
        <w:rPr>
          <w:noProof/>
        </w:rPr>
        <w:t>37</w:t>
      </w:r>
      <w:r>
        <w:fldChar w:fldCharType="end"/>
      </w:r>
      <w:r>
        <w:t xml:space="preserve"> </w:t>
      </w:r>
      <w:r w:rsidR="00231AE4" w:rsidRPr="00F6205B">
        <w:t>demonstrates the following:</w:t>
      </w:r>
    </w:p>
    <w:p w14:paraId="1C6E8C55" w14:textId="77777777" w:rsidR="00231AE4" w:rsidRPr="00F6205B" w:rsidRDefault="00231AE4" w:rsidP="00012A1E">
      <w:pPr>
        <w:pStyle w:val="ListParagraph"/>
        <w:numPr>
          <w:ilvl w:val="0"/>
          <w:numId w:val="29"/>
        </w:numPr>
      </w:pPr>
      <w:r w:rsidRPr="00F6205B">
        <w:t>Fuel switching has the potential to decrease single-family home oil use in Connecticut by up to 77% of the year-ten expected annual consumption, in the absence of program incentives for efficient equipment.</w:t>
      </w:r>
    </w:p>
    <w:p w14:paraId="580A6C20" w14:textId="77777777" w:rsidR="00231AE4" w:rsidRPr="00F6205B" w:rsidRDefault="00231AE4" w:rsidP="00012A1E">
      <w:pPr>
        <w:pStyle w:val="ListParagraph"/>
        <w:numPr>
          <w:ilvl w:val="1"/>
          <w:numId w:val="29"/>
        </w:numPr>
      </w:pPr>
      <w:r w:rsidRPr="00F6205B">
        <w:t>With incentives for higher efficiency equipment fuel switching has the potential decrease single-family home oil use in Connecticut by up to 84% of the year-ten expected annual consumption.</w:t>
      </w:r>
    </w:p>
    <w:p w14:paraId="22E2D9E6" w14:textId="77777777" w:rsidR="00231AE4" w:rsidRPr="00F6205B" w:rsidRDefault="00231AE4" w:rsidP="00012A1E">
      <w:pPr>
        <w:pStyle w:val="ListParagraph"/>
        <w:numPr>
          <w:ilvl w:val="0"/>
          <w:numId w:val="29"/>
        </w:numPr>
      </w:pPr>
      <w:r w:rsidRPr="00F6205B">
        <w:t>Fuel switching has the potential to decrease single-family home propane use in Connecticut by up to 59% of the year-ten expected annual consumption, in the absence of program incentives.</w:t>
      </w:r>
    </w:p>
    <w:p w14:paraId="73CE10F6" w14:textId="77777777" w:rsidR="00231AE4" w:rsidRPr="00F6205B" w:rsidRDefault="00231AE4" w:rsidP="00012A1E">
      <w:pPr>
        <w:pStyle w:val="ListParagraph"/>
        <w:numPr>
          <w:ilvl w:val="1"/>
          <w:numId w:val="29"/>
        </w:numPr>
      </w:pPr>
      <w:r w:rsidRPr="00F6205B">
        <w:t>With incentives for higher efficiency equipment fuel switching has the potential decrease single-family home propane use in Connecticut by up to 73% of the year-ten expected annual consumption.</w:t>
      </w:r>
    </w:p>
    <w:p w14:paraId="436DA75A" w14:textId="77777777" w:rsidR="00231AE4" w:rsidRPr="00F6205B" w:rsidRDefault="00231AE4" w:rsidP="00012A1E">
      <w:pPr>
        <w:pStyle w:val="ListParagraph"/>
        <w:numPr>
          <w:ilvl w:val="0"/>
          <w:numId w:val="29"/>
        </w:numPr>
      </w:pPr>
      <w:r w:rsidRPr="00F6205B">
        <w:t>Switching the state’s heating and water heating equipment to gas-fired models or heat pumps could result in up to an 89% increase in annual natural gas consumption and up to a 13% increase in annual electricity consumption by year ten in the base case.</w:t>
      </w:r>
    </w:p>
    <w:p w14:paraId="60B9F671" w14:textId="77777777" w:rsidR="00231AE4" w:rsidRPr="00F6205B" w:rsidRDefault="00231AE4" w:rsidP="00012A1E">
      <w:pPr>
        <w:pStyle w:val="ListParagraph"/>
        <w:numPr>
          <w:ilvl w:val="1"/>
          <w:numId w:val="29"/>
        </w:numPr>
      </w:pPr>
      <w:r w:rsidRPr="00F6205B">
        <w:t>In the upgrade case these fuel switches could result in up to an 82% increase in annual natural gas consumption and up to a 12% increase in annual electricity consumption by year ten.</w:t>
      </w:r>
    </w:p>
    <w:p w14:paraId="59304995" w14:textId="5395A5CD" w:rsidR="00231AE4" w:rsidRPr="00F6205B" w:rsidRDefault="00231AE4" w:rsidP="004F23CF">
      <w:pPr>
        <w:pStyle w:val="Caption"/>
      </w:pPr>
      <w:bookmarkStart w:id="368" w:name="_Ref369609533"/>
      <w:bookmarkStart w:id="369" w:name="_Ref439936206"/>
      <w:bookmarkStart w:id="370" w:name="_Toc373324132"/>
      <w:bookmarkStart w:id="371" w:name="_Toc391887373"/>
      <w:bookmarkStart w:id="372" w:name="_Toc439931868"/>
      <w:r w:rsidRPr="00F6205B">
        <w:t>Table</w:t>
      </w:r>
      <w:bookmarkEnd w:id="368"/>
      <w:r w:rsidR="004F23CF" w:rsidRPr="00F6205B">
        <w:t xml:space="preserve"> </w:t>
      </w:r>
      <w:fldSimple w:instr=" SEQ Table \* ARABIC ">
        <w:r w:rsidR="00FA26A9">
          <w:rPr>
            <w:noProof/>
          </w:rPr>
          <w:t>37</w:t>
        </w:r>
      </w:fldSimple>
      <w:bookmarkEnd w:id="369"/>
      <w:r w:rsidRPr="00F6205B">
        <w:t xml:space="preserve">: </w:t>
      </w:r>
      <w:r w:rsidR="00501AE4">
        <w:t>Fuel Switching—</w:t>
      </w:r>
      <w:r w:rsidRPr="00F6205B">
        <w:t>Change</w:t>
      </w:r>
      <w:r w:rsidR="001B22F1" w:rsidRPr="00F6205B">
        <w:t xml:space="preserve"> in Annual Consumption by Fuel a</w:t>
      </w:r>
      <w:r w:rsidRPr="00F6205B">
        <w:t>t Year Ten</w:t>
      </w:r>
      <w:bookmarkEnd w:id="370"/>
      <w:bookmarkEnd w:id="371"/>
      <w:bookmarkEnd w:id="372"/>
    </w:p>
    <w:p w14:paraId="4820D346" w14:textId="77777777" w:rsidR="00346A82" w:rsidRPr="00F6205B" w:rsidRDefault="00346A82" w:rsidP="00346A82">
      <w:pPr>
        <w:pStyle w:val="Caption"/>
        <w:spacing w:before="0" w:after="120"/>
        <w:rPr>
          <w:b w:val="0"/>
          <w:bCs w:val="0"/>
          <w:sz w:val="18"/>
        </w:rPr>
      </w:pPr>
      <w:r w:rsidRPr="00F6205B">
        <w:rPr>
          <w:b w:val="0"/>
          <w:bCs w:val="0"/>
          <w:sz w:val="18"/>
        </w:rPr>
        <w:t>Base: all single-family homes (population-weighted)</w:t>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2611"/>
        <w:gridCol w:w="917"/>
        <w:gridCol w:w="874"/>
        <w:gridCol w:w="878"/>
        <w:gridCol w:w="839"/>
        <w:gridCol w:w="890"/>
      </w:tblGrid>
      <w:tr w:rsidR="00231AE4" w:rsidRPr="00380843" w14:paraId="0F6A67C5" w14:textId="77777777" w:rsidTr="009425B1">
        <w:trPr>
          <w:trHeight w:val="288"/>
          <w:jc w:val="center"/>
        </w:trPr>
        <w:tc>
          <w:tcPr>
            <w:tcW w:w="2611" w:type="dxa"/>
            <w:vMerge w:val="restart"/>
            <w:tcBorders>
              <w:top w:val="single" w:sz="4" w:space="0" w:color="auto"/>
              <w:left w:val="single" w:sz="4" w:space="0" w:color="auto"/>
              <w:right w:val="single" w:sz="4" w:space="0" w:color="000000" w:themeColor="text1"/>
            </w:tcBorders>
            <w:shd w:val="clear" w:color="auto" w:fill="0B4D2C" w:themeFill="background2" w:themeFillShade="BF"/>
            <w:vAlign w:val="center"/>
          </w:tcPr>
          <w:p w14:paraId="52CEED44" w14:textId="3280E030" w:rsidR="00231AE4" w:rsidRPr="00380843" w:rsidRDefault="00231AE4" w:rsidP="004F23CF">
            <w:pPr>
              <w:keepLines/>
              <w:spacing w:after="0"/>
              <w:rPr>
                <w:b/>
                <w:sz w:val="18"/>
                <w:szCs w:val="18"/>
              </w:rPr>
            </w:pPr>
            <w:r w:rsidRPr="00380843">
              <w:rPr>
                <w:b/>
                <w:sz w:val="18"/>
                <w:szCs w:val="18"/>
              </w:rPr>
              <w:t>Fuel</w:t>
            </w:r>
            <w:r w:rsidR="009425B1" w:rsidRPr="00380843">
              <w:rPr>
                <w:b/>
                <w:sz w:val="18"/>
                <w:szCs w:val="18"/>
              </w:rPr>
              <w:t xml:space="preserve"> type</w:t>
            </w:r>
          </w:p>
        </w:tc>
        <w:tc>
          <w:tcPr>
            <w:tcW w:w="916" w:type="dxa"/>
            <w:vMerge w:val="restart"/>
            <w:tcBorders>
              <w:top w:val="single" w:sz="4" w:space="0" w:color="auto"/>
              <w:bottom w:val="double" w:sz="4" w:space="0" w:color="auto"/>
              <w:right w:val="single" w:sz="4" w:space="0" w:color="000000" w:themeColor="text1"/>
            </w:tcBorders>
            <w:shd w:val="clear" w:color="auto" w:fill="0B4D2C" w:themeFill="background2" w:themeFillShade="BF"/>
            <w:vAlign w:val="center"/>
          </w:tcPr>
          <w:p w14:paraId="67712BEF" w14:textId="77777777" w:rsidR="00231AE4" w:rsidRPr="00380843" w:rsidRDefault="00231AE4" w:rsidP="004F23CF">
            <w:pPr>
              <w:keepLines/>
              <w:spacing w:after="0"/>
              <w:jc w:val="center"/>
              <w:rPr>
                <w:b/>
                <w:sz w:val="18"/>
                <w:szCs w:val="18"/>
              </w:rPr>
            </w:pPr>
            <w:r w:rsidRPr="00380843">
              <w:rPr>
                <w:b/>
                <w:sz w:val="18"/>
                <w:szCs w:val="18"/>
              </w:rPr>
              <w:t>Current Annual</w:t>
            </w:r>
          </w:p>
        </w:tc>
        <w:tc>
          <w:tcPr>
            <w:tcW w:w="3481" w:type="dxa"/>
            <w:gridSpan w:val="4"/>
            <w:tcBorders>
              <w:top w:val="single" w:sz="4" w:space="0" w:color="auto"/>
              <w:left w:val="single" w:sz="4" w:space="0" w:color="000000" w:themeColor="text1"/>
              <w:bottom w:val="single" w:sz="4" w:space="0" w:color="000000" w:themeColor="text1"/>
              <w:right w:val="single" w:sz="4" w:space="0" w:color="auto"/>
            </w:tcBorders>
            <w:shd w:val="clear" w:color="auto" w:fill="0B4D2C" w:themeFill="background2" w:themeFillShade="BF"/>
            <w:vAlign w:val="center"/>
          </w:tcPr>
          <w:p w14:paraId="7BAF4EAE" w14:textId="489A98EA" w:rsidR="00231AE4" w:rsidRPr="00380843" w:rsidRDefault="00231AE4" w:rsidP="004F23CF">
            <w:pPr>
              <w:keepLines/>
              <w:spacing w:after="0"/>
              <w:jc w:val="center"/>
              <w:rPr>
                <w:b/>
                <w:sz w:val="18"/>
                <w:szCs w:val="18"/>
              </w:rPr>
            </w:pPr>
            <w:r w:rsidRPr="00380843">
              <w:rPr>
                <w:b/>
                <w:sz w:val="18"/>
                <w:szCs w:val="18"/>
              </w:rPr>
              <w:t>Pe</w:t>
            </w:r>
            <w:r w:rsidR="009425B1" w:rsidRPr="00380843">
              <w:rPr>
                <w:b/>
                <w:sz w:val="18"/>
                <w:szCs w:val="18"/>
              </w:rPr>
              <w:t>rcent Change from Expected Consumption</w:t>
            </w:r>
            <w:r w:rsidRPr="00380843">
              <w:rPr>
                <w:b/>
                <w:sz w:val="18"/>
                <w:szCs w:val="18"/>
                <w:vertAlign w:val="superscript"/>
              </w:rPr>
              <w:t>*</w:t>
            </w:r>
          </w:p>
        </w:tc>
      </w:tr>
      <w:tr w:rsidR="00231AE4" w:rsidRPr="00380843" w14:paraId="242A93E1" w14:textId="77777777" w:rsidTr="009425B1">
        <w:trPr>
          <w:trHeight w:val="288"/>
          <w:jc w:val="center"/>
        </w:trPr>
        <w:tc>
          <w:tcPr>
            <w:tcW w:w="2611" w:type="dxa"/>
            <w:vMerge/>
            <w:tcBorders>
              <w:left w:val="single" w:sz="4" w:space="0" w:color="auto"/>
              <w:bottom w:val="single" w:sz="4" w:space="0" w:color="auto"/>
              <w:right w:val="single" w:sz="4" w:space="0" w:color="000000" w:themeColor="text1"/>
            </w:tcBorders>
            <w:shd w:val="clear" w:color="auto" w:fill="0B4D2C" w:themeFill="background2" w:themeFillShade="BF"/>
            <w:vAlign w:val="center"/>
          </w:tcPr>
          <w:p w14:paraId="001B9C1B" w14:textId="77777777" w:rsidR="00231AE4" w:rsidRPr="00380843" w:rsidRDefault="00231AE4" w:rsidP="004F23CF">
            <w:pPr>
              <w:keepLines/>
              <w:spacing w:after="0"/>
              <w:rPr>
                <w:b/>
                <w:sz w:val="18"/>
                <w:szCs w:val="18"/>
              </w:rPr>
            </w:pPr>
          </w:p>
        </w:tc>
        <w:tc>
          <w:tcPr>
            <w:tcW w:w="916" w:type="dxa"/>
            <w:vMerge/>
            <w:tcBorders>
              <w:top w:val="single" w:sz="4" w:space="0" w:color="000000" w:themeColor="text1"/>
              <w:bottom w:val="single" w:sz="4" w:space="0" w:color="auto"/>
              <w:right w:val="single" w:sz="4" w:space="0" w:color="000000" w:themeColor="text1"/>
            </w:tcBorders>
            <w:shd w:val="clear" w:color="auto" w:fill="0B4D2C" w:themeFill="background2" w:themeFillShade="BF"/>
            <w:vAlign w:val="center"/>
          </w:tcPr>
          <w:p w14:paraId="3E405960" w14:textId="77777777" w:rsidR="00231AE4" w:rsidRPr="00380843" w:rsidRDefault="00231AE4" w:rsidP="004F23CF">
            <w:pPr>
              <w:keepLines/>
              <w:spacing w:after="0"/>
              <w:jc w:val="center"/>
              <w:rPr>
                <w:b/>
                <w:sz w:val="18"/>
                <w:szCs w:val="18"/>
              </w:rPr>
            </w:pPr>
          </w:p>
        </w:tc>
        <w:tc>
          <w:tcPr>
            <w:tcW w:w="87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0B4D2C" w:themeFill="background2" w:themeFillShade="BF"/>
            <w:vAlign w:val="center"/>
          </w:tcPr>
          <w:p w14:paraId="45B1A01A" w14:textId="77777777" w:rsidR="00231AE4" w:rsidRPr="00380843" w:rsidRDefault="00231AE4" w:rsidP="004F23CF">
            <w:pPr>
              <w:keepLines/>
              <w:spacing w:after="0"/>
              <w:jc w:val="center"/>
              <w:rPr>
                <w:b/>
                <w:sz w:val="18"/>
                <w:szCs w:val="18"/>
              </w:rPr>
            </w:pPr>
            <w:r w:rsidRPr="00380843">
              <w:rPr>
                <w:b/>
                <w:sz w:val="18"/>
                <w:szCs w:val="18"/>
              </w:rPr>
              <w:t>25% Uptake</w:t>
            </w:r>
          </w:p>
        </w:tc>
        <w:tc>
          <w:tcPr>
            <w:tcW w:w="87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0B4D2C" w:themeFill="background2" w:themeFillShade="BF"/>
            <w:vAlign w:val="center"/>
          </w:tcPr>
          <w:p w14:paraId="4A57E0B5" w14:textId="77777777" w:rsidR="00231AE4" w:rsidRPr="00380843" w:rsidRDefault="00231AE4" w:rsidP="004F23CF">
            <w:pPr>
              <w:keepLines/>
              <w:spacing w:after="0"/>
              <w:jc w:val="center"/>
              <w:rPr>
                <w:b/>
                <w:sz w:val="18"/>
                <w:szCs w:val="18"/>
              </w:rPr>
            </w:pPr>
            <w:r w:rsidRPr="00380843">
              <w:rPr>
                <w:b/>
                <w:sz w:val="18"/>
                <w:szCs w:val="18"/>
              </w:rPr>
              <w:t>50% Uptake</w:t>
            </w:r>
          </w:p>
        </w:tc>
        <w:tc>
          <w:tcPr>
            <w:tcW w:w="83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0B4D2C" w:themeFill="background2" w:themeFillShade="BF"/>
            <w:vAlign w:val="center"/>
          </w:tcPr>
          <w:p w14:paraId="285462BC" w14:textId="77777777" w:rsidR="00231AE4" w:rsidRPr="00380843" w:rsidRDefault="00231AE4" w:rsidP="004F23CF">
            <w:pPr>
              <w:keepLines/>
              <w:spacing w:after="0"/>
              <w:jc w:val="center"/>
              <w:rPr>
                <w:b/>
                <w:sz w:val="18"/>
                <w:szCs w:val="18"/>
              </w:rPr>
            </w:pPr>
            <w:r w:rsidRPr="00380843">
              <w:rPr>
                <w:b/>
                <w:sz w:val="18"/>
                <w:szCs w:val="18"/>
              </w:rPr>
              <w:t>75% Uptake</w:t>
            </w:r>
          </w:p>
        </w:tc>
        <w:tc>
          <w:tcPr>
            <w:tcW w:w="890" w:type="dxa"/>
            <w:tcBorders>
              <w:top w:val="single" w:sz="4" w:space="0" w:color="000000" w:themeColor="text1"/>
              <w:left w:val="single" w:sz="4" w:space="0" w:color="000000" w:themeColor="text1"/>
              <w:bottom w:val="single" w:sz="4" w:space="0" w:color="auto"/>
              <w:right w:val="single" w:sz="4" w:space="0" w:color="auto"/>
            </w:tcBorders>
            <w:shd w:val="clear" w:color="auto" w:fill="0B4D2C" w:themeFill="background2" w:themeFillShade="BF"/>
            <w:vAlign w:val="center"/>
          </w:tcPr>
          <w:p w14:paraId="485C9E1D" w14:textId="77777777" w:rsidR="00231AE4" w:rsidRPr="00380843" w:rsidRDefault="00231AE4" w:rsidP="004F23CF">
            <w:pPr>
              <w:keepLines/>
              <w:spacing w:after="0"/>
              <w:jc w:val="center"/>
              <w:rPr>
                <w:b/>
                <w:sz w:val="18"/>
                <w:szCs w:val="18"/>
              </w:rPr>
            </w:pPr>
            <w:r w:rsidRPr="00380843">
              <w:rPr>
                <w:b/>
                <w:sz w:val="18"/>
                <w:szCs w:val="18"/>
              </w:rPr>
              <w:t>100% Uptake</w:t>
            </w:r>
          </w:p>
        </w:tc>
      </w:tr>
      <w:tr w:rsidR="009425B1" w:rsidRPr="00380843" w14:paraId="64E43ECF" w14:textId="77777777" w:rsidTr="009425B1">
        <w:trPr>
          <w:trHeight w:val="288"/>
          <w:jc w:val="center"/>
        </w:trPr>
        <w:tc>
          <w:tcPr>
            <w:tcW w:w="7008" w:type="dxa"/>
            <w:gridSpan w:val="6"/>
            <w:tcBorders>
              <w:top w:val="single" w:sz="4" w:space="0" w:color="auto"/>
              <w:left w:val="single" w:sz="4" w:space="0" w:color="auto"/>
              <w:right w:val="single" w:sz="4" w:space="0" w:color="auto"/>
            </w:tcBorders>
            <w:shd w:val="clear" w:color="auto" w:fill="404040" w:themeFill="text1" w:themeFillTint="BF"/>
            <w:vAlign w:val="center"/>
          </w:tcPr>
          <w:p w14:paraId="1077F44F" w14:textId="77777777" w:rsidR="00231AE4" w:rsidRPr="00380843" w:rsidRDefault="00231AE4" w:rsidP="004F23CF">
            <w:pPr>
              <w:keepLines/>
              <w:spacing w:after="0"/>
              <w:jc w:val="center"/>
              <w:rPr>
                <w:b/>
                <w:color w:val="FFFFFF" w:themeColor="background1"/>
                <w:sz w:val="18"/>
                <w:szCs w:val="18"/>
              </w:rPr>
            </w:pPr>
            <w:r w:rsidRPr="00380843">
              <w:rPr>
                <w:b/>
                <w:color w:val="FFFFFF" w:themeColor="background1"/>
                <w:sz w:val="18"/>
                <w:szCs w:val="18"/>
              </w:rPr>
              <w:t>Base Case</w:t>
            </w:r>
          </w:p>
        </w:tc>
      </w:tr>
      <w:tr w:rsidR="00231AE4" w:rsidRPr="00380843" w14:paraId="74986F81" w14:textId="77777777" w:rsidTr="001B22F1">
        <w:trPr>
          <w:trHeight w:val="288"/>
          <w:jc w:val="center"/>
        </w:trPr>
        <w:tc>
          <w:tcPr>
            <w:tcW w:w="2611" w:type="dxa"/>
            <w:tcBorders>
              <w:top w:val="single" w:sz="4" w:space="0" w:color="auto"/>
              <w:left w:val="single" w:sz="4" w:space="0" w:color="auto"/>
              <w:right w:val="single" w:sz="4" w:space="0" w:color="000000" w:themeColor="text1"/>
            </w:tcBorders>
            <w:vAlign w:val="center"/>
          </w:tcPr>
          <w:p w14:paraId="234A6950" w14:textId="77777777" w:rsidR="00231AE4" w:rsidRPr="00380843" w:rsidRDefault="00231AE4" w:rsidP="004F23CF">
            <w:pPr>
              <w:keepLines/>
              <w:spacing w:after="0"/>
              <w:rPr>
                <w:sz w:val="18"/>
                <w:szCs w:val="18"/>
              </w:rPr>
            </w:pPr>
            <w:r w:rsidRPr="00380843">
              <w:rPr>
                <w:sz w:val="18"/>
                <w:szCs w:val="18"/>
              </w:rPr>
              <w:t>Fuel oil (million gallons)</w:t>
            </w:r>
          </w:p>
        </w:tc>
        <w:tc>
          <w:tcPr>
            <w:tcW w:w="916" w:type="dxa"/>
            <w:tcBorders>
              <w:top w:val="single" w:sz="4" w:space="0" w:color="auto"/>
              <w:bottom w:val="single" w:sz="4" w:space="0" w:color="000000" w:themeColor="text1"/>
              <w:right w:val="single" w:sz="4" w:space="0" w:color="000000" w:themeColor="text1"/>
            </w:tcBorders>
            <w:vAlign w:val="center"/>
          </w:tcPr>
          <w:p w14:paraId="78B6DAEE" w14:textId="77777777" w:rsidR="00231AE4" w:rsidRPr="00380843" w:rsidRDefault="00231AE4" w:rsidP="004F23CF">
            <w:pPr>
              <w:keepLines/>
              <w:spacing w:after="0"/>
              <w:jc w:val="center"/>
              <w:rPr>
                <w:sz w:val="18"/>
                <w:szCs w:val="18"/>
              </w:rPr>
            </w:pPr>
            <w:r w:rsidRPr="00380843">
              <w:rPr>
                <w:sz w:val="18"/>
                <w:szCs w:val="18"/>
              </w:rPr>
              <w:t>527.6</w:t>
            </w:r>
          </w:p>
        </w:tc>
        <w:tc>
          <w:tcPr>
            <w:tcW w:w="87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9F9D77F" w14:textId="77777777" w:rsidR="00231AE4" w:rsidRPr="00380843" w:rsidRDefault="00231AE4" w:rsidP="004F23CF">
            <w:pPr>
              <w:keepLines/>
              <w:spacing w:after="0"/>
              <w:jc w:val="center"/>
              <w:rPr>
                <w:sz w:val="18"/>
                <w:szCs w:val="18"/>
              </w:rPr>
            </w:pPr>
            <w:r w:rsidRPr="00380843">
              <w:rPr>
                <w:sz w:val="18"/>
                <w:szCs w:val="18"/>
              </w:rPr>
              <w:t>- 19%</w:t>
            </w:r>
          </w:p>
        </w:tc>
        <w:tc>
          <w:tcPr>
            <w:tcW w:w="87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0CCE081" w14:textId="77777777" w:rsidR="00231AE4" w:rsidRPr="00380843" w:rsidRDefault="00231AE4" w:rsidP="004F23CF">
            <w:pPr>
              <w:keepLines/>
              <w:spacing w:after="0"/>
              <w:jc w:val="center"/>
              <w:rPr>
                <w:sz w:val="18"/>
                <w:szCs w:val="18"/>
              </w:rPr>
            </w:pPr>
            <w:r w:rsidRPr="00380843">
              <w:rPr>
                <w:sz w:val="18"/>
                <w:szCs w:val="18"/>
              </w:rPr>
              <w:t>- 39%</w:t>
            </w:r>
          </w:p>
        </w:tc>
        <w:tc>
          <w:tcPr>
            <w:tcW w:w="83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ECD85A2" w14:textId="77777777" w:rsidR="00231AE4" w:rsidRPr="00380843" w:rsidRDefault="00231AE4" w:rsidP="004F23CF">
            <w:pPr>
              <w:keepLines/>
              <w:spacing w:after="0"/>
              <w:jc w:val="center"/>
              <w:rPr>
                <w:sz w:val="18"/>
                <w:szCs w:val="18"/>
              </w:rPr>
            </w:pPr>
            <w:r w:rsidRPr="00380843">
              <w:rPr>
                <w:sz w:val="18"/>
                <w:szCs w:val="18"/>
              </w:rPr>
              <w:t>- 58%</w:t>
            </w:r>
          </w:p>
        </w:tc>
        <w:tc>
          <w:tcPr>
            <w:tcW w:w="890" w:type="dxa"/>
            <w:tcBorders>
              <w:top w:val="single" w:sz="4" w:space="0" w:color="auto"/>
              <w:left w:val="single" w:sz="4" w:space="0" w:color="000000" w:themeColor="text1"/>
              <w:bottom w:val="single" w:sz="4" w:space="0" w:color="000000" w:themeColor="text1"/>
              <w:right w:val="single" w:sz="4" w:space="0" w:color="auto"/>
            </w:tcBorders>
            <w:vAlign w:val="center"/>
          </w:tcPr>
          <w:p w14:paraId="5D8C90B6" w14:textId="77777777" w:rsidR="00231AE4" w:rsidRPr="00380843" w:rsidRDefault="00231AE4" w:rsidP="004F23CF">
            <w:pPr>
              <w:keepLines/>
              <w:spacing w:after="0"/>
              <w:jc w:val="center"/>
              <w:rPr>
                <w:sz w:val="18"/>
                <w:szCs w:val="18"/>
              </w:rPr>
            </w:pPr>
            <w:r w:rsidRPr="00380843">
              <w:rPr>
                <w:sz w:val="18"/>
                <w:szCs w:val="18"/>
              </w:rPr>
              <w:t>- 77%</w:t>
            </w:r>
          </w:p>
        </w:tc>
      </w:tr>
      <w:tr w:rsidR="00231AE4" w:rsidRPr="00380843" w14:paraId="6A1FE9F6" w14:textId="77777777" w:rsidTr="001B22F1">
        <w:trPr>
          <w:trHeight w:val="288"/>
          <w:jc w:val="center"/>
        </w:trPr>
        <w:tc>
          <w:tcPr>
            <w:tcW w:w="2611" w:type="dxa"/>
            <w:tcBorders>
              <w:left w:val="single" w:sz="4" w:space="0" w:color="auto"/>
              <w:right w:val="single" w:sz="4" w:space="0" w:color="000000" w:themeColor="text1"/>
            </w:tcBorders>
            <w:vAlign w:val="center"/>
          </w:tcPr>
          <w:p w14:paraId="16FA9C74" w14:textId="77777777" w:rsidR="00231AE4" w:rsidRPr="00380843" w:rsidRDefault="00231AE4" w:rsidP="004F23CF">
            <w:pPr>
              <w:keepLines/>
              <w:spacing w:after="0"/>
              <w:rPr>
                <w:sz w:val="18"/>
                <w:szCs w:val="18"/>
              </w:rPr>
            </w:pPr>
            <w:r w:rsidRPr="00380843">
              <w:rPr>
                <w:sz w:val="18"/>
                <w:szCs w:val="18"/>
              </w:rPr>
              <w:t>Propane (million gallons)</w:t>
            </w:r>
          </w:p>
        </w:tc>
        <w:tc>
          <w:tcPr>
            <w:tcW w:w="916" w:type="dxa"/>
            <w:tcBorders>
              <w:top w:val="single" w:sz="4" w:space="0" w:color="000000" w:themeColor="text1"/>
              <w:bottom w:val="single" w:sz="4" w:space="0" w:color="000000" w:themeColor="text1"/>
              <w:right w:val="single" w:sz="4" w:space="0" w:color="000000" w:themeColor="text1"/>
            </w:tcBorders>
            <w:vAlign w:val="center"/>
          </w:tcPr>
          <w:p w14:paraId="2750D9E5" w14:textId="77777777" w:rsidR="00231AE4" w:rsidRPr="00380843" w:rsidRDefault="00231AE4" w:rsidP="004F23CF">
            <w:pPr>
              <w:keepLines/>
              <w:spacing w:after="0"/>
              <w:jc w:val="center"/>
              <w:rPr>
                <w:sz w:val="18"/>
                <w:szCs w:val="18"/>
              </w:rPr>
            </w:pPr>
            <w:r w:rsidRPr="00380843">
              <w:rPr>
                <w:sz w:val="18"/>
                <w:szCs w:val="18"/>
              </w:rPr>
              <w:t>34.4</w:t>
            </w:r>
          </w:p>
        </w:tc>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C3F22B" w14:textId="77777777" w:rsidR="00231AE4" w:rsidRPr="00380843" w:rsidRDefault="00231AE4" w:rsidP="004F23CF">
            <w:pPr>
              <w:keepLines/>
              <w:spacing w:after="0"/>
              <w:jc w:val="center"/>
              <w:rPr>
                <w:sz w:val="18"/>
                <w:szCs w:val="18"/>
              </w:rPr>
            </w:pPr>
            <w:r w:rsidRPr="00380843">
              <w:rPr>
                <w:sz w:val="18"/>
                <w:szCs w:val="18"/>
              </w:rPr>
              <w:t>- 15%</w:t>
            </w:r>
          </w:p>
        </w:tc>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2E3C80" w14:textId="77777777" w:rsidR="00231AE4" w:rsidRPr="00380843" w:rsidRDefault="00231AE4" w:rsidP="004F23CF">
            <w:pPr>
              <w:keepLines/>
              <w:spacing w:after="0"/>
              <w:jc w:val="center"/>
              <w:rPr>
                <w:sz w:val="18"/>
                <w:szCs w:val="18"/>
              </w:rPr>
            </w:pPr>
            <w:r w:rsidRPr="00380843">
              <w:rPr>
                <w:sz w:val="18"/>
                <w:szCs w:val="18"/>
              </w:rPr>
              <w:t>- 30%</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D3F562" w14:textId="77777777" w:rsidR="00231AE4" w:rsidRPr="00380843" w:rsidRDefault="00231AE4" w:rsidP="004F23CF">
            <w:pPr>
              <w:keepLines/>
              <w:spacing w:after="0"/>
              <w:jc w:val="center"/>
              <w:rPr>
                <w:sz w:val="18"/>
                <w:szCs w:val="18"/>
              </w:rPr>
            </w:pPr>
            <w:r w:rsidRPr="00380843">
              <w:rPr>
                <w:sz w:val="18"/>
                <w:szCs w:val="18"/>
              </w:rPr>
              <w:t>- 44%</w:t>
            </w:r>
          </w:p>
        </w:tc>
        <w:tc>
          <w:tcPr>
            <w:tcW w:w="890"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D79863E" w14:textId="77777777" w:rsidR="00231AE4" w:rsidRPr="00380843" w:rsidRDefault="00231AE4" w:rsidP="004F23CF">
            <w:pPr>
              <w:keepLines/>
              <w:spacing w:after="0"/>
              <w:jc w:val="center"/>
              <w:rPr>
                <w:sz w:val="18"/>
                <w:szCs w:val="18"/>
              </w:rPr>
            </w:pPr>
            <w:r w:rsidRPr="00380843">
              <w:rPr>
                <w:sz w:val="18"/>
                <w:szCs w:val="18"/>
              </w:rPr>
              <w:t>- 59%</w:t>
            </w:r>
          </w:p>
        </w:tc>
      </w:tr>
      <w:tr w:rsidR="00231AE4" w:rsidRPr="00380843" w14:paraId="466D48FE" w14:textId="77777777" w:rsidTr="001B22F1">
        <w:trPr>
          <w:trHeight w:val="288"/>
          <w:jc w:val="center"/>
        </w:trPr>
        <w:tc>
          <w:tcPr>
            <w:tcW w:w="2611" w:type="dxa"/>
            <w:tcBorders>
              <w:left w:val="single" w:sz="4" w:space="0" w:color="auto"/>
              <w:right w:val="single" w:sz="4" w:space="0" w:color="000000" w:themeColor="text1"/>
            </w:tcBorders>
            <w:vAlign w:val="center"/>
          </w:tcPr>
          <w:p w14:paraId="655F82DE" w14:textId="77777777" w:rsidR="00231AE4" w:rsidRPr="00380843" w:rsidRDefault="00231AE4" w:rsidP="004F23CF">
            <w:pPr>
              <w:keepLines/>
              <w:spacing w:after="0"/>
              <w:rPr>
                <w:sz w:val="18"/>
                <w:szCs w:val="18"/>
              </w:rPr>
            </w:pPr>
            <w:r w:rsidRPr="00380843">
              <w:rPr>
                <w:sz w:val="18"/>
                <w:szCs w:val="18"/>
              </w:rPr>
              <w:t>Natural gas (million ccf)</w:t>
            </w:r>
          </w:p>
        </w:tc>
        <w:tc>
          <w:tcPr>
            <w:tcW w:w="916" w:type="dxa"/>
            <w:tcBorders>
              <w:top w:val="single" w:sz="4" w:space="0" w:color="000000" w:themeColor="text1"/>
              <w:bottom w:val="single" w:sz="4" w:space="0" w:color="000000" w:themeColor="text1"/>
              <w:right w:val="single" w:sz="4" w:space="0" w:color="000000" w:themeColor="text1"/>
            </w:tcBorders>
            <w:vAlign w:val="center"/>
          </w:tcPr>
          <w:p w14:paraId="1C2C6C32" w14:textId="77777777" w:rsidR="00231AE4" w:rsidRPr="00380843" w:rsidRDefault="00231AE4" w:rsidP="004F23CF">
            <w:pPr>
              <w:keepLines/>
              <w:spacing w:after="0"/>
              <w:jc w:val="center"/>
              <w:rPr>
                <w:sz w:val="18"/>
                <w:szCs w:val="18"/>
              </w:rPr>
            </w:pPr>
            <w:r w:rsidRPr="00380843">
              <w:rPr>
                <w:sz w:val="18"/>
                <w:szCs w:val="18"/>
              </w:rPr>
              <w:t>326.8</w:t>
            </w:r>
          </w:p>
        </w:tc>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3F8311" w14:textId="77777777" w:rsidR="00231AE4" w:rsidRPr="00380843" w:rsidRDefault="00231AE4" w:rsidP="004F23CF">
            <w:pPr>
              <w:keepLines/>
              <w:spacing w:after="0"/>
              <w:jc w:val="center"/>
              <w:rPr>
                <w:sz w:val="18"/>
                <w:szCs w:val="18"/>
              </w:rPr>
            </w:pPr>
            <w:r w:rsidRPr="00380843">
              <w:rPr>
                <w:sz w:val="18"/>
                <w:szCs w:val="18"/>
              </w:rPr>
              <w:t>+ 22%</w:t>
            </w:r>
          </w:p>
        </w:tc>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941943" w14:textId="77777777" w:rsidR="00231AE4" w:rsidRPr="00380843" w:rsidRDefault="00231AE4" w:rsidP="004F23CF">
            <w:pPr>
              <w:keepLines/>
              <w:spacing w:after="0"/>
              <w:jc w:val="center"/>
              <w:rPr>
                <w:sz w:val="18"/>
                <w:szCs w:val="18"/>
              </w:rPr>
            </w:pPr>
            <w:r w:rsidRPr="00380843">
              <w:rPr>
                <w:sz w:val="18"/>
                <w:szCs w:val="18"/>
              </w:rPr>
              <w:t>+ 44%</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9A035F" w14:textId="77777777" w:rsidR="00231AE4" w:rsidRPr="00380843" w:rsidRDefault="00231AE4" w:rsidP="004F23CF">
            <w:pPr>
              <w:keepLines/>
              <w:spacing w:after="0"/>
              <w:jc w:val="center"/>
              <w:rPr>
                <w:sz w:val="18"/>
                <w:szCs w:val="18"/>
              </w:rPr>
            </w:pPr>
            <w:r w:rsidRPr="00380843">
              <w:rPr>
                <w:sz w:val="18"/>
                <w:szCs w:val="18"/>
              </w:rPr>
              <w:t>+ 66%</w:t>
            </w:r>
          </w:p>
        </w:tc>
        <w:tc>
          <w:tcPr>
            <w:tcW w:w="890"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D8019DE" w14:textId="77777777" w:rsidR="00231AE4" w:rsidRPr="00380843" w:rsidRDefault="00231AE4" w:rsidP="004F23CF">
            <w:pPr>
              <w:keepLines/>
              <w:spacing w:after="0"/>
              <w:jc w:val="center"/>
              <w:rPr>
                <w:sz w:val="18"/>
                <w:szCs w:val="18"/>
              </w:rPr>
            </w:pPr>
            <w:r w:rsidRPr="00380843">
              <w:rPr>
                <w:sz w:val="18"/>
                <w:szCs w:val="18"/>
              </w:rPr>
              <w:t>+ 89%</w:t>
            </w:r>
          </w:p>
        </w:tc>
      </w:tr>
      <w:tr w:rsidR="00231AE4" w:rsidRPr="00380843" w14:paraId="3DDBD697" w14:textId="77777777" w:rsidTr="001B22F1">
        <w:trPr>
          <w:trHeight w:val="288"/>
          <w:jc w:val="center"/>
        </w:trPr>
        <w:tc>
          <w:tcPr>
            <w:tcW w:w="2611" w:type="dxa"/>
            <w:tcBorders>
              <w:left w:val="single" w:sz="4" w:space="0" w:color="auto"/>
              <w:bottom w:val="single" w:sz="4" w:space="0" w:color="auto"/>
              <w:right w:val="single" w:sz="4" w:space="0" w:color="000000" w:themeColor="text1"/>
            </w:tcBorders>
            <w:vAlign w:val="center"/>
          </w:tcPr>
          <w:p w14:paraId="69960EF7" w14:textId="77777777" w:rsidR="00231AE4" w:rsidRPr="00380843" w:rsidRDefault="00231AE4" w:rsidP="004F23CF">
            <w:pPr>
              <w:keepLines/>
              <w:spacing w:after="0"/>
              <w:rPr>
                <w:sz w:val="18"/>
                <w:szCs w:val="18"/>
              </w:rPr>
            </w:pPr>
            <w:r w:rsidRPr="00380843">
              <w:rPr>
                <w:sz w:val="18"/>
                <w:szCs w:val="18"/>
              </w:rPr>
              <w:t>Electricity (million kWh)</w:t>
            </w:r>
          </w:p>
        </w:tc>
        <w:tc>
          <w:tcPr>
            <w:tcW w:w="916" w:type="dxa"/>
            <w:tcBorders>
              <w:top w:val="single" w:sz="4" w:space="0" w:color="000000" w:themeColor="text1"/>
              <w:bottom w:val="single" w:sz="4" w:space="0" w:color="auto"/>
              <w:right w:val="single" w:sz="4" w:space="0" w:color="000000" w:themeColor="text1"/>
            </w:tcBorders>
            <w:vAlign w:val="center"/>
          </w:tcPr>
          <w:p w14:paraId="3CC8F9A4" w14:textId="77777777" w:rsidR="00231AE4" w:rsidRPr="00380843" w:rsidRDefault="00231AE4" w:rsidP="004F23CF">
            <w:pPr>
              <w:keepLines/>
              <w:spacing w:after="0"/>
              <w:jc w:val="center"/>
              <w:rPr>
                <w:sz w:val="18"/>
                <w:szCs w:val="18"/>
              </w:rPr>
            </w:pPr>
            <w:r w:rsidRPr="00380843">
              <w:rPr>
                <w:sz w:val="18"/>
                <w:szCs w:val="18"/>
              </w:rPr>
              <w:t>12,048.2</w:t>
            </w:r>
          </w:p>
        </w:tc>
        <w:tc>
          <w:tcPr>
            <w:tcW w:w="874"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51DCF3D" w14:textId="77777777" w:rsidR="00231AE4" w:rsidRPr="00380843" w:rsidRDefault="00231AE4" w:rsidP="004F23CF">
            <w:pPr>
              <w:keepLines/>
              <w:spacing w:after="0"/>
              <w:jc w:val="center"/>
              <w:rPr>
                <w:sz w:val="18"/>
                <w:szCs w:val="18"/>
              </w:rPr>
            </w:pPr>
            <w:r w:rsidRPr="00380843">
              <w:rPr>
                <w:sz w:val="18"/>
                <w:szCs w:val="18"/>
              </w:rPr>
              <w:t>+ 3%</w:t>
            </w:r>
          </w:p>
        </w:tc>
        <w:tc>
          <w:tcPr>
            <w:tcW w:w="87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3A415A6" w14:textId="77777777" w:rsidR="00231AE4" w:rsidRPr="00380843" w:rsidRDefault="00231AE4" w:rsidP="004F23CF">
            <w:pPr>
              <w:keepLines/>
              <w:spacing w:after="0"/>
              <w:jc w:val="center"/>
              <w:rPr>
                <w:sz w:val="18"/>
                <w:szCs w:val="18"/>
              </w:rPr>
            </w:pPr>
            <w:r w:rsidRPr="00380843">
              <w:rPr>
                <w:sz w:val="18"/>
                <w:szCs w:val="18"/>
              </w:rPr>
              <w:t>+ 7%</w:t>
            </w:r>
          </w:p>
        </w:tc>
        <w:tc>
          <w:tcPr>
            <w:tcW w:w="839"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8DF6DE1" w14:textId="77777777" w:rsidR="00231AE4" w:rsidRPr="00380843" w:rsidRDefault="00231AE4" w:rsidP="004F23CF">
            <w:pPr>
              <w:keepLines/>
              <w:spacing w:after="0"/>
              <w:jc w:val="center"/>
              <w:rPr>
                <w:sz w:val="18"/>
                <w:szCs w:val="18"/>
              </w:rPr>
            </w:pPr>
            <w:r w:rsidRPr="00380843">
              <w:rPr>
                <w:sz w:val="18"/>
                <w:szCs w:val="18"/>
              </w:rPr>
              <w:t>+ 10%</w:t>
            </w:r>
          </w:p>
        </w:tc>
        <w:tc>
          <w:tcPr>
            <w:tcW w:w="890" w:type="dxa"/>
            <w:tcBorders>
              <w:top w:val="single" w:sz="4" w:space="0" w:color="000000" w:themeColor="text1"/>
              <w:left w:val="single" w:sz="4" w:space="0" w:color="000000" w:themeColor="text1"/>
              <w:bottom w:val="single" w:sz="4" w:space="0" w:color="auto"/>
              <w:right w:val="single" w:sz="4" w:space="0" w:color="auto"/>
            </w:tcBorders>
            <w:vAlign w:val="center"/>
          </w:tcPr>
          <w:p w14:paraId="1E870BC9" w14:textId="77777777" w:rsidR="00231AE4" w:rsidRPr="00380843" w:rsidRDefault="00231AE4" w:rsidP="004F23CF">
            <w:pPr>
              <w:keepLines/>
              <w:spacing w:after="0"/>
              <w:jc w:val="center"/>
              <w:rPr>
                <w:sz w:val="18"/>
                <w:szCs w:val="18"/>
              </w:rPr>
            </w:pPr>
            <w:r w:rsidRPr="00380843">
              <w:rPr>
                <w:sz w:val="18"/>
                <w:szCs w:val="18"/>
              </w:rPr>
              <w:t>+ 13%</w:t>
            </w:r>
          </w:p>
        </w:tc>
      </w:tr>
      <w:tr w:rsidR="009425B1" w:rsidRPr="00380843" w14:paraId="448BED27" w14:textId="77777777" w:rsidTr="009425B1">
        <w:trPr>
          <w:trHeight w:val="288"/>
          <w:jc w:val="center"/>
        </w:trPr>
        <w:tc>
          <w:tcPr>
            <w:tcW w:w="7008" w:type="dxa"/>
            <w:gridSpan w:val="6"/>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35C43E04" w14:textId="77777777" w:rsidR="00231AE4" w:rsidRPr="00380843" w:rsidRDefault="00231AE4" w:rsidP="004F23CF">
            <w:pPr>
              <w:keepLines/>
              <w:spacing w:after="0"/>
              <w:jc w:val="center"/>
              <w:rPr>
                <w:b/>
                <w:color w:val="FFFFFF" w:themeColor="background1"/>
                <w:sz w:val="18"/>
                <w:szCs w:val="18"/>
              </w:rPr>
            </w:pPr>
            <w:r w:rsidRPr="00380843">
              <w:rPr>
                <w:b/>
                <w:color w:val="FFFFFF" w:themeColor="background1"/>
                <w:sz w:val="18"/>
                <w:szCs w:val="18"/>
              </w:rPr>
              <w:t>Upgrade Case</w:t>
            </w:r>
          </w:p>
        </w:tc>
      </w:tr>
      <w:tr w:rsidR="00231AE4" w:rsidRPr="00380843" w14:paraId="4234C1E8" w14:textId="77777777" w:rsidTr="001B22F1">
        <w:trPr>
          <w:trHeight w:val="288"/>
          <w:jc w:val="center"/>
        </w:trPr>
        <w:tc>
          <w:tcPr>
            <w:tcW w:w="2611" w:type="dxa"/>
            <w:tcBorders>
              <w:top w:val="single" w:sz="4" w:space="0" w:color="auto"/>
              <w:left w:val="single" w:sz="4" w:space="0" w:color="auto"/>
              <w:right w:val="single" w:sz="4" w:space="0" w:color="000000" w:themeColor="text1"/>
            </w:tcBorders>
            <w:vAlign w:val="center"/>
          </w:tcPr>
          <w:p w14:paraId="4715D8DE" w14:textId="77777777" w:rsidR="00231AE4" w:rsidRPr="00380843" w:rsidRDefault="00231AE4" w:rsidP="004F23CF">
            <w:pPr>
              <w:keepLines/>
              <w:spacing w:after="0"/>
              <w:rPr>
                <w:sz w:val="18"/>
                <w:szCs w:val="18"/>
              </w:rPr>
            </w:pPr>
            <w:r w:rsidRPr="00380843">
              <w:rPr>
                <w:sz w:val="18"/>
                <w:szCs w:val="18"/>
              </w:rPr>
              <w:t>Fuel oil (million gallons)</w:t>
            </w:r>
          </w:p>
        </w:tc>
        <w:tc>
          <w:tcPr>
            <w:tcW w:w="916" w:type="dxa"/>
            <w:tcBorders>
              <w:top w:val="single" w:sz="4" w:space="0" w:color="auto"/>
              <w:bottom w:val="single" w:sz="4" w:space="0" w:color="000000" w:themeColor="text1"/>
              <w:right w:val="single" w:sz="4" w:space="0" w:color="000000" w:themeColor="text1"/>
            </w:tcBorders>
            <w:vAlign w:val="center"/>
          </w:tcPr>
          <w:p w14:paraId="2C2DA57A" w14:textId="77777777" w:rsidR="00231AE4" w:rsidRPr="00380843" w:rsidRDefault="00231AE4" w:rsidP="004F23CF">
            <w:pPr>
              <w:keepLines/>
              <w:spacing w:after="0"/>
              <w:jc w:val="center"/>
              <w:rPr>
                <w:sz w:val="18"/>
                <w:szCs w:val="18"/>
              </w:rPr>
            </w:pPr>
            <w:r w:rsidRPr="00380843">
              <w:rPr>
                <w:sz w:val="18"/>
                <w:szCs w:val="18"/>
              </w:rPr>
              <w:t>527.6</w:t>
            </w:r>
          </w:p>
        </w:tc>
        <w:tc>
          <w:tcPr>
            <w:tcW w:w="87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E31F137" w14:textId="77777777" w:rsidR="00231AE4" w:rsidRPr="00380843" w:rsidRDefault="00231AE4" w:rsidP="004F23CF">
            <w:pPr>
              <w:keepLines/>
              <w:spacing w:after="0"/>
              <w:jc w:val="center"/>
              <w:rPr>
                <w:sz w:val="18"/>
                <w:szCs w:val="18"/>
              </w:rPr>
            </w:pPr>
            <w:r w:rsidRPr="00380843">
              <w:rPr>
                <w:sz w:val="18"/>
                <w:szCs w:val="18"/>
              </w:rPr>
              <w:t>- 21%</w:t>
            </w:r>
          </w:p>
        </w:tc>
        <w:tc>
          <w:tcPr>
            <w:tcW w:w="87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CFFB828" w14:textId="77777777" w:rsidR="00231AE4" w:rsidRPr="00380843" w:rsidRDefault="00231AE4" w:rsidP="004F23CF">
            <w:pPr>
              <w:keepLines/>
              <w:spacing w:after="0"/>
              <w:jc w:val="center"/>
              <w:rPr>
                <w:sz w:val="18"/>
                <w:szCs w:val="18"/>
              </w:rPr>
            </w:pPr>
            <w:r w:rsidRPr="00380843">
              <w:rPr>
                <w:sz w:val="18"/>
                <w:szCs w:val="18"/>
              </w:rPr>
              <w:t>- 42%</w:t>
            </w:r>
          </w:p>
        </w:tc>
        <w:tc>
          <w:tcPr>
            <w:tcW w:w="83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9487CAB" w14:textId="77777777" w:rsidR="00231AE4" w:rsidRPr="00380843" w:rsidRDefault="00231AE4" w:rsidP="004F23CF">
            <w:pPr>
              <w:keepLines/>
              <w:spacing w:after="0"/>
              <w:jc w:val="center"/>
              <w:rPr>
                <w:sz w:val="18"/>
                <w:szCs w:val="18"/>
              </w:rPr>
            </w:pPr>
            <w:r w:rsidRPr="00380843">
              <w:rPr>
                <w:sz w:val="18"/>
                <w:szCs w:val="18"/>
              </w:rPr>
              <w:t>- 63%</w:t>
            </w:r>
          </w:p>
        </w:tc>
        <w:tc>
          <w:tcPr>
            <w:tcW w:w="890" w:type="dxa"/>
            <w:tcBorders>
              <w:top w:val="single" w:sz="4" w:space="0" w:color="auto"/>
              <w:left w:val="single" w:sz="4" w:space="0" w:color="000000" w:themeColor="text1"/>
              <w:bottom w:val="single" w:sz="4" w:space="0" w:color="000000" w:themeColor="text1"/>
              <w:right w:val="single" w:sz="4" w:space="0" w:color="auto"/>
            </w:tcBorders>
            <w:vAlign w:val="center"/>
          </w:tcPr>
          <w:p w14:paraId="7CE3976A" w14:textId="77777777" w:rsidR="00231AE4" w:rsidRPr="00380843" w:rsidRDefault="00231AE4" w:rsidP="004F23CF">
            <w:pPr>
              <w:keepLines/>
              <w:spacing w:after="0"/>
              <w:jc w:val="center"/>
              <w:rPr>
                <w:sz w:val="18"/>
                <w:szCs w:val="18"/>
              </w:rPr>
            </w:pPr>
            <w:r w:rsidRPr="00380843">
              <w:rPr>
                <w:sz w:val="18"/>
                <w:szCs w:val="18"/>
              </w:rPr>
              <w:t>- 84%</w:t>
            </w:r>
          </w:p>
        </w:tc>
      </w:tr>
      <w:tr w:rsidR="00231AE4" w:rsidRPr="00380843" w14:paraId="06E539DF" w14:textId="77777777" w:rsidTr="001B22F1">
        <w:trPr>
          <w:trHeight w:val="288"/>
          <w:jc w:val="center"/>
        </w:trPr>
        <w:tc>
          <w:tcPr>
            <w:tcW w:w="2611" w:type="dxa"/>
            <w:tcBorders>
              <w:left w:val="single" w:sz="4" w:space="0" w:color="auto"/>
              <w:right w:val="single" w:sz="4" w:space="0" w:color="000000" w:themeColor="text1"/>
            </w:tcBorders>
            <w:vAlign w:val="center"/>
          </w:tcPr>
          <w:p w14:paraId="7CFFB99E" w14:textId="77777777" w:rsidR="00231AE4" w:rsidRPr="00380843" w:rsidRDefault="00231AE4" w:rsidP="004F23CF">
            <w:pPr>
              <w:keepLines/>
              <w:spacing w:after="0"/>
              <w:rPr>
                <w:sz w:val="18"/>
                <w:szCs w:val="18"/>
              </w:rPr>
            </w:pPr>
            <w:r w:rsidRPr="00380843">
              <w:rPr>
                <w:sz w:val="18"/>
                <w:szCs w:val="18"/>
              </w:rPr>
              <w:t>Propane (million gallons)</w:t>
            </w:r>
          </w:p>
        </w:tc>
        <w:tc>
          <w:tcPr>
            <w:tcW w:w="916" w:type="dxa"/>
            <w:tcBorders>
              <w:top w:val="single" w:sz="4" w:space="0" w:color="000000" w:themeColor="text1"/>
              <w:bottom w:val="single" w:sz="4" w:space="0" w:color="000000" w:themeColor="text1"/>
              <w:right w:val="single" w:sz="4" w:space="0" w:color="000000" w:themeColor="text1"/>
            </w:tcBorders>
            <w:vAlign w:val="center"/>
          </w:tcPr>
          <w:p w14:paraId="7980E884" w14:textId="77777777" w:rsidR="00231AE4" w:rsidRPr="00380843" w:rsidRDefault="00231AE4" w:rsidP="004F23CF">
            <w:pPr>
              <w:keepLines/>
              <w:spacing w:after="0"/>
              <w:jc w:val="center"/>
              <w:rPr>
                <w:sz w:val="18"/>
                <w:szCs w:val="18"/>
              </w:rPr>
            </w:pPr>
            <w:r w:rsidRPr="00380843">
              <w:rPr>
                <w:sz w:val="18"/>
                <w:szCs w:val="18"/>
              </w:rPr>
              <w:t>34.4</w:t>
            </w:r>
          </w:p>
        </w:tc>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65158C" w14:textId="77777777" w:rsidR="00231AE4" w:rsidRPr="00380843" w:rsidRDefault="00231AE4" w:rsidP="004F23CF">
            <w:pPr>
              <w:keepLines/>
              <w:spacing w:after="0"/>
              <w:jc w:val="center"/>
              <w:rPr>
                <w:sz w:val="18"/>
                <w:szCs w:val="18"/>
              </w:rPr>
            </w:pPr>
            <w:r w:rsidRPr="00380843">
              <w:rPr>
                <w:sz w:val="18"/>
                <w:szCs w:val="18"/>
              </w:rPr>
              <w:t>- 18%</w:t>
            </w:r>
          </w:p>
        </w:tc>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F896F7" w14:textId="77777777" w:rsidR="00231AE4" w:rsidRPr="00380843" w:rsidRDefault="00231AE4" w:rsidP="004F23CF">
            <w:pPr>
              <w:keepLines/>
              <w:spacing w:after="0"/>
              <w:jc w:val="center"/>
              <w:rPr>
                <w:sz w:val="18"/>
                <w:szCs w:val="18"/>
              </w:rPr>
            </w:pPr>
            <w:r w:rsidRPr="00380843">
              <w:rPr>
                <w:sz w:val="18"/>
                <w:szCs w:val="18"/>
              </w:rPr>
              <w:t>- 36%</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C46C47" w14:textId="77777777" w:rsidR="00231AE4" w:rsidRPr="00380843" w:rsidRDefault="00231AE4" w:rsidP="004F23CF">
            <w:pPr>
              <w:keepLines/>
              <w:spacing w:after="0"/>
              <w:jc w:val="center"/>
              <w:rPr>
                <w:sz w:val="18"/>
                <w:szCs w:val="18"/>
              </w:rPr>
            </w:pPr>
            <w:r w:rsidRPr="00380843">
              <w:rPr>
                <w:sz w:val="18"/>
                <w:szCs w:val="18"/>
              </w:rPr>
              <w:t>- 55%</w:t>
            </w:r>
          </w:p>
        </w:tc>
        <w:tc>
          <w:tcPr>
            <w:tcW w:w="890"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E7AC506" w14:textId="77777777" w:rsidR="00231AE4" w:rsidRPr="00380843" w:rsidRDefault="00231AE4" w:rsidP="004F23CF">
            <w:pPr>
              <w:keepLines/>
              <w:spacing w:after="0"/>
              <w:jc w:val="center"/>
              <w:rPr>
                <w:sz w:val="18"/>
                <w:szCs w:val="18"/>
              </w:rPr>
            </w:pPr>
            <w:r w:rsidRPr="00380843">
              <w:rPr>
                <w:sz w:val="18"/>
                <w:szCs w:val="18"/>
              </w:rPr>
              <w:t>- 73%</w:t>
            </w:r>
          </w:p>
        </w:tc>
      </w:tr>
      <w:tr w:rsidR="00231AE4" w:rsidRPr="00380843" w14:paraId="67A0F4C7" w14:textId="77777777" w:rsidTr="001B22F1">
        <w:trPr>
          <w:trHeight w:val="288"/>
          <w:jc w:val="center"/>
        </w:trPr>
        <w:tc>
          <w:tcPr>
            <w:tcW w:w="2611" w:type="dxa"/>
            <w:tcBorders>
              <w:left w:val="single" w:sz="4" w:space="0" w:color="auto"/>
              <w:right w:val="single" w:sz="4" w:space="0" w:color="000000" w:themeColor="text1"/>
            </w:tcBorders>
            <w:vAlign w:val="center"/>
          </w:tcPr>
          <w:p w14:paraId="22E9C674" w14:textId="77777777" w:rsidR="00231AE4" w:rsidRPr="00380843" w:rsidRDefault="00231AE4" w:rsidP="004F23CF">
            <w:pPr>
              <w:keepLines/>
              <w:spacing w:after="0"/>
              <w:rPr>
                <w:sz w:val="18"/>
                <w:szCs w:val="18"/>
              </w:rPr>
            </w:pPr>
            <w:r w:rsidRPr="00380843">
              <w:rPr>
                <w:sz w:val="18"/>
                <w:szCs w:val="18"/>
              </w:rPr>
              <w:t>Natural gas (million ccf)</w:t>
            </w:r>
          </w:p>
        </w:tc>
        <w:tc>
          <w:tcPr>
            <w:tcW w:w="916" w:type="dxa"/>
            <w:tcBorders>
              <w:top w:val="single" w:sz="4" w:space="0" w:color="000000" w:themeColor="text1"/>
              <w:bottom w:val="single" w:sz="4" w:space="0" w:color="000000" w:themeColor="text1"/>
              <w:right w:val="single" w:sz="4" w:space="0" w:color="000000" w:themeColor="text1"/>
            </w:tcBorders>
            <w:vAlign w:val="center"/>
          </w:tcPr>
          <w:p w14:paraId="7D6F0A95" w14:textId="77777777" w:rsidR="00231AE4" w:rsidRPr="00380843" w:rsidRDefault="00231AE4" w:rsidP="004F23CF">
            <w:pPr>
              <w:keepLines/>
              <w:spacing w:after="0"/>
              <w:jc w:val="center"/>
              <w:rPr>
                <w:sz w:val="18"/>
                <w:szCs w:val="18"/>
              </w:rPr>
            </w:pPr>
            <w:r w:rsidRPr="00380843">
              <w:rPr>
                <w:sz w:val="18"/>
                <w:szCs w:val="18"/>
              </w:rPr>
              <w:t>326.8</w:t>
            </w:r>
          </w:p>
        </w:tc>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F5EA0B" w14:textId="77777777" w:rsidR="00231AE4" w:rsidRPr="00380843" w:rsidRDefault="00231AE4" w:rsidP="004F23CF">
            <w:pPr>
              <w:keepLines/>
              <w:spacing w:after="0"/>
              <w:jc w:val="center"/>
              <w:rPr>
                <w:sz w:val="18"/>
                <w:szCs w:val="18"/>
              </w:rPr>
            </w:pPr>
            <w:r w:rsidRPr="00380843">
              <w:rPr>
                <w:sz w:val="18"/>
                <w:szCs w:val="18"/>
              </w:rPr>
              <w:t>+ 20%</w:t>
            </w:r>
          </w:p>
        </w:tc>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2081D6" w14:textId="77777777" w:rsidR="00231AE4" w:rsidRPr="00380843" w:rsidRDefault="00231AE4" w:rsidP="004F23CF">
            <w:pPr>
              <w:keepLines/>
              <w:spacing w:after="0"/>
              <w:jc w:val="center"/>
              <w:rPr>
                <w:sz w:val="18"/>
                <w:szCs w:val="18"/>
              </w:rPr>
            </w:pPr>
            <w:r w:rsidRPr="00380843">
              <w:rPr>
                <w:sz w:val="18"/>
                <w:szCs w:val="18"/>
              </w:rPr>
              <w:t>+ 41%</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21C06B" w14:textId="77777777" w:rsidR="00231AE4" w:rsidRPr="00380843" w:rsidRDefault="00231AE4" w:rsidP="004F23CF">
            <w:pPr>
              <w:keepLines/>
              <w:spacing w:after="0"/>
              <w:jc w:val="center"/>
              <w:rPr>
                <w:sz w:val="18"/>
                <w:szCs w:val="18"/>
              </w:rPr>
            </w:pPr>
            <w:r w:rsidRPr="00380843">
              <w:rPr>
                <w:sz w:val="18"/>
                <w:szCs w:val="18"/>
              </w:rPr>
              <w:t>+ 61%</w:t>
            </w:r>
          </w:p>
        </w:tc>
        <w:tc>
          <w:tcPr>
            <w:tcW w:w="890"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BDF7BE6" w14:textId="77777777" w:rsidR="00231AE4" w:rsidRPr="00380843" w:rsidRDefault="00231AE4" w:rsidP="004F23CF">
            <w:pPr>
              <w:keepLines/>
              <w:spacing w:after="0"/>
              <w:jc w:val="center"/>
              <w:rPr>
                <w:sz w:val="18"/>
                <w:szCs w:val="18"/>
              </w:rPr>
            </w:pPr>
            <w:r w:rsidRPr="00380843">
              <w:rPr>
                <w:sz w:val="18"/>
                <w:szCs w:val="18"/>
              </w:rPr>
              <w:t>+ 82%</w:t>
            </w:r>
          </w:p>
        </w:tc>
      </w:tr>
      <w:tr w:rsidR="00231AE4" w:rsidRPr="00380843" w14:paraId="7646AD9B" w14:textId="77777777" w:rsidTr="001B22F1">
        <w:trPr>
          <w:trHeight w:val="288"/>
          <w:jc w:val="center"/>
        </w:trPr>
        <w:tc>
          <w:tcPr>
            <w:tcW w:w="2611" w:type="dxa"/>
            <w:tcBorders>
              <w:left w:val="single" w:sz="4" w:space="0" w:color="auto"/>
              <w:bottom w:val="single" w:sz="4" w:space="0" w:color="auto"/>
              <w:right w:val="single" w:sz="4" w:space="0" w:color="000000" w:themeColor="text1"/>
            </w:tcBorders>
            <w:vAlign w:val="center"/>
          </w:tcPr>
          <w:p w14:paraId="24DB6869" w14:textId="77777777" w:rsidR="00231AE4" w:rsidRPr="00380843" w:rsidRDefault="00231AE4" w:rsidP="004F23CF">
            <w:pPr>
              <w:keepLines/>
              <w:spacing w:after="0"/>
              <w:rPr>
                <w:sz w:val="18"/>
                <w:szCs w:val="18"/>
              </w:rPr>
            </w:pPr>
            <w:r w:rsidRPr="00380843">
              <w:rPr>
                <w:sz w:val="18"/>
                <w:szCs w:val="18"/>
              </w:rPr>
              <w:t>Electricity (million kWh)</w:t>
            </w:r>
          </w:p>
        </w:tc>
        <w:tc>
          <w:tcPr>
            <w:tcW w:w="916" w:type="dxa"/>
            <w:tcBorders>
              <w:top w:val="single" w:sz="4" w:space="0" w:color="000000" w:themeColor="text1"/>
              <w:bottom w:val="single" w:sz="4" w:space="0" w:color="auto"/>
              <w:right w:val="single" w:sz="4" w:space="0" w:color="000000" w:themeColor="text1"/>
            </w:tcBorders>
            <w:vAlign w:val="center"/>
          </w:tcPr>
          <w:p w14:paraId="10415020" w14:textId="77777777" w:rsidR="00231AE4" w:rsidRPr="00380843" w:rsidRDefault="00231AE4" w:rsidP="004F23CF">
            <w:pPr>
              <w:keepLines/>
              <w:spacing w:after="0"/>
              <w:jc w:val="center"/>
              <w:rPr>
                <w:sz w:val="18"/>
                <w:szCs w:val="18"/>
              </w:rPr>
            </w:pPr>
            <w:r w:rsidRPr="00380843">
              <w:rPr>
                <w:sz w:val="18"/>
                <w:szCs w:val="18"/>
              </w:rPr>
              <w:t>12,048.2</w:t>
            </w:r>
          </w:p>
        </w:tc>
        <w:tc>
          <w:tcPr>
            <w:tcW w:w="874"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4AB9625" w14:textId="77777777" w:rsidR="00231AE4" w:rsidRPr="00380843" w:rsidRDefault="00231AE4" w:rsidP="004F23CF">
            <w:pPr>
              <w:keepLines/>
              <w:spacing w:after="0"/>
              <w:jc w:val="center"/>
              <w:rPr>
                <w:sz w:val="18"/>
                <w:szCs w:val="18"/>
              </w:rPr>
            </w:pPr>
            <w:r w:rsidRPr="00380843">
              <w:rPr>
                <w:sz w:val="18"/>
                <w:szCs w:val="18"/>
              </w:rPr>
              <w:t>+ 3%</w:t>
            </w:r>
          </w:p>
        </w:tc>
        <w:tc>
          <w:tcPr>
            <w:tcW w:w="87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5ABDDF6" w14:textId="77777777" w:rsidR="00231AE4" w:rsidRPr="00380843" w:rsidRDefault="00231AE4" w:rsidP="004F23CF">
            <w:pPr>
              <w:keepLines/>
              <w:spacing w:after="0"/>
              <w:jc w:val="center"/>
              <w:rPr>
                <w:sz w:val="18"/>
                <w:szCs w:val="18"/>
              </w:rPr>
            </w:pPr>
            <w:r w:rsidRPr="00380843">
              <w:rPr>
                <w:sz w:val="18"/>
                <w:szCs w:val="18"/>
              </w:rPr>
              <w:t>+ 6%</w:t>
            </w:r>
          </w:p>
        </w:tc>
        <w:tc>
          <w:tcPr>
            <w:tcW w:w="839"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D6EFC03" w14:textId="77777777" w:rsidR="00231AE4" w:rsidRPr="00380843" w:rsidRDefault="00231AE4" w:rsidP="004F23CF">
            <w:pPr>
              <w:keepLines/>
              <w:spacing w:after="0"/>
              <w:jc w:val="center"/>
              <w:rPr>
                <w:sz w:val="18"/>
                <w:szCs w:val="18"/>
              </w:rPr>
            </w:pPr>
            <w:r w:rsidRPr="00380843">
              <w:rPr>
                <w:sz w:val="18"/>
                <w:szCs w:val="18"/>
              </w:rPr>
              <w:t>+ 9%</w:t>
            </w:r>
          </w:p>
        </w:tc>
        <w:tc>
          <w:tcPr>
            <w:tcW w:w="890" w:type="dxa"/>
            <w:tcBorders>
              <w:top w:val="single" w:sz="4" w:space="0" w:color="000000" w:themeColor="text1"/>
              <w:left w:val="single" w:sz="4" w:space="0" w:color="000000" w:themeColor="text1"/>
              <w:bottom w:val="single" w:sz="4" w:space="0" w:color="auto"/>
              <w:right w:val="single" w:sz="4" w:space="0" w:color="auto"/>
            </w:tcBorders>
            <w:vAlign w:val="center"/>
          </w:tcPr>
          <w:p w14:paraId="45C6CA2B" w14:textId="77777777" w:rsidR="00231AE4" w:rsidRPr="00380843" w:rsidRDefault="00231AE4" w:rsidP="004F23CF">
            <w:pPr>
              <w:keepLines/>
              <w:spacing w:after="0"/>
              <w:jc w:val="center"/>
              <w:rPr>
                <w:sz w:val="18"/>
                <w:szCs w:val="18"/>
              </w:rPr>
            </w:pPr>
            <w:r w:rsidRPr="00380843">
              <w:rPr>
                <w:sz w:val="18"/>
                <w:szCs w:val="18"/>
              </w:rPr>
              <w:t>+ 12%</w:t>
            </w:r>
          </w:p>
        </w:tc>
      </w:tr>
    </w:tbl>
    <w:p w14:paraId="107F1949" w14:textId="77777777" w:rsidR="00231AE4" w:rsidRPr="00F6205B" w:rsidRDefault="00231AE4" w:rsidP="009425B1">
      <w:pPr>
        <w:keepNext/>
        <w:tabs>
          <w:tab w:val="left" w:pos="630"/>
        </w:tabs>
        <w:spacing w:after="0"/>
        <w:ind w:left="900" w:right="918"/>
        <w:rPr>
          <w:sz w:val="18"/>
          <w:szCs w:val="18"/>
        </w:rPr>
      </w:pPr>
      <w:r w:rsidRPr="00F6205B">
        <w:rPr>
          <w:sz w:val="18"/>
          <w:szCs w:val="18"/>
        </w:rPr>
        <w:t>* Expected consumption is the current annual consumption extrapolated over ten years using growth rates.</w:t>
      </w:r>
    </w:p>
    <w:p w14:paraId="76F9B04D" w14:textId="77777777" w:rsidR="00231AE4" w:rsidRPr="00F6205B" w:rsidRDefault="00231AE4" w:rsidP="00231AE4"/>
    <w:p w14:paraId="63ED6F4F" w14:textId="162BF570" w:rsidR="00231AE4" w:rsidRPr="00F6205B" w:rsidRDefault="00231AE4" w:rsidP="00231AE4">
      <w:r w:rsidRPr="00F6205B">
        <w:lastRenderedPageBreak/>
        <w:t>Consumers in the state of Connecticut could potentially avoid burning nearly 2 billion gallons of oil and over 100 million gallons of propane ov</w:t>
      </w:r>
      <w:r w:rsidR="00C44244">
        <w:t>er the ten-year period from 2016 to 2025</w:t>
      </w:r>
      <w:r w:rsidRPr="00F6205B">
        <w:t xml:space="preserve"> as a result of fuel switching, assuming a 100% conversion rate and no utility intervention.</w:t>
      </w:r>
      <w:r w:rsidRPr="00F6205B">
        <w:rPr>
          <w:rStyle w:val="FootnoteReference"/>
        </w:rPr>
        <w:footnoteReference w:id="74"/>
      </w:r>
      <w:r w:rsidRPr="00F6205B">
        <w:t xml:space="preserve"> The same switch would result in approximately a 1.7 billion ccf increase in natural gas consumption and about a 9.5 billion kilowatt-hour increase in electric consumption over a ten-year period, in aggregate. See </w:t>
      </w:r>
      <w:r w:rsidR="0087066E">
        <w:fldChar w:fldCharType="begin"/>
      </w:r>
      <w:r w:rsidR="0087066E">
        <w:instrText xml:space="preserve"> REF _Ref439680585 \h </w:instrText>
      </w:r>
      <w:r w:rsidR="0087066E">
        <w:fldChar w:fldCharType="separate"/>
      </w:r>
      <w:r w:rsidR="00FA26A9">
        <w:t xml:space="preserve">Table </w:t>
      </w:r>
      <w:r w:rsidR="00FA26A9">
        <w:rPr>
          <w:noProof/>
        </w:rPr>
        <w:t>48</w:t>
      </w:r>
      <w:r w:rsidR="0087066E">
        <w:fldChar w:fldCharType="end"/>
      </w:r>
      <w:r w:rsidR="0087066E">
        <w:t xml:space="preserve"> </w:t>
      </w:r>
      <w:r w:rsidRPr="00F6205B">
        <w:t xml:space="preserve">in </w:t>
      </w:r>
      <w:r w:rsidR="0087066E">
        <w:fldChar w:fldCharType="begin"/>
      </w:r>
      <w:r w:rsidR="0087066E">
        <w:instrText xml:space="preserve"> REF _Ref439690329 \n \h </w:instrText>
      </w:r>
      <w:r w:rsidR="0087066E">
        <w:fldChar w:fldCharType="separate"/>
      </w:r>
      <w:r w:rsidR="00FA26A9">
        <w:t>Appendix D</w:t>
      </w:r>
      <w:r w:rsidR="0087066E">
        <w:fldChar w:fldCharType="end"/>
      </w:r>
      <w:r w:rsidR="0087066E">
        <w:t xml:space="preserve"> </w:t>
      </w:r>
      <w:r w:rsidRPr="00F6205B">
        <w:t>for detailed consumption growth trajectories under the maximum (100%) conversion rate.</w:t>
      </w:r>
    </w:p>
    <w:p w14:paraId="26D414EC" w14:textId="6B64A01B" w:rsidR="00231AE4" w:rsidRPr="00F6205B" w:rsidRDefault="00231AE4" w:rsidP="00231AE4">
      <w:r w:rsidRPr="00F6205B">
        <w:t>The analysis also estimates that program incentives for energy efficient natural gas and heat pump heating and water heating equipment could potentially save 8% of the total increase in natural gas consumption (130.8 million ccf) and 11% of the total increase in electric consumption (1 billion kilowatt-hours) over the course of the next decade (</w:t>
      </w:r>
      <w:r w:rsidR="0087066E">
        <w:fldChar w:fldCharType="begin"/>
      </w:r>
      <w:r w:rsidR="0087066E">
        <w:instrText xml:space="preserve"> REF _Ref439690365 \h </w:instrText>
      </w:r>
      <w:r w:rsidR="0087066E">
        <w:fldChar w:fldCharType="separate"/>
      </w:r>
      <w:r w:rsidR="00FA26A9" w:rsidRPr="00F6205B">
        <w:t xml:space="preserve">Figure </w:t>
      </w:r>
      <w:r w:rsidR="00FA26A9">
        <w:rPr>
          <w:noProof/>
        </w:rPr>
        <w:t>23</w:t>
      </w:r>
      <w:r w:rsidR="0087066E">
        <w:fldChar w:fldCharType="end"/>
      </w:r>
      <w:r w:rsidRPr="00F6205B">
        <w:t>).</w:t>
      </w:r>
    </w:p>
    <w:p w14:paraId="313378CD" w14:textId="0277997B" w:rsidR="00231AE4" w:rsidRPr="00F6205B" w:rsidRDefault="00380843" w:rsidP="00231AE4">
      <w:pPr>
        <w:keepNext/>
      </w:pPr>
      <w:r>
        <w:fldChar w:fldCharType="begin"/>
      </w:r>
      <w:r>
        <w:instrText xml:space="preserve"> REF _Ref439690365 \h </w:instrText>
      </w:r>
      <w:r>
        <w:fldChar w:fldCharType="separate"/>
      </w:r>
      <w:r w:rsidRPr="00F6205B">
        <w:t xml:space="preserve">Figure </w:t>
      </w:r>
      <w:r>
        <w:rPr>
          <w:noProof/>
        </w:rPr>
        <w:t>23</w:t>
      </w:r>
      <w:r>
        <w:fldChar w:fldCharType="end"/>
      </w:r>
      <w:r>
        <w:t xml:space="preserve"> </w:t>
      </w:r>
      <w:r w:rsidR="00231AE4" w:rsidRPr="00F6205B">
        <w:t>demonstrates the maximum impact of the two fuel switching scenarios on oil consumption over ten years.</w:t>
      </w:r>
    </w:p>
    <w:p w14:paraId="1EAE2CDD" w14:textId="5ED55DCC" w:rsidR="00231AE4" w:rsidRPr="00F6205B" w:rsidRDefault="00231AE4" w:rsidP="004F23CF">
      <w:pPr>
        <w:pStyle w:val="Caption"/>
      </w:pPr>
      <w:bookmarkStart w:id="373" w:name="_Ref371514561"/>
      <w:bookmarkStart w:id="374" w:name="_Ref439690365"/>
      <w:bookmarkStart w:id="375" w:name="_Toc373318451"/>
      <w:bookmarkStart w:id="376" w:name="_Toc391887409"/>
      <w:bookmarkStart w:id="377" w:name="_Toc439931816"/>
      <w:r w:rsidRPr="00F6205B">
        <w:t>Figure</w:t>
      </w:r>
      <w:bookmarkEnd w:id="373"/>
      <w:r w:rsidR="004F23CF" w:rsidRPr="00F6205B">
        <w:t xml:space="preserve"> </w:t>
      </w:r>
      <w:fldSimple w:instr=" SEQ Figure \* ARABIC ">
        <w:r w:rsidR="00FA26A9">
          <w:rPr>
            <w:noProof/>
          </w:rPr>
          <w:t>23</w:t>
        </w:r>
      </w:fldSimple>
      <w:bookmarkEnd w:id="374"/>
      <w:r w:rsidRPr="00F6205B">
        <w:t xml:space="preserve">: </w:t>
      </w:r>
      <w:r w:rsidR="00501AE4">
        <w:t>Fuel Switching—</w:t>
      </w:r>
      <w:r w:rsidRPr="00F6205B">
        <w:t>Impact on Fuel Oil Consumption (100% Conversion Rate)</w:t>
      </w:r>
      <w:bookmarkEnd w:id="375"/>
      <w:bookmarkEnd w:id="376"/>
      <w:bookmarkEnd w:id="377"/>
    </w:p>
    <w:p w14:paraId="2B1CAF2E" w14:textId="1DD46ACE" w:rsidR="00346A82" w:rsidRPr="00F6205B" w:rsidRDefault="00346A82" w:rsidP="00346A82">
      <w:pPr>
        <w:pStyle w:val="Caption"/>
        <w:spacing w:before="0" w:after="120"/>
      </w:pPr>
      <w:r w:rsidRPr="00F6205B">
        <w:rPr>
          <w:b w:val="0"/>
          <w:bCs w:val="0"/>
          <w:sz w:val="18"/>
        </w:rPr>
        <w:t>Base: all single-family homes (population-weighted)</w:t>
      </w:r>
      <w:r w:rsidRPr="00F6205B">
        <w:t xml:space="preserve"> </w:t>
      </w:r>
    </w:p>
    <w:p w14:paraId="1AFBCC57" w14:textId="77777777" w:rsidR="00231AE4" w:rsidRPr="00F6205B" w:rsidRDefault="00231AE4" w:rsidP="00231AE4">
      <w:pPr>
        <w:spacing w:after="0"/>
        <w:jc w:val="center"/>
        <w:rPr>
          <w:noProof/>
          <w:lang w:bidi="ar-SA"/>
        </w:rPr>
      </w:pPr>
      <w:r w:rsidRPr="00F6205B">
        <w:rPr>
          <w:noProof/>
          <w:lang w:bidi="ar-SA"/>
        </w:rPr>
        <w:drawing>
          <wp:inline distT="0" distB="0" distL="0" distR="0" wp14:anchorId="18CB3415" wp14:editId="1AA5FE7B">
            <wp:extent cx="5496693" cy="2553056"/>
            <wp:effectExtent l="0" t="0" r="889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Incentive Impact Bars.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496693" cy="2553056"/>
                    </a:xfrm>
                    <a:prstGeom prst="rect">
                      <a:avLst/>
                    </a:prstGeom>
                  </pic:spPr>
                </pic:pic>
              </a:graphicData>
            </a:graphic>
          </wp:inline>
        </w:drawing>
      </w:r>
    </w:p>
    <w:p w14:paraId="48DAE5F8" w14:textId="77777777" w:rsidR="00231AE4" w:rsidRPr="00F6205B" w:rsidRDefault="00231AE4" w:rsidP="00231AE4"/>
    <w:p w14:paraId="10B5360F" w14:textId="08151C12" w:rsidR="00231AE4" w:rsidRPr="00F6205B" w:rsidRDefault="00380843" w:rsidP="00231AE4">
      <w:pPr>
        <w:pStyle w:val="NoSpacing"/>
        <w:keepNext/>
      </w:pPr>
      <w:r>
        <w:lastRenderedPageBreak/>
        <w:fldChar w:fldCharType="begin"/>
      </w:r>
      <w:r>
        <w:instrText xml:space="preserve"> REF _Ref439934463 \h </w:instrText>
      </w:r>
      <w:r>
        <w:fldChar w:fldCharType="separate"/>
      </w:r>
      <w:r w:rsidRPr="00F6205B">
        <w:t xml:space="preserve">Figure </w:t>
      </w:r>
      <w:r>
        <w:rPr>
          <w:noProof/>
        </w:rPr>
        <w:t>24</w:t>
      </w:r>
      <w:r>
        <w:fldChar w:fldCharType="end"/>
      </w:r>
      <w:r>
        <w:t xml:space="preserve"> </w:t>
      </w:r>
      <w:r w:rsidR="00231AE4" w:rsidRPr="00F6205B">
        <w:t>demonstrates the maximum impact of the two fuel switching scenarios on propane consumption over ten years.</w:t>
      </w:r>
    </w:p>
    <w:p w14:paraId="12E7A48F" w14:textId="5A3E3EF7" w:rsidR="00231AE4" w:rsidRPr="00F6205B" w:rsidRDefault="00231AE4" w:rsidP="004F23CF">
      <w:pPr>
        <w:pStyle w:val="Caption"/>
      </w:pPr>
      <w:bookmarkStart w:id="378" w:name="_Ref371514563"/>
      <w:bookmarkStart w:id="379" w:name="_Ref439934463"/>
      <w:bookmarkStart w:id="380" w:name="_Toc373318452"/>
      <w:bookmarkStart w:id="381" w:name="_Toc391887410"/>
      <w:bookmarkStart w:id="382" w:name="_Toc439931817"/>
      <w:r w:rsidRPr="00F6205B">
        <w:t>Figure</w:t>
      </w:r>
      <w:bookmarkEnd w:id="378"/>
      <w:r w:rsidR="004F23CF" w:rsidRPr="00F6205B">
        <w:t xml:space="preserve"> </w:t>
      </w:r>
      <w:fldSimple w:instr=" SEQ Figure \* ARABIC ">
        <w:r w:rsidR="00FA26A9">
          <w:rPr>
            <w:noProof/>
          </w:rPr>
          <w:t>24</w:t>
        </w:r>
      </w:fldSimple>
      <w:bookmarkEnd w:id="379"/>
      <w:r w:rsidRPr="00F6205B">
        <w:t xml:space="preserve">: </w:t>
      </w:r>
      <w:r w:rsidR="00501AE4">
        <w:t>Fuel Switching—</w:t>
      </w:r>
      <w:r w:rsidRPr="00F6205B">
        <w:t>Impact on Propane Consumption (100% Conversion Rate)</w:t>
      </w:r>
      <w:bookmarkEnd w:id="380"/>
      <w:bookmarkEnd w:id="381"/>
      <w:bookmarkEnd w:id="382"/>
    </w:p>
    <w:p w14:paraId="00CBBBF6" w14:textId="110AADF7" w:rsidR="00346A82" w:rsidRPr="00F6205B" w:rsidRDefault="00346A82" w:rsidP="00346A82">
      <w:pPr>
        <w:pStyle w:val="Caption"/>
        <w:spacing w:before="0" w:after="120"/>
      </w:pPr>
      <w:r w:rsidRPr="00F6205B">
        <w:rPr>
          <w:b w:val="0"/>
          <w:bCs w:val="0"/>
          <w:sz w:val="18"/>
        </w:rPr>
        <w:t>Base: all single-family homes (population-weighted)</w:t>
      </w:r>
      <w:r w:rsidRPr="00F6205B">
        <w:t xml:space="preserve"> </w:t>
      </w:r>
    </w:p>
    <w:p w14:paraId="5BA0C3E2" w14:textId="77777777" w:rsidR="00231AE4" w:rsidRPr="00F6205B" w:rsidRDefault="00231AE4" w:rsidP="00231AE4">
      <w:pPr>
        <w:spacing w:after="0"/>
        <w:jc w:val="center"/>
        <w:rPr>
          <w:noProof/>
          <w:lang w:bidi="ar-SA"/>
        </w:rPr>
      </w:pPr>
      <w:r w:rsidRPr="00F6205B">
        <w:rPr>
          <w:noProof/>
          <w:lang w:bidi="ar-SA"/>
        </w:rPr>
        <w:drawing>
          <wp:inline distT="0" distB="0" distL="0" distR="0" wp14:anchorId="16DDF99B" wp14:editId="6D206922">
            <wp:extent cx="5487166" cy="2486372"/>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ane Incentive Impact Bars.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487166" cy="2486372"/>
                    </a:xfrm>
                    <a:prstGeom prst="rect">
                      <a:avLst/>
                    </a:prstGeom>
                  </pic:spPr>
                </pic:pic>
              </a:graphicData>
            </a:graphic>
          </wp:inline>
        </w:drawing>
      </w:r>
    </w:p>
    <w:p w14:paraId="4187AF4F" w14:textId="77777777" w:rsidR="00231AE4" w:rsidRPr="00F6205B" w:rsidRDefault="00231AE4" w:rsidP="00231AE4"/>
    <w:p w14:paraId="0D5D4D5B" w14:textId="772055F7" w:rsidR="00231AE4" w:rsidRPr="00F6205B" w:rsidRDefault="00231AE4" w:rsidP="00231AE4">
      <w:pPr>
        <w:keepNext/>
      </w:pPr>
      <w:r w:rsidRPr="00F6205B">
        <w:t xml:space="preserve">Likewise, </w:t>
      </w:r>
      <w:r w:rsidR="00380843">
        <w:fldChar w:fldCharType="begin"/>
      </w:r>
      <w:r w:rsidR="00380843">
        <w:instrText xml:space="preserve"> REF _Ref439934473 \h </w:instrText>
      </w:r>
      <w:r w:rsidR="00380843">
        <w:fldChar w:fldCharType="separate"/>
      </w:r>
      <w:r w:rsidR="00380843" w:rsidRPr="00F6205B">
        <w:t xml:space="preserve">Figure </w:t>
      </w:r>
      <w:r w:rsidR="00380843">
        <w:rPr>
          <w:noProof/>
        </w:rPr>
        <w:t>25</w:t>
      </w:r>
      <w:r w:rsidR="00380843">
        <w:fldChar w:fldCharType="end"/>
      </w:r>
      <w:r w:rsidR="00380843">
        <w:t xml:space="preserve"> </w:t>
      </w:r>
      <w:r w:rsidRPr="00F6205B">
        <w:t>demonstrates the maximum impact of fuel switching on natural gas consumption over ten years.</w:t>
      </w:r>
    </w:p>
    <w:p w14:paraId="4F6D65DD" w14:textId="4AB647F7" w:rsidR="00231AE4" w:rsidRPr="00F6205B" w:rsidRDefault="00231AE4" w:rsidP="004F23CF">
      <w:pPr>
        <w:pStyle w:val="Caption"/>
      </w:pPr>
      <w:bookmarkStart w:id="383" w:name="_Ref371514564"/>
      <w:bookmarkStart w:id="384" w:name="_Ref439934473"/>
      <w:bookmarkStart w:id="385" w:name="_Toc373318453"/>
      <w:bookmarkStart w:id="386" w:name="_Toc391887411"/>
      <w:bookmarkStart w:id="387" w:name="_Toc439931818"/>
      <w:r w:rsidRPr="00F6205B">
        <w:t>Figure</w:t>
      </w:r>
      <w:bookmarkEnd w:id="383"/>
      <w:r w:rsidR="004F23CF" w:rsidRPr="00F6205B">
        <w:t xml:space="preserve"> </w:t>
      </w:r>
      <w:fldSimple w:instr=" SEQ Figure \* ARABIC ">
        <w:r w:rsidR="00FA26A9">
          <w:rPr>
            <w:noProof/>
          </w:rPr>
          <w:t>25</w:t>
        </w:r>
      </w:fldSimple>
      <w:bookmarkEnd w:id="384"/>
      <w:r w:rsidRPr="00F6205B">
        <w:t xml:space="preserve">: </w:t>
      </w:r>
      <w:r w:rsidR="00501AE4">
        <w:t>Fuel Switching—</w:t>
      </w:r>
      <w:r w:rsidRPr="00F6205B">
        <w:t>Impact on Natural Gas Consumption (100% Conversion Rate)</w:t>
      </w:r>
      <w:bookmarkEnd w:id="385"/>
      <w:bookmarkEnd w:id="386"/>
      <w:bookmarkEnd w:id="387"/>
    </w:p>
    <w:p w14:paraId="2C55B77E" w14:textId="692BD1CA" w:rsidR="00346A82" w:rsidRPr="00F6205B" w:rsidRDefault="00346A82" w:rsidP="00346A82">
      <w:pPr>
        <w:pStyle w:val="Caption"/>
        <w:spacing w:before="0" w:after="120"/>
      </w:pPr>
      <w:r w:rsidRPr="00F6205B">
        <w:rPr>
          <w:b w:val="0"/>
          <w:bCs w:val="0"/>
          <w:sz w:val="18"/>
        </w:rPr>
        <w:t>Base: all single-family homes (population-weighted)</w:t>
      </w:r>
      <w:r w:rsidRPr="00F6205B">
        <w:t xml:space="preserve"> </w:t>
      </w:r>
    </w:p>
    <w:p w14:paraId="32E9A5E7" w14:textId="77777777" w:rsidR="00231AE4" w:rsidRPr="00F6205B" w:rsidRDefault="00231AE4" w:rsidP="00231AE4">
      <w:pPr>
        <w:keepNext/>
        <w:spacing w:after="0"/>
        <w:jc w:val="center"/>
        <w:rPr>
          <w:noProof/>
          <w:lang w:bidi="ar-SA"/>
        </w:rPr>
      </w:pPr>
      <w:r w:rsidRPr="00F6205B">
        <w:rPr>
          <w:noProof/>
          <w:lang w:bidi="ar-SA"/>
        </w:rPr>
        <w:drawing>
          <wp:inline distT="0" distB="0" distL="0" distR="0" wp14:anchorId="6C9CBB7C" wp14:editId="0F6E1CE3">
            <wp:extent cx="5477640" cy="2534004"/>
            <wp:effectExtent l="0" t="0" r="889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 Gas Incentive Impact Bars.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477640" cy="2534004"/>
                    </a:xfrm>
                    <a:prstGeom prst="rect">
                      <a:avLst/>
                    </a:prstGeom>
                  </pic:spPr>
                </pic:pic>
              </a:graphicData>
            </a:graphic>
          </wp:inline>
        </w:drawing>
      </w:r>
    </w:p>
    <w:p w14:paraId="488E67DC" w14:textId="77777777" w:rsidR="00231AE4" w:rsidRPr="00F6205B" w:rsidRDefault="00231AE4" w:rsidP="00231AE4">
      <w:pPr>
        <w:keepNext/>
        <w:spacing w:after="0"/>
        <w:ind w:left="990"/>
        <w:rPr>
          <w:noProof/>
          <w:sz w:val="20"/>
          <w:lang w:bidi="ar-SA"/>
        </w:rPr>
      </w:pPr>
    </w:p>
    <w:p w14:paraId="1A332DB4" w14:textId="77777777" w:rsidR="00231AE4" w:rsidRPr="00F6205B" w:rsidRDefault="00231AE4" w:rsidP="00231AE4"/>
    <w:p w14:paraId="386D1082" w14:textId="7A8AE095" w:rsidR="00231AE4" w:rsidRPr="00F6205B" w:rsidRDefault="00380843" w:rsidP="00231AE4">
      <w:pPr>
        <w:keepNext/>
      </w:pPr>
      <w:r>
        <w:lastRenderedPageBreak/>
        <w:fldChar w:fldCharType="begin"/>
      </w:r>
      <w:r>
        <w:instrText xml:space="preserve"> REF _Ref439934487 \h </w:instrText>
      </w:r>
      <w:r>
        <w:fldChar w:fldCharType="separate"/>
      </w:r>
      <w:r w:rsidRPr="00F6205B">
        <w:t xml:space="preserve">Figure </w:t>
      </w:r>
      <w:r>
        <w:rPr>
          <w:noProof/>
        </w:rPr>
        <w:t>26</w:t>
      </w:r>
      <w:r>
        <w:fldChar w:fldCharType="end"/>
      </w:r>
      <w:r>
        <w:t xml:space="preserve"> </w:t>
      </w:r>
      <w:r w:rsidR="00231AE4" w:rsidRPr="00F6205B">
        <w:t>shows the maximum impact fuel switching could have on electricity consumption over the next ten years.</w:t>
      </w:r>
    </w:p>
    <w:p w14:paraId="4B1F14F5" w14:textId="6E819513" w:rsidR="00231AE4" w:rsidRPr="00F6205B" w:rsidRDefault="00231AE4" w:rsidP="004F23CF">
      <w:pPr>
        <w:pStyle w:val="Caption"/>
      </w:pPr>
      <w:bookmarkStart w:id="388" w:name="_Ref371514566"/>
      <w:bookmarkStart w:id="389" w:name="_Ref439934487"/>
      <w:bookmarkStart w:id="390" w:name="_Toc373318454"/>
      <w:bookmarkStart w:id="391" w:name="_Toc391887412"/>
      <w:bookmarkStart w:id="392" w:name="_Toc439931819"/>
      <w:r w:rsidRPr="00F6205B">
        <w:t>Figure</w:t>
      </w:r>
      <w:bookmarkEnd w:id="388"/>
      <w:r w:rsidR="004F23CF" w:rsidRPr="00F6205B">
        <w:t xml:space="preserve"> </w:t>
      </w:r>
      <w:fldSimple w:instr=" SEQ Figure \* ARABIC ">
        <w:r w:rsidR="00FA26A9">
          <w:rPr>
            <w:noProof/>
          </w:rPr>
          <w:t>26</w:t>
        </w:r>
      </w:fldSimple>
      <w:bookmarkEnd w:id="389"/>
      <w:r w:rsidRPr="00F6205B">
        <w:t xml:space="preserve">: </w:t>
      </w:r>
      <w:r w:rsidR="00501AE4">
        <w:t>Fuel Switching—</w:t>
      </w:r>
      <w:r w:rsidRPr="00F6205B">
        <w:t>Impact on Electricity Consumption (100% Conversion Rate)</w:t>
      </w:r>
      <w:bookmarkEnd w:id="390"/>
      <w:bookmarkEnd w:id="391"/>
      <w:bookmarkEnd w:id="392"/>
    </w:p>
    <w:p w14:paraId="74345B85" w14:textId="3AA62326" w:rsidR="00346A82" w:rsidRPr="00F6205B" w:rsidRDefault="00346A82" w:rsidP="00346A82">
      <w:pPr>
        <w:pStyle w:val="Caption"/>
        <w:spacing w:before="0" w:after="120"/>
      </w:pPr>
      <w:r w:rsidRPr="00F6205B">
        <w:rPr>
          <w:b w:val="0"/>
          <w:bCs w:val="0"/>
          <w:sz w:val="18"/>
        </w:rPr>
        <w:t>Base: all single-family homes (population-weighted)</w:t>
      </w:r>
      <w:r w:rsidRPr="00F6205B">
        <w:t xml:space="preserve"> </w:t>
      </w:r>
    </w:p>
    <w:p w14:paraId="0273CAA8" w14:textId="77777777" w:rsidR="00231AE4" w:rsidRPr="00F6205B" w:rsidRDefault="00231AE4" w:rsidP="00231AE4">
      <w:pPr>
        <w:spacing w:after="0"/>
        <w:jc w:val="center"/>
        <w:rPr>
          <w:noProof/>
          <w:lang w:bidi="ar-SA"/>
        </w:rPr>
      </w:pPr>
      <w:r w:rsidRPr="00F6205B">
        <w:rPr>
          <w:noProof/>
          <w:lang w:bidi="ar-SA"/>
        </w:rPr>
        <w:drawing>
          <wp:inline distT="0" distB="0" distL="0" distR="0" wp14:anchorId="26868BB0" wp14:editId="0E56FAB9">
            <wp:extent cx="5487166" cy="2543530"/>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icity Incentive Impact Bars.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487166" cy="2543530"/>
                    </a:xfrm>
                    <a:prstGeom prst="rect">
                      <a:avLst/>
                    </a:prstGeom>
                  </pic:spPr>
                </pic:pic>
              </a:graphicData>
            </a:graphic>
          </wp:inline>
        </w:drawing>
      </w:r>
    </w:p>
    <w:p w14:paraId="2F3245BB" w14:textId="77777777" w:rsidR="00231AE4" w:rsidRPr="00F6205B" w:rsidRDefault="00231AE4" w:rsidP="00231AE4"/>
    <w:p w14:paraId="36A9E157" w14:textId="24DE312C" w:rsidR="00231AE4" w:rsidRPr="00F6205B" w:rsidRDefault="00231AE4" w:rsidP="00231AE4">
      <w:pPr>
        <w:pStyle w:val="NoSpacing"/>
        <w:keepNext/>
      </w:pPr>
      <w:r w:rsidRPr="00F6205B">
        <w:t xml:space="preserve">Lastly, </w:t>
      </w:r>
      <w:r w:rsidR="00380843">
        <w:fldChar w:fldCharType="begin"/>
      </w:r>
      <w:r w:rsidR="00380843">
        <w:instrText xml:space="preserve"> REF _Ref439934495 \h </w:instrText>
      </w:r>
      <w:r w:rsidR="00380843">
        <w:fldChar w:fldCharType="separate"/>
      </w:r>
      <w:r w:rsidR="00380843" w:rsidRPr="00F6205B">
        <w:t xml:space="preserve">Figure </w:t>
      </w:r>
      <w:r w:rsidR="00380843">
        <w:rPr>
          <w:noProof/>
        </w:rPr>
        <w:t>27</w:t>
      </w:r>
      <w:r w:rsidR="00380843">
        <w:fldChar w:fldCharType="end"/>
      </w:r>
      <w:r w:rsidR="00380843">
        <w:t xml:space="preserve"> </w:t>
      </w:r>
      <w:r w:rsidRPr="00F6205B">
        <w:t>demonstrates the maximum potential impact of fuel switching on overall fuel consumption, measured in MMBtu.</w:t>
      </w:r>
    </w:p>
    <w:p w14:paraId="2E369F3F" w14:textId="5280AB80" w:rsidR="00231AE4" w:rsidRPr="00F6205B" w:rsidRDefault="00231AE4" w:rsidP="004F23CF">
      <w:pPr>
        <w:pStyle w:val="Caption"/>
      </w:pPr>
      <w:bookmarkStart w:id="393" w:name="_Ref371514776"/>
      <w:bookmarkStart w:id="394" w:name="_Ref439934495"/>
      <w:bookmarkStart w:id="395" w:name="_Toc373318455"/>
      <w:bookmarkStart w:id="396" w:name="_Toc391887413"/>
      <w:bookmarkStart w:id="397" w:name="_Toc439931820"/>
      <w:r w:rsidRPr="00F6205B">
        <w:t>Figure</w:t>
      </w:r>
      <w:bookmarkEnd w:id="393"/>
      <w:r w:rsidR="004F23CF" w:rsidRPr="00F6205B">
        <w:t xml:space="preserve"> </w:t>
      </w:r>
      <w:fldSimple w:instr=" SEQ Figure \* ARABIC ">
        <w:r w:rsidR="00FA26A9">
          <w:rPr>
            <w:noProof/>
          </w:rPr>
          <w:t>27</w:t>
        </w:r>
      </w:fldSimple>
      <w:bookmarkEnd w:id="394"/>
      <w:r w:rsidRPr="00F6205B">
        <w:t xml:space="preserve">: </w:t>
      </w:r>
      <w:r w:rsidR="00501AE4">
        <w:t>Fuel Switching—</w:t>
      </w:r>
      <w:r w:rsidRPr="00F6205B">
        <w:t>Impact on Overall Consumption in MMBtu (100% Conversion Rate)</w:t>
      </w:r>
      <w:bookmarkEnd w:id="395"/>
      <w:bookmarkEnd w:id="396"/>
      <w:bookmarkEnd w:id="397"/>
    </w:p>
    <w:p w14:paraId="65AB6D96" w14:textId="466084E2" w:rsidR="00346A82" w:rsidRPr="00F6205B" w:rsidRDefault="00346A82" w:rsidP="00346A82">
      <w:pPr>
        <w:pStyle w:val="Caption"/>
        <w:spacing w:before="0" w:after="120"/>
        <w:rPr>
          <w:b w:val="0"/>
          <w:bCs w:val="0"/>
          <w:sz w:val="18"/>
        </w:rPr>
      </w:pPr>
      <w:r w:rsidRPr="00F6205B">
        <w:rPr>
          <w:b w:val="0"/>
          <w:bCs w:val="0"/>
          <w:sz w:val="18"/>
        </w:rPr>
        <w:t>Base: all single-family homes (population-weighted)</w:t>
      </w:r>
    </w:p>
    <w:p w14:paraId="00880929" w14:textId="77777777" w:rsidR="00231AE4" w:rsidRPr="00F6205B" w:rsidRDefault="00231AE4" w:rsidP="00231AE4">
      <w:pPr>
        <w:keepNext/>
        <w:spacing w:after="0"/>
        <w:jc w:val="center"/>
      </w:pPr>
      <w:r w:rsidRPr="00F6205B">
        <w:rPr>
          <w:noProof/>
          <w:lang w:bidi="ar-SA"/>
        </w:rPr>
        <w:drawing>
          <wp:inline distT="0" distB="0" distL="0" distR="0" wp14:anchorId="11343DB9" wp14:editId="39DD3EE9">
            <wp:extent cx="5487166" cy="2486372"/>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Btu Incentive Impact Bars.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487166" cy="2486372"/>
                    </a:xfrm>
                    <a:prstGeom prst="rect">
                      <a:avLst/>
                    </a:prstGeom>
                  </pic:spPr>
                </pic:pic>
              </a:graphicData>
            </a:graphic>
          </wp:inline>
        </w:drawing>
      </w:r>
    </w:p>
    <w:p w14:paraId="7DD41221" w14:textId="77777777" w:rsidR="00231AE4" w:rsidRPr="00F6205B" w:rsidRDefault="00231AE4" w:rsidP="00231AE4">
      <w:r w:rsidRPr="00F6205B">
        <w:br w:type="page"/>
      </w:r>
    </w:p>
    <w:p w14:paraId="4BC86A95" w14:textId="77777777" w:rsidR="00231AE4" w:rsidRPr="00F6205B" w:rsidRDefault="00231AE4" w:rsidP="009425B1">
      <w:pPr>
        <w:pStyle w:val="Heading3"/>
        <w:numPr>
          <w:ilvl w:val="0"/>
          <w:numId w:val="0"/>
        </w:numPr>
        <w:jc w:val="both"/>
      </w:pPr>
      <w:bookmarkStart w:id="398" w:name="_Toc373322747"/>
      <w:bookmarkStart w:id="399" w:name="_Toc391887325"/>
      <w:bookmarkStart w:id="400" w:name="_Toc439939414"/>
      <w:r w:rsidRPr="00F6205B">
        <w:lastRenderedPageBreak/>
        <w:t>Base Case Scenario (No Utility Incentive)</w:t>
      </w:r>
      <w:bookmarkEnd w:id="398"/>
      <w:bookmarkEnd w:id="399"/>
      <w:bookmarkEnd w:id="400"/>
    </w:p>
    <w:p w14:paraId="62ADBF67" w14:textId="1C7AF0B0" w:rsidR="00231AE4" w:rsidRPr="00F6205B" w:rsidRDefault="00231AE4" w:rsidP="00231AE4">
      <w:r w:rsidRPr="00F6205B">
        <w:t>This section details the results of base case scenario fuel switching. Fuel switching group features are described in detail in</w:t>
      </w:r>
      <w:r w:rsidR="00BD5430">
        <w:t xml:space="preserve"> </w:t>
      </w:r>
      <w:r w:rsidR="00BD5430">
        <w:fldChar w:fldCharType="begin"/>
      </w:r>
      <w:r w:rsidR="00BD5430">
        <w:instrText xml:space="preserve"> REF _Ref439771323 \h </w:instrText>
      </w:r>
      <w:r w:rsidR="00BD5430">
        <w:fldChar w:fldCharType="separate"/>
      </w:r>
      <w:r w:rsidR="00BD5430" w:rsidRPr="00F6205B">
        <w:t xml:space="preserve">Table </w:t>
      </w:r>
      <w:r w:rsidR="00BD5430">
        <w:rPr>
          <w:noProof/>
        </w:rPr>
        <w:t>7</w:t>
      </w:r>
      <w:r w:rsidR="00BD5430">
        <w:fldChar w:fldCharType="end"/>
      </w:r>
      <w:r w:rsidRPr="00F6205B">
        <w:t>.</w:t>
      </w:r>
    </w:p>
    <w:p w14:paraId="3E94B420" w14:textId="4E979F55" w:rsidR="00231AE4" w:rsidRPr="00F6205B" w:rsidRDefault="00BD5430" w:rsidP="00231AE4">
      <w:r>
        <w:fldChar w:fldCharType="begin"/>
      </w:r>
      <w:r>
        <w:instrText xml:space="preserve"> REF _Ref439936263 \h </w:instrText>
      </w:r>
      <w:r>
        <w:fldChar w:fldCharType="separate"/>
      </w:r>
      <w:r w:rsidRPr="00F6205B">
        <w:t xml:space="preserve">Table </w:t>
      </w:r>
      <w:r>
        <w:rPr>
          <w:noProof/>
        </w:rPr>
        <w:t>38</w:t>
      </w:r>
      <w:r>
        <w:fldChar w:fldCharType="end"/>
      </w:r>
      <w:r>
        <w:t xml:space="preserve"> </w:t>
      </w:r>
      <w:r w:rsidR="00231AE4" w:rsidRPr="00F6205B">
        <w:t>details the impact of fuel switching under the base case scenario for various conversion rates. As shown:</w:t>
      </w:r>
    </w:p>
    <w:p w14:paraId="69CF0411" w14:textId="77777777" w:rsidR="00231AE4" w:rsidRPr="00F6205B" w:rsidRDefault="00231AE4" w:rsidP="00231AE4">
      <w:pPr>
        <w:keepNext/>
        <w:rPr>
          <w:b/>
          <w:u w:val="single"/>
        </w:rPr>
      </w:pPr>
      <w:r w:rsidRPr="00F6205B">
        <w:rPr>
          <w:b/>
          <w:u w:val="single"/>
        </w:rPr>
        <w:t>Natural Gas</w:t>
      </w:r>
    </w:p>
    <w:p w14:paraId="45DBF537" w14:textId="77777777" w:rsidR="00231AE4" w:rsidRPr="00F6205B" w:rsidRDefault="00231AE4" w:rsidP="00012A1E">
      <w:pPr>
        <w:pStyle w:val="ListParagraph"/>
        <w:numPr>
          <w:ilvl w:val="0"/>
          <w:numId w:val="19"/>
        </w:numPr>
      </w:pPr>
      <w:r w:rsidRPr="00F6205B">
        <w:t>Even with a 25% conversion rate, natural gas consumption in the state would exceed in 2.5 years a level (348 million ccf) which would otherwise not be reached for a decade under the no fuel switching scenario.</w:t>
      </w:r>
    </w:p>
    <w:p w14:paraId="225B0E2F" w14:textId="77777777" w:rsidR="00231AE4" w:rsidRPr="00F6205B" w:rsidRDefault="00231AE4" w:rsidP="00012A1E">
      <w:pPr>
        <w:pStyle w:val="ListParagraph"/>
        <w:numPr>
          <w:ilvl w:val="0"/>
          <w:numId w:val="19"/>
        </w:numPr>
      </w:pPr>
      <w:r w:rsidRPr="00F6205B">
        <w:t>Overall, fuel switching can be expected to increase natural gas consumption to between 130% and 201% of current annual consumption in the next decade.</w:t>
      </w:r>
    </w:p>
    <w:p w14:paraId="1A3BD454" w14:textId="77777777" w:rsidR="00231AE4" w:rsidRPr="00F6205B" w:rsidRDefault="00231AE4" w:rsidP="00012A1E">
      <w:pPr>
        <w:rPr>
          <w:b/>
          <w:u w:val="single"/>
        </w:rPr>
      </w:pPr>
      <w:r w:rsidRPr="00F6205B">
        <w:rPr>
          <w:b/>
          <w:u w:val="single"/>
        </w:rPr>
        <w:t>Electricity</w:t>
      </w:r>
    </w:p>
    <w:p w14:paraId="044D5749" w14:textId="77777777" w:rsidR="00231AE4" w:rsidRPr="00F6205B" w:rsidRDefault="00231AE4" w:rsidP="00012A1E">
      <w:pPr>
        <w:pStyle w:val="ListParagraph"/>
        <w:numPr>
          <w:ilvl w:val="0"/>
          <w:numId w:val="19"/>
        </w:numPr>
      </w:pPr>
      <w:r w:rsidRPr="00F6205B">
        <w:t>A 25% conversion rate in the base case scenario would lead to an increased consumption of more than 2.3 billion kilowatt-hours of electricity in total over the next decade.</w:t>
      </w:r>
    </w:p>
    <w:p w14:paraId="261A4AE9" w14:textId="77777777" w:rsidR="00231AE4" w:rsidRPr="00F6205B" w:rsidRDefault="00231AE4" w:rsidP="00012A1E">
      <w:pPr>
        <w:pStyle w:val="ListParagraph"/>
        <w:numPr>
          <w:ilvl w:val="0"/>
          <w:numId w:val="19"/>
        </w:numPr>
      </w:pPr>
      <w:r w:rsidRPr="00F6205B">
        <w:t>A 50% conversion rate would result in more than 4.7 billion kilowatt-hours in increased usage, and a 100% conversion rate would lead to nearly 9.5 billion more kilowatt-hours over the next ten years than would be the case without fuel switching.</w:t>
      </w:r>
    </w:p>
    <w:p w14:paraId="59B899BF" w14:textId="77777777" w:rsidR="00231AE4" w:rsidRPr="00F6205B" w:rsidRDefault="00231AE4" w:rsidP="00012A1E">
      <w:pPr>
        <w:rPr>
          <w:b/>
          <w:u w:val="single"/>
        </w:rPr>
      </w:pPr>
      <w:r w:rsidRPr="00F6205B">
        <w:rPr>
          <w:b/>
          <w:u w:val="single"/>
        </w:rPr>
        <w:t>Fuel Oil and Propane</w:t>
      </w:r>
    </w:p>
    <w:p w14:paraId="19EF0AB5" w14:textId="77777777" w:rsidR="00231AE4" w:rsidRPr="00F6205B" w:rsidRDefault="00231AE4" w:rsidP="00012A1E">
      <w:pPr>
        <w:pStyle w:val="ListParagraph"/>
        <w:numPr>
          <w:ilvl w:val="0"/>
          <w:numId w:val="30"/>
        </w:numPr>
        <w:rPr>
          <w:b/>
          <w:u w:val="single"/>
        </w:rPr>
      </w:pPr>
      <w:r w:rsidRPr="00F6205B">
        <w:t>Fuel switching could potentially reduce the state’s annual consumption of fuel oil for heating from the expected 435.9 million gallons per year in year ten to less than 100 million gallons.</w:t>
      </w:r>
    </w:p>
    <w:p w14:paraId="027A7ED3" w14:textId="77777777" w:rsidR="00231AE4" w:rsidRPr="00F6205B" w:rsidRDefault="00231AE4" w:rsidP="00012A1E">
      <w:pPr>
        <w:pStyle w:val="ListParagraph"/>
        <w:numPr>
          <w:ilvl w:val="1"/>
          <w:numId w:val="30"/>
        </w:numPr>
        <w:rPr>
          <w:b/>
          <w:u w:val="single"/>
        </w:rPr>
      </w:pPr>
      <w:r w:rsidRPr="00F6205B">
        <w:t>This would represent a 77% decrease from the expected year-ten consumption level.</w:t>
      </w:r>
    </w:p>
    <w:p w14:paraId="3060198E" w14:textId="77777777" w:rsidR="00231AE4" w:rsidRPr="00F6205B" w:rsidRDefault="00231AE4" w:rsidP="00012A1E">
      <w:pPr>
        <w:pStyle w:val="ListParagraph"/>
        <w:numPr>
          <w:ilvl w:val="0"/>
          <w:numId w:val="30"/>
        </w:numPr>
      </w:pPr>
      <w:r w:rsidRPr="00F6205B">
        <w:t>Annual propane consumption could be reduced to 14.6 million gallons per year, which is a 59% decrease related to expected year-ten annual consumption.</w:t>
      </w:r>
      <w:r w:rsidRPr="00F6205B">
        <w:br w:type="page"/>
      </w:r>
    </w:p>
    <w:p w14:paraId="71C11934" w14:textId="00A83725" w:rsidR="00231AE4" w:rsidRPr="00F6205B" w:rsidRDefault="00231AE4" w:rsidP="004F23CF">
      <w:pPr>
        <w:pStyle w:val="Caption"/>
      </w:pPr>
      <w:bookmarkStart w:id="401" w:name="_Ref369186041"/>
      <w:bookmarkStart w:id="402" w:name="_Ref439936263"/>
      <w:bookmarkStart w:id="403" w:name="_Toc373324133"/>
      <w:bookmarkStart w:id="404" w:name="_Toc391887374"/>
      <w:bookmarkStart w:id="405" w:name="_Toc439931869"/>
      <w:r w:rsidRPr="00F6205B">
        <w:lastRenderedPageBreak/>
        <w:t>Table</w:t>
      </w:r>
      <w:bookmarkEnd w:id="401"/>
      <w:r w:rsidR="004F23CF" w:rsidRPr="00F6205B">
        <w:t xml:space="preserve"> </w:t>
      </w:r>
      <w:fldSimple w:instr=" SEQ Table \* ARABIC ">
        <w:r w:rsidR="00FA26A9">
          <w:rPr>
            <w:noProof/>
          </w:rPr>
          <w:t>38</w:t>
        </w:r>
      </w:fldSimple>
      <w:bookmarkEnd w:id="402"/>
      <w:r w:rsidRPr="00F6205B">
        <w:t xml:space="preserve">: </w:t>
      </w:r>
      <w:r w:rsidR="00501AE4">
        <w:t>Fuel Switching—</w:t>
      </w:r>
      <w:r w:rsidRPr="00F6205B">
        <w:t>Annual Consumption Trajectories – Base Case Scenario</w:t>
      </w:r>
      <w:bookmarkEnd w:id="403"/>
      <w:bookmarkEnd w:id="404"/>
      <w:bookmarkEnd w:id="405"/>
    </w:p>
    <w:p w14:paraId="5667958E" w14:textId="77777777" w:rsidR="00346A82" w:rsidRPr="00F6205B" w:rsidRDefault="00346A82" w:rsidP="00346A82">
      <w:pPr>
        <w:pStyle w:val="Caption"/>
        <w:spacing w:before="0" w:after="120"/>
        <w:rPr>
          <w:b w:val="0"/>
          <w:bCs w:val="0"/>
          <w:sz w:val="18"/>
        </w:rPr>
      </w:pPr>
      <w:r w:rsidRPr="00F6205B">
        <w:rPr>
          <w:b w:val="0"/>
          <w:bCs w:val="0"/>
          <w:sz w:val="18"/>
        </w:rPr>
        <w:t>Base: all single-family homes (population-weighted)</w:t>
      </w:r>
    </w:p>
    <w:tbl>
      <w:tblPr>
        <w:tblStyle w:val="TableGrid"/>
        <w:tblW w:w="8883"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1997"/>
        <w:gridCol w:w="921"/>
        <w:gridCol w:w="900"/>
        <w:gridCol w:w="968"/>
        <w:gridCol w:w="990"/>
        <w:gridCol w:w="990"/>
        <w:gridCol w:w="920"/>
        <w:gridCol w:w="1197"/>
      </w:tblGrid>
      <w:tr w:rsidR="00231AE4" w:rsidRPr="00F6205B" w14:paraId="66AE0CE3" w14:textId="77777777" w:rsidTr="00DF4D42">
        <w:trPr>
          <w:trHeight w:val="288"/>
          <w:jc w:val="center"/>
        </w:trPr>
        <w:tc>
          <w:tcPr>
            <w:tcW w:w="1997" w:type="dxa"/>
            <w:vMerge w:val="restart"/>
            <w:tcBorders>
              <w:top w:val="single" w:sz="4" w:space="0" w:color="auto"/>
              <w:left w:val="single" w:sz="4" w:space="0" w:color="auto"/>
              <w:right w:val="single" w:sz="4" w:space="0" w:color="000000" w:themeColor="text1"/>
            </w:tcBorders>
            <w:shd w:val="clear" w:color="auto" w:fill="0B4D2C" w:themeFill="background2" w:themeFillShade="BF"/>
            <w:vAlign w:val="center"/>
          </w:tcPr>
          <w:p w14:paraId="0C36E879" w14:textId="77777777" w:rsidR="00231AE4" w:rsidRPr="00F6205B" w:rsidRDefault="00231AE4" w:rsidP="004F23CF">
            <w:pPr>
              <w:keepLines/>
              <w:spacing w:after="0"/>
              <w:rPr>
                <w:b/>
                <w:sz w:val="20"/>
                <w:szCs w:val="20"/>
              </w:rPr>
            </w:pPr>
            <w:r w:rsidRPr="00F6205B">
              <w:rPr>
                <w:b/>
                <w:sz w:val="20"/>
                <w:szCs w:val="20"/>
              </w:rPr>
              <w:t>Conversion Rate</w:t>
            </w:r>
          </w:p>
        </w:tc>
        <w:tc>
          <w:tcPr>
            <w:tcW w:w="5689" w:type="dxa"/>
            <w:gridSpan w:val="6"/>
            <w:tcBorders>
              <w:top w:val="single" w:sz="4" w:space="0" w:color="auto"/>
              <w:bottom w:val="single" w:sz="4" w:space="0" w:color="000000" w:themeColor="text1"/>
            </w:tcBorders>
            <w:shd w:val="clear" w:color="auto" w:fill="0B4D2C" w:themeFill="background2" w:themeFillShade="BF"/>
            <w:vAlign w:val="center"/>
          </w:tcPr>
          <w:p w14:paraId="318120F5" w14:textId="77777777" w:rsidR="00231AE4" w:rsidRPr="00F6205B" w:rsidRDefault="00231AE4" w:rsidP="004F23CF">
            <w:pPr>
              <w:keepLines/>
              <w:spacing w:after="0"/>
              <w:jc w:val="center"/>
              <w:rPr>
                <w:b/>
                <w:sz w:val="20"/>
                <w:szCs w:val="20"/>
              </w:rPr>
            </w:pPr>
            <w:r w:rsidRPr="00F6205B">
              <w:rPr>
                <w:b/>
                <w:sz w:val="20"/>
                <w:szCs w:val="20"/>
              </w:rPr>
              <w:t>Annual Consumption by Fuel</w:t>
            </w:r>
          </w:p>
        </w:tc>
        <w:tc>
          <w:tcPr>
            <w:tcW w:w="1197" w:type="dxa"/>
            <w:vMerge w:val="restart"/>
            <w:tcBorders>
              <w:top w:val="single" w:sz="4" w:space="0" w:color="auto"/>
              <w:right w:val="single" w:sz="4" w:space="0" w:color="auto"/>
            </w:tcBorders>
            <w:shd w:val="clear" w:color="auto" w:fill="0B4D2C" w:themeFill="background2" w:themeFillShade="BF"/>
            <w:vAlign w:val="center"/>
          </w:tcPr>
          <w:p w14:paraId="41DA16EB" w14:textId="77777777" w:rsidR="00231AE4" w:rsidRPr="00F6205B" w:rsidRDefault="00231AE4" w:rsidP="004F23CF">
            <w:pPr>
              <w:keepLines/>
              <w:spacing w:after="0"/>
              <w:jc w:val="center"/>
              <w:rPr>
                <w:b/>
                <w:sz w:val="20"/>
                <w:szCs w:val="20"/>
              </w:rPr>
            </w:pPr>
            <w:r w:rsidRPr="00F6205B">
              <w:rPr>
                <w:b/>
                <w:sz w:val="20"/>
                <w:szCs w:val="20"/>
              </w:rPr>
              <w:t>Difference in 10-Year Totals</w:t>
            </w:r>
            <w:r w:rsidRPr="00F6205B">
              <w:rPr>
                <w:b/>
                <w:sz w:val="20"/>
                <w:szCs w:val="20"/>
                <w:vertAlign w:val="superscript"/>
              </w:rPr>
              <w:t>*</w:t>
            </w:r>
          </w:p>
        </w:tc>
      </w:tr>
      <w:tr w:rsidR="00231AE4" w:rsidRPr="00F6205B" w14:paraId="61DB2CF4" w14:textId="77777777" w:rsidTr="00DF4D42">
        <w:trPr>
          <w:trHeight w:val="288"/>
          <w:jc w:val="center"/>
        </w:trPr>
        <w:tc>
          <w:tcPr>
            <w:tcW w:w="1997" w:type="dxa"/>
            <w:vMerge/>
            <w:tcBorders>
              <w:left w:val="single" w:sz="4" w:space="0" w:color="auto"/>
              <w:bottom w:val="single" w:sz="4" w:space="0" w:color="auto"/>
              <w:right w:val="single" w:sz="4" w:space="0" w:color="000000" w:themeColor="text1"/>
            </w:tcBorders>
            <w:vAlign w:val="center"/>
          </w:tcPr>
          <w:p w14:paraId="3E31404C" w14:textId="77777777" w:rsidR="00231AE4" w:rsidRPr="00F6205B" w:rsidRDefault="00231AE4" w:rsidP="004F23CF">
            <w:pPr>
              <w:keepLines/>
              <w:spacing w:after="0"/>
              <w:rPr>
                <w:b/>
                <w:sz w:val="20"/>
                <w:szCs w:val="20"/>
              </w:rPr>
            </w:pPr>
          </w:p>
        </w:tc>
        <w:tc>
          <w:tcPr>
            <w:tcW w:w="921" w:type="dxa"/>
            <w:tcBorders>
              <w:top w:val="single" w:sz="4" w:space="0" w:color="000000" w:themeColor="text1"/>
              <w:bottom w:val="single" w:sz="4" w:space="0" w:color="auto"/>
            </w:tcBorders>
            <w:shd w:val="clear" w:color="auto" w:fill="0B4D2C" w:themeFill="background2" w:themeFillShade="BF"/>
            <w:vAlign w:val="center"/>
          </w:tcPr>
          <w:p w14:paraId="027C89AA" w14:textId="77777777" w:rsidR="00231AE4" w:rsidRPr="00F6205B" w:rsidRDefault="00231AE4" w:rsidP="004F23CF">
            <w:pPr>
              <w:keepLines/>
              <w:spacing w:after="0"/>
              <w:jc w:val="center"/>
              <w:rPr>
                <w:b/>
                <w:sz w:val="18"/>
                <w:szCs w:val="20"/>
              </w:rPr>
            </w:pPr>
            <w:r w:rsidRPr="00F6205B">
              <w:rPr>
                <w:b/>
                <w:sz w:val="18"/>
                <w:szCs w:val="20"/>
              </w:rPr>
              <w:t>Current</w:t>
            </w:r>
          </w:p>
        </w:tc>
        <w:tc>
          <w:tcPr>
            <w:tcW w:w="900" w:type="dxa"/>
            <w:tcBorders>
              <w:top w:val="single" w:sz="4" w:space="0" w:color="000000" w:themeColor="text1"/>
              <w:bottom w:val="single" w:sz="4" w:space="0" w:color="auto"/>
            </w:tcBorders>
            <w:shd w:val="clear" w:color="auto" w:fill="0B4D2C" w:themeFill="background2" w:themeFillShade="BF"/>
            <w:vAlign w:val="center"/>
          </w:tcPr>
          <w:p w14:paraId="7EBA015E" w14:textId="77777777" w:rsidR="00231AE4" w:rsidRPr="00F6205B" w:rsidRDefault="00231AE4" w:rsidP="004F23CF">
            <w:pPr>
              <w:keepLines/>
              <w:spacing w:after="0"/>
              <w:jc w:val="center"/>
              <w:rPr>
                <w:b/>
                <w:sz w:val="18"/>
                <w:szCs w:val="20"/>
              </w:rPr>
            </w:pPr>
            <w:r w:rsidRPr="00F6205B">
              <w:rPr>
                <w:b/>
                <w:sz w:val="18"/>
                <w:szCs w:val="20"/>
              </w:rPr>
              <w:t>Growth Rate</w:t>
            </w:r>
          </w:p>
        </w:tc>
        <w:tc>
          <w:tcPr>
            <w:tcW w:w="968" w:type="dxa"/>
            <w:tcBorders>
              <w:top w:val="single" w:sz="4" w:space="0" w:color="000000" w:themeColor="text1"/>
              <w:bottom w:val="single" w:sz="4" w:space="0" w:color="auto"/>
              <w:right w:val="single" w:sz="4" w:space="0" w:color="000000" w:themeColor="text1"/>
            </w:tcBorders>
            <w:shd w:val="clear" w:color="auto" w:fill="0B4D2C" w:themeFill="background2" w:themeFillShade="BF"/>
            <w:vAlign w:val="center"/>
          </w:tcPr>
          <w:p w14:paraId="40D35F59" w14:textId="77777777" w:rsidR="00231AE4" w:rsidRPr="00F6205B" w:rsidRDefault="00231AE4" w:rsidP="004F23CF">
            <w:pPr>
              <w:keepLines/>
              <w:spacing w:after="0"/>
              <w:jc w:val="center"/>
              <w:rPr>
                <w:b/>
                <w:sz w:val="20"/>
                <w:szCs w:val="20"/>
              </w:rPr>
            </w:pPr>
            <w:r w:rsidRPr="00F6205B">
              <w:rPr>
                <w:b/>
                <w:sz w:val="20"/>
                <w:szCs w:val="20"/>
              </w:rPr>
              <w:t>2.5 Years</w:t>
            </w:r>
          </w:p>
        </w:tc>
        <w:tc>
          <w:tcPr>
            <w:tcW w:w="990" w:type="dxa"/>
            <w:tcBorders>
              <w:top w:val="single" w:sz="4" w:space="0" w:color="000000" w:themeColor="text1"/>
              <w:bottom w:val="single" w:sz="4" w:space="0" w:color="auto"/>
            </w:tcBorders>
            <w:shd w:val="clear" w:color="auto" w:fill="0B4D2C" w:themeFill="background2" w:themeFillShade="BF"/>
            <w:vAlign w:val="center"/>
          </w:tcPr>
          <w:p w14:paraId="07FDAEFB" w14:textId="77777777" w:rsidR="00231AE4" w:rsidRPr="00F6205B" w:rsidRDefault="00231AE4" w:rsidP="004F23CF">
            <w:pPr>
              <w:keepLines/>
              <w:spacing w:after="0"/>
              <w:jc w:val="center"/>
              <w:rPr>
                <w:b/>
                <w:sz w:val="20"/>
                <w:szCs w:val="20"/>
              </w:rPr>
            </w:pPr>
            <w:r w:rsidRPr="00F6205B">
              <w:rPr>
                <w:b/>
                <w:sz w:val="20"/>
                <w:szCs w:val="20"/>
              </w:rPr>
              <w:t>5.0 Years</w:t>
            </w:r>
          </w:p>
        </w:tc>
        <w:tc>
          <w:tcPr>
            <w:tcW w:w="990" w:type="dxa"/>
            <w:tcBorders>
              <w:top w:val="single" w:sz="4" w:space="0" w:color="000000" w:themeColor="text1"/>
              <w:bottom w:val="single" w:sz="4" w:space="0" w:color="auto"/>
            </w:tcBorders>
            <w:shd w:val="clear" w:color="auto" w:fill="0B4D2C" w:themeFill="background2" w:themeFillShade="BF"/>
            <w:vAlign w:val="center"/>
          </w:tcPr>
          <w:p w14:paraId="2A2E77E6" w14:textId="77777777" w:rsidR="00231AE4" w:rsidRPr="00F6205B" w:rsidRDefault="00231AE4" w:rsidP="004F23CF">
            <w:pPr>
              <w:keepLines/>
              <w:spacing w:after="0"/>
              <w:jc w:val="center"/>
              <w:rPr>
                <w:b/>
                <w:sz w:val="20"/>
                <w:szCs w:val="20"/>
              </w:rPr>
            </w:pPr>
            <w:r w:rsidRPr="00F6205B">
              <w:rPr>
                <w:b/>
                <w:sz w:val="20"/>
                <w:szCs w:val="20"/>
              </w:rPr>
              <w:t>7.5 Years</w:t>
            </w:r>
          </w:p>
        </w:tc>
        <w:tc>
          <w:tcPr>
            <w:tcW w:w="920" w:type="dxa"/>
            <w:tcBorders>
              <w:top w:val="single" w:sz="4" w:space="0" w:color="000000" w:themeColor="text1"/>
              <w:bottom w:val="single" w:sz="4" w:space="0" w:color="auto"/>
            </w:tcBorders>
            <w:shd w:val="clear" w:color="auto" w:fill="0B4D2C" w:themeFill="background2" w:themeFillShade="BF"/>
            <w:vAlign w:val="center"/>
          </w:tcPr>
          <w:p w14:paraId="53BA8C8B" w14:textId="77777777" w:rsidR="00231AE4" w:rsidRPr="00F6205B" w:rsidRDefault="00231AE4" w:rsidP="004F23CF">
            <w:pPr>
              <w:keepLines/>
              <w:spacing w:after="0"/>
              <w:jc w:val="center"/>
              <w:rPr>
                <w:b/>
                <w:sz w:val="20"/>
                <w:szCs w:val="20"/>
              </w:rPr>
            </w:pPr>
            <w:r w:rsidRPr="00F6205B">
              <w:rPr>
                <w:b/>
                <w:sz w:val="20"/>
                <w:szCs w:val="20"/>
              </w:rPr>
              <w:t>10 Years</w:t>
            </w:r>
          </w:p>
        </w:tc>
        <w:tc>
          <w:tcPr>
            <w:tcW w:w="1197" w:type="dxa"/>
            <w:vMerge/>
            <w:tcBorders>
              <w:bottom w:val="single" w:sz="4" w:space="0" w:color="auto"/>
              <w:right w:val="single" w:sz="4" w:space="0" w:color="auto"/>
            </w:tcBorders>
            <w:vAlign w:val="center"/>
          </w:tcPr>
          <w:p w14:paraId="36AE901B" w14:textId="77777777" w:rsidR="00231AE4" w:rsidRPr="00F6205B" w:rsidRDefault="00231AE4" w:rsidP="004F23CF">
            <w:pPr>
              <w:keepLines/>
              <w:spacing w:after="0"/>
              <w:jc w:val="center"/>
              <w:rPr>
                <w:b/>
                <w:sz w:val="20"/>
                <w:szCs w:val="20"/>
              </w:rPr>
            </w:pPr>
          </w:p>
        </w:tc>
      </w:tr>
      <w:tr w:rsidR="00231AE4" w:rsidRPr="00F6205B" w14:paraId="4E7F3EE4" w14:textId="77777777" w:rsidTr="00DF4D42">
        <w:trPr>
          <w:trHeight w:val="288"/>
          <w:jc w:val="center"/>
        </w:trPr>
        <w:tc>
          <w:tcPr>
            <w:tcW w:w="8883" w:type="dxa"/>
            <w:gridSpan w:val="8"/>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305881FB" w14:textId="77777777" w:rsidR="00231AE4" w:rsidRPr="00F6205B" w:rsidRDefault="00231AE4" w:rsidP="004F23CF">
            <w:pPr>
              <w:keepLines/>
              <w:spacing w:after="0"/>
              <w:jc w:val="center"/>
              <w:rPr>
                <w:b/>
                <w:color w:val="FFFFFF" w:themeColor="background1"/>
                <w:sz w:val="20"/>
                <w:szCs w:val="20"/>
              </w:rPr>
            </w:pPr>
            <w:r w:rsidRPr="00F6205B">
              <w:rPr>
                <w:b/>
                <w:color w:val="FFFFFF" w:themeColor="background1"/>
                <w:sz w:val="20"/>
                <w:szCs w:val="20"/>
              </w:rPr>
              <w:t>Fuel Oil Consumption Trajectory (million gallons)</w:t>
            </w:r>
          </w:p>
        </w:tc>
      </w:tr>
      <w:tr w:rsidR="00231AE4" w:rsidRPr="00F6205B" w14:paraId="41FFBD99" w14:textId="77777777" w:rsidTr="00C627A2">
        <w:trPr>
          <w:trHeight w:val="288"/>
          <w:jc w:val="center"/>
        </w:trPr>
        <w:tc>
          <w:tcPr>
            <w:tcW w:w="1997" w:type="dxa"/>
            <w:tcBorders>
              <w:top w:val="single" w:sz="4" w:space="0" w:color="auto"/>
              <w:left w:val="single" w:sz="4" w:space="0" w:color="auto"/>
              <w:bottom w:val="single" w:sz="4" w:space="0" w:color="000000" w:themeColor="text1"/>
              <w:right w:val="single" w:sz="4" w:space="0" w:color="000000" w:themeColor="text1"/>
            </w:tcBorders>
            <w:vAlign w:val="center"/>
          </w:tcPr>
          <w:p w14:paraId="029CA053" w14:textId="77777777" w:rsidR="00231AE4" w:rsidRPr="00F6205B" w:rsidRDefault="00231AE4" w:rsidP="004F23CF">
            <w:pPr>
              <w:keepLines/>
              <w:spacing w:after="0"/>
              <w:rPr>
                <w:sz w:val="20"/>
                <w:szCs w:val="20"/>
              </w:rPr>
            </w:pPr>
            <w:r w:rsidRPr="00F6205B">
              <w:rPr>
                <w:sz w:val="20"/>
                <w:szCs w:val="20"/>
              </w:rPr>
              <w:t>No fuel switching</w:t>
            </w:r>
          </w:p>
        </w:tc>
        <w:tc>
          <w:tcPr>
            <w:tcW w:w="921" w:type="dxa"/>
            <w:vMerge w:val="restart"/>
            <w:tcBorders>
              <w:top w:val="single" w:sz="4" w:space="0" w:color="auto"/>
            </w:tcBorders>
            <w:vAlign w:val="center"/>
          </w:tcPr>
          <w:p w14:paraId="4DBF4E6B" w14:textId="77777777" w:rsidR="00231AE4" w:rsidRPr="00F6205B" w:rsidRDefault="00231AE4" w:rsidP="004F23CF">
            <w:pPr>
              <w:keepLines/>
              <w:spacing w:after="0"/>
              <w:jc w:val="center"/>
              <w:rPr>
                <w:sz w:val="20"/>
                <w:szCs w:val="20"/>
              </w:rPr>
            </w:pPr>
            <w:r w:rsidRPr="00F6205B">
              <w:rPr>
                <w:sz w:val="20"/>
                <w:szCs w:val="20"/>
              </w:rPr>
              <w:t>527.6</w:t>
            </w:r>
          </w:p>
        </w:tc>
        <w:tc>
          <w:tcPr>
            <w:tcW w:w="900" w:type="dxa"/>
            <w:vMerge w:val="restart"/>
            <w:tcBorders>
              <w:top w:val="single" w:sz="4" w:space="0" w:color="auto"/>
            </w:tcBorders>
            <w:vAlign w:val="center"/>
          </w:tcPr>
          <w:p w14:paraId="3F30368A" w14:textId="77777777" w:rsidR="00231AE4" w:rsidRPr="00F6205B" w:rsidRDefault="00231AE4" w:rsidP="004F23CF">
            <w:pPr>
              <w:keepLines/>
              <w:spacing w:after="0"/>
              <w:jc w:val="center"/>
              <w:rPr>
                <w:i/>
                <w:sz w:val="20"/>
                <w:szCs w:val="20"/>
              </w:rPr>
            </w:pPr>
            <w:r w:rsidRPr="00F6205B">
              <w:rPr>
                <w:i/>
                <w:sz w:val="20"/>
                <w:szCs w:val="20"/>
              </w:rPr>
              <w:t>-2.1%</w:t>
            </w:r>
          </w:p>
        </w:tc>
        <w:tc>
          <w:tcPr>
            <w:tcW w:w="968" w:type="dxa"/>
            <w:tcBorders>
              <w:top w:val="single" w:sz="4" w:space="0" w:color="auto"/>
              <w:bottom w:val="single" w:sz="4" w:space="0" w:color="000000" w:themeColor="text1"/>
              <w:right w:val="single" w:sz="4" w:space="0" w:color="000000" w:themeColor="text1"/>
            </w:tcBorders>
            <w:vAlign w:val="center"/>
          </w:tcPr>
          <w:p w14:paraId="37A92A8B" w14:textId="77777777" w:rsidR="00231AE4" w:rsidRPr="00F6205B" w:rsidRDefault="00231AE4" w:rsidP="004F23CF">
            <w:pPr>
              <w:keepLines/>
              <w:spacing w:after="0"/>
              <w:jc w:val="center"/>
              <w:rPr>
                <w:sz w:val="20"/>
                <w:szCs w:val="20"/>
              </w:rPr>
            </w:pPr>
            <w:r w:rsidRPr="00F6205B">
              <w:rPr>
                <w:sz w:val="20"/>
                <w:szCs w:val="20"/>
              </w:rPr>
              <w:t>511.1</w:t>
            </w:r>
          </w:p>
        </w:tc>
        <w:tc>
          <w:tcPr>
            <w:tcW w:w="990" w:type="dxa"/>
            <w:tcBorders>
              <w:top w:val="single" w:sz="4" w:space="0" w:color="auto"/>
              <w:bottom w:val="single" w:sz="4" w:space="0" w:color="000000" w:themeColor="text1"/>
            </w:tcBorders>
            <w:vAlign w:val="center"/>
          </w:tcPr>
          <w:p w14:paraId="6FD1EB3D" w14:textId="77777777" w:rsidR="00231AE4" w:rsidRPr="00F6205B" w:rsidRDefault="00231AE4" w:rsidP="004F23CF">
            <w:pPr>
              <w:keepLines/>
              <w:spacing w:after="0"/>
              <w:jc w:val="center"/>
              <w:rPr>
                <w:sz w:val="20"/>
                <w:szCs w:val="20"/>
              </w:rPr>
            </w:pPr>
            <w:r w:rsidRPr="00F6205B">
              <w:rPr>
                <w:sz w:val="20"/>
                <w:szCs w:val="20"/>
              </w:rPr>
              <w:t>484.7</w:t>
            </w:r>
          </w:p>
        </w:tc>
        <w:tc>
          <w:tcPr>
            <w:tcW w:w="990" w:type="dxa"/>
            <w:tcBorders>
              <w:top w:val="single" w:sz="4" w:space="0" w:color="auto"/>
              <w:bottom w:val="single" w:sz="4" w:space="0" w:color="000000" w:themeColor="text1"/>
            </w:tcBorders>
            <w:vAlign w:val="center"/>
          </w:tcPr>
          <w:p w14:paraId="633A6DB5" w14:textId="77777777" w:rsidR="00231AE4" w:rsidRPr="00F6205B" w:rsidRDefault="00231AE4" w:rsidP="004F23CF">
            <w:pPr>
              <w:keepLines/>
              <w:spacing w:after="0"/>
              <w:jc w:val="center"/>
              <w:rPr>
                <w:sz w:val="20"/>
                <w:szCs w:val="20"/>
              </w:rPr>
            </w:pPr>
            <w:r w:rsidRPr="00F6205B">
              <w:rPr>
                <w:sz w:val="20"/>
                <w:szCs w:val="20"/>
              </w:rPr>
              <w:t>459.7</w:t>
            </w:r>
          </w:p>
        </w:tc>
        <w:tc>
          <w:tcPr>
            <w:tcW w:w="920" w:type="dxa"/>
            <w:tcBorders>
              <w:top w:val="single" w:sz="4" w:space="0" w:color="auto"/>
              <w:bottom w:val="single" w:sz="4" w:space="0" w:color="000000" w:themeColor="text1"/>
            </w:tcBorders>
            <w:vAlign w:val="center"/>
          </w:tcPr>
          <w:p w14:paraId="538F9DFB" w14:textId="77777777" w:rsidR="00231AE4" w:rsidRPr="00F6205B" w:rsidRDefault="00231AE4" w:rsidP="004F23CF">
            <w:pPr>
              <w:keepLines/>
              <w:spacing w:after="0"/>
              <w:jc w:val="center"/>
              <w:rPr>
                <w:sz w:val="20"/>
                <w:szCs w:val="20"/>
              </w:rPr>
            </w:pPr>
            <w:r w:rsidRPr="00F6205B">
              <w:rPr>
                <w:sz w:val="20"/>
                <w:szCs w:val="20"/>
              </w:rPr>
              <w:t>435.9</w:t>
            </w:r>
          </w:p>
        </w:tc>
        <w:tc>
          <w:tcPr>
            <w:tcW w:w="1197" w:type="dxa"/>
            <w:tcBorders>
              <w:top w:val="single" w:sz="4" w:space="0" w:color="auto"/>
              <w:bottom w:val="single" w:sz="4" w:space="0" w:color="000000" w:themeColor="text1"/>
              <w:right w:val="single" w:sz="4" w:space="0" w:color="auto"/>
            </w:tcBorders>
            <w:vAlign w:val="center"/>
          </w:tcPr>
          <w:p w14:paraId="47AC8F3C" w14:textId="77777777" w:rsidR="00231AE4" w:rsidRPr="00F6205B" w:rsidRDefault="00231AE4" w:rsidP="004F23CF">
            <w:pPr>
              <w:keepLines/>
              <w:spacing w:after="0"/>
              <w:jc w:val="center"/>
              <w:rPr>
                <w:sz w:val="20"/>
                <w:szCs w:val="20"/>
              </w:rPr>
            </w:pPr>
            <w:r w:rsidRPr="00F6205B">
              <w:rPr>
                <w:sz w:val="20"/>
                <w:szCs w:val="20"/>
              </w:rPr>
              <w:t>-</w:t>
            </w:r>
          </w:p>
        </w:tc>
      </w:tr>
      <w:tr w:rsidR="00231AE4" w:rsidRPr="00F6205B" w14:paraId="73FD995B" w14:textId="77777777" w:rsidTr="00C627A2">
        <w:trPr>
          <w:trHeight w:val="288"/>
          <w:jc w:val="center"/>
        </w:trPr>
        <w:tc>
          <w:tcPr>
            <w:tcW w:w="199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B197765" w14:textId="77777777" w:rsidR="00231AE4" w:rsidRPr="00F6205B" w:rsidRDefault="00231AE4" w:rsidP="004F23CF">
            <w:pPr>
              <w:keepLines/>
              <w:spacing w:after="0"/>
              <w:rPr>
                <w:sz w:val="20"/>
                <w:szCs w:val="20"/>
              </w:rPr>
            </w:pPr>
            <w:r w:rsidRPr="00F6205B">
              <w:rPr>
                <w:sz w:val="20"/>
                <w:szCs w:val="20"/>
              </w:rPr>
              <w:t>25% Uptake</w:t>
            </w:r>
          </w:p>
        </w:tc>
        <w:tc>
          <w:tcPr>
            <w:tcW w:w="921" w:type="dxa"/>
            <w:vMerge/>
            <w:vAlign w:val="center"/>
          </w:tcPr>
          <w:p w14:paraId="6B0604E0" w14:textId="77777777" w:rsidR="00231AE4" w:rsidRPr="00F6205B" w:rsidRDefault="00231AE4" w:rsidP="004F23CF">
            <w:pPr>
              <w:keepLines/>
              <w:spacing w:after="0"/>
              <w:jc w:val="center"/>
              <w:rPr>
                <w:sz w:val="20"/>
                <w:szCs w:val="20"/>
              </w:rPr>
            </w:pPr>
          </w:p>
        </w:tc>
        <w:tc>
          <w:tcPr>
            <w:tcW w:w="900" w:type="dxa"/>
            <w:vMerge/>
            <w:vAlign w:val="center"/>
          </w:tcPr>
          <w:p w14:paraId="60F60580" w14:textId="77777777" w:rsidR="00231AE4" w:rsidRPr="00F6205B" w:rsidRDefault="00231AE4" w:rsidP="004F23CF">
            <w:pPr>
              <w:keepLines/>
              <w:spacing w:after="0"/>
              <w:jc w:val="center"/>
              <w:rPr>
                <w:sz w:val="20"/>
                <w:szCs w:val="20"/>
              </w:rPr>
            </w:pPr>
          </w:p>
        </w:tc>
        <w:tc>
          <w:tcPr>
            <w:tcW w:w="968" w:type="dxa"/>
            <w:tcBorders>
              <w:top w:val="single" w:sz="4" w:space="0" w:color="000000" w:themeColor="text1"/>
              <w:bottom w:val="single" w:sz="4" w:space="0" w:color="000000" w:themeColor="text1"/>
              <w:right w:val="single" w:sz="4" w:space="0" w:color="000000" w:themeColor="text1"/>
            </w:tcBorders>
            <w:vAlign w:val="center"/>
          </w:tcPr>
          <w:p w14:paraId="593DF0B7" w14:textId="77777777" w:rsidR="00231AE4" w:rsidRPr="00F6205B" w:rsidRDefault="00231AE4" w:rsidP="004F23CF">
            <w:pPr>
              <w:keepLines/>
              <w:spacing w:after="0"/>
              <w:jc w:val="center"/>
              <w:rPr>
                <w:sz w:val="20"/>
                <w:szCs w:val="20"/>
              </w:rPr>
            </w:pPr>
            <w:r w:rsidRPr="00F6205B">
              <w:rPr>
                <w:sz w:val="20"/>
                <w:szCs w:val="20"/>
              </w:rPr>
              <w:t>486.5</w:t>
            </w:r>
          </w:p>
        </w:tc>
        <w:tc>
          <w:tcPr>
            <w:tcW w:w="990" w:type="dxa"/>
            <w:tcBorders>
              <w:top w:val="single" w:sz="4" w:space="0" w:color="000000" w:themeColor="text1"/>
              <w:bottom w:val="single" w:sz="4" w:space="0" w:color="000000" w:themeColor="text1"/>
            </w:tcBorders>
            <w:vAlign w:val="center"/>
          </w:tcPr>
          <w:p w14:paraId="384887EE" w14:textId="77777777" w:rsidR="00231AE4" w:rsidRPr="00F6205B" w:rsidRDefault="00231AE4" w:rsidP="004F23CF">
            <w:pPr>
              <w:keepLines/>
              <w:spacing w:after="0"/>
              <w:jc w:val="center"/>
              <w:rPr>
                <w:sz w:val="20"/>
                <w:szCs w:val="20"/>
              </w:rPr>
            </w:pPr>
            <w:r w:rsidRPr="00F6205B">
              <w:rPr>
                <w:sz w:val="20"/>
                <w:szCs w:val="20"/>
              </w:rPr>
              <w:t>438.0</w:t>
            </w:r>
          </w:p>
        </w:tc>
        <w:tc>
          <w:tcPr>
            <w:tcW w:w="990" w:type="dxa"/>
            <w:tcBorders>
              <w:top w:val="single" w:sz="4" w:space="0" w:color="000000" w:themeColor="text1"/>
              <w:bottom w:val="single" w:sz="4" w:space="0" w:color="000000" w:themeColor="text1"/>
            </w:tcBorders>
            <w:vAlign w:val="center"/>
          </w:tcPr>
          <w:p w14:paraId="51937B12" w14:textId="77777777" w:rsidR="00231AE4" w:rsidRPr="00F6205B" w:rsidRDefault="00231AE4" w:rsidP="004F23CF">
            <w:pPr>
              <w:keepLines/>
              <w:spacing w:after="0"/>
              <w:jc w:val="center"/>
              <w:rPr>
                <w:sz w:val="20"/>
                <w:szCs w:val="20"/>
              </w:rPr>
            </w:pPr>
            <w:r w:rsidRPr="00F6205B">
              <w:rPr>
                <w:sz w:val="20"/>
                <w:szCs w:val="20"/>
              </w:rPr>
              <w:t>393.2</w:t>
            </w:r>
          </w:p>
        </w:tc>
        <w:tc>
          <w:tcPr>
            <w:tcW w:w="920" w:type="dxa"/>
            <w:tcBorders>
              <w:top w:val="single" w:sz="4" w:space="0" w:color="000000" w:themeColor="text1"/>
              <w:bottom w:val="single" w:sz="4" w:space="0" w:color="000000" w:themeColor="text1"/>
            </w:tcBorders>
            <w:vAlign w:val="center"/>
          </w:tcPr>
          <w:p w14:paraId="21E53191" w14:textId="77777777" w:rsidR="00231AE4" w:rsidRPr="00F6205B" w:rsidRDefault="00231AE4" w:rsidP="004F23CF">
            <w:pPr>
              <w:keepLines/>
              <w:spacing w:after="0"/>
              <w:jc w:val="center"/>
              <w:rPr>
                <w:sz w:val="20"/>
                <w:szCs w:val="20"/>
              </w:rPr>
            </w:pPr>
            <w:r w:rsidRPr="00F6205B">
              <w:rPr>
                <w:sz w:val="20"/>
                <w:szCs w:val="20"/>
              </w:rPr>
              <w:t>351.9</w:t>
            </w:r>
          </w:p>
        </w:tc>
        <w:tc>
          <w:tcPr>
            <w:tcW w:w="1197" w:type="dxa"/>
            <w:tcBorders>
              <w:top w:val="single" w:sz="4" w:space="0" w:color="000000" w:themeColor="text1"/>
              <w:bottom w:val="single" w:sz="4" w:space="0" w:color="000000" w:themeColor="text1"/>
              <w:right w:val="single" w:sz="4" w:space="0" w:color="auto"/>
            </w:tcBorders>
            <w:vAlign w:val="center"/>
          </w:tcPr>
          <w:p w14:paraId="70AB3AD9" w14:textId="77777777" w:rsidR="00231AE4" w:rsidRPr="00F6205B" w:rsidRDefault="00231AE4" w:rsidP="004F23CF">
            <w:pPr>
              <w:keepLines/>
              <w:spacing w:after="0"/>
              <w:jc w:val="center"/>
              <w:rPr>
                <w:sz w:val="20"/>
                <w:szCs w:val="20"/>
              </w:rPr>
            </w:pPr>
            <w:r w:rsidRPr="00F6205B">
              <w:rPr>
                <w:sz w:val="20"/>
                <w:szCs w:val="20"/>
              </w:rPr>
              <w:t>- 493.1</w:t>
            </w:r>
          </w:p>
        </w:tc>
      </w:tr>
      <w:tr w:rsidR="00231AE4" w:rsidRPr="00F6205B" w14:paraId="7B28A753" w14:textId="77777777" w:rsidTr="00C627A2">
        <w:trPr>
          <w:trHeight w:val="288"/>
          <w:jc w:val="center"/>
        </w:trPr>
        <w:tc>
          <w:tcPr>
            <w:tcW w:w="199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2F12215" w14:textId="77777777" w:rsidR="00231AE4" w:rsidRPr="00F6205B" w:rsidRDefault="00231AE4" w:rsidP="004F23CF">
            <w:pPr>
              <w:keepLines/>
              <w:spacing w:after="0"/>
              <w:rPr>
                <w:sz w:val="20"/>
                <w:szCs w:val="20"/>
              </w:rPr>
            </w:pPr>
            <w:r w:rsidRPr="00F6205B">
              <w:rPr>
                <w:sz w:val="20"/>
                <w:szCs w:val="20"/>
              </w:rPr>
              <w:t>50% Uptake</w:t>
            </w:r>
          </w:p>
        </w:tc>
        <w:tc>
          <w:tcPr>
            <w:tcW w:w="921" w:type="dxa"/>
            <w:vMerge/>
            <w:vAlign w:val="center"/>
          </w:tcPr>
          <w:p w14:paraId="57B55A5E" w14:textId="77777777" w:rsidR="00231AE4" w:rsidRPr="00F6205B" w:rsidRDefault="00231AE4" w:rsidP="004F23CF">
            <w:pPr>
              <w:keepLines/>
              <w:spacing w:after="0"/>
              <w:jc w:val="center"/>
              <w:rPr>
                <w:sz w:val="20"/>
                <w:szCs w:val="20"/>
              </w:rPr>
            </w:pPr>
          </w:p>
        </w:tc>
        <w:tc>
          <w:tcPr>
            <w:tcW w:w="900" w:type="dxa"/>
            <w:vMerge/>
            <w:vAlign w:val="center"/>
          </w:tcPr>
          <w:p w14:paraId="6358A0B6" w14:textId="77777777" w:rsidR="00231AE4" w:rsidRPr="00F6205B" w:rsidRDefault="00231AE4" w:rsidP="004F23CF">
            <w:pPr>
              <w:keepLines/>
              <w:spacing w:after="0"/>
              <w:jc w:val="center"/>
              <w:rPr>
                <w:sz w:val="20"/>
                <w:szCs w:val="20"/>
              </w:rPr>
            </w:pPr>
          </w:p>
        </w:tc>
        <w:tc>
          <w:tcPr>
            <w:tcW w:w="968" w:type="dxa"/>
            <w:tcBorders>
              <w:top w:val="single" w:sz="4" w:space="0" w:color="000000" w:themeColor="text1"/>
              <w:bottom w:val="single" w:sz="4" w:space="0" w:color="000000" w:themeColor="text1"/>
              <w:right w:val="single" w:sz="4" w:space="0" w:color="000000" w:themeColor="text1"/>
            </w:tcBorders>
            <w:vAlign w:val="center"/>
          </w:tcPr>
          <w:p w14:paraId="5A1A5AC7" w14:textId="77777777" w:rsidR="00231AE4" w:rsidRPr="00F6205B" w:rsidRDefault="00231AE4" w:rsidP="004F23CF">
            <w:pPr>
              <w:keepLines/>
              <w:spacing w:after="0"/>
              <w:jc w:val="center"/>
              <w:rPr>
                <w:sz w:val="20"/>
                <w:szCs w:val="20"/>
              </w:rPr>
            </w:pPr>
            <w:r w:rsidRPr="00F6205B">
              <w:rPr>
                <w:sz w:val="20"/>
                <w:szCs w:val="20"/>
              </w:rPr>
              <w:t>461.9</w:t>
            </w:r>
          </w:p>
        </w:tc>
        <w:tc>
          <w:tcPr>
            <w:tcW w:w="990" w:type="dxa"/>
            <w:tcBorders>
              <w:top w:val="single" w:sz="4" w:space="0" w:color="000000" w:themeColor="text1"/>
              <w:bottom w:val="single" w:sz="4" w:space="0" w:color="000000" w:themeColor="text1"/>
            </w:tcBorders>
            <w:vAlign w:val="center"/>
          </w:tcPr>
          <w:p w14:paraId="40197D61" w14:textId="77777777" w:rsidR="00231AE4" w:rsidRPr="00F6205B" w:rsidRDefault="00231AE4" w:rsidP="004F23CF">
            <w:pPr>
              <w:keepLines/>
              <w:spacing w:after="0"/>
              <w:jc w:val="center"/>
              <w:rPr>
                <w:sz w:val="20"/>
                <w:szCs w:val="20"/>
              </w:rPr>
            </w:pPr>
            <w:r w:rsidRPr="00F6205B">
              <w:rPr>
                <w:sz w:val="20"/>
                <w:szCs w:val="20"/>
              </w:rPr>
              <w:t>391.3</w:t>
            </w:r>
          </w:p>
        </w:tc>
        <w:tc>
          <w:tcPr>
            <w:tcW w:w="990" w:type="dxa"/>
            <w:tcBorders>
              <w:top w:val="single" w:sz="4" w:space="0" w:color="000000" w:themeColor="text1"/>
              <w:bottom w:val="single" w:sz="4" w:space="0" w:color="000000" w:themeColor="text1"/>
            </w:tcBorders>
            <w:vAlign w:val="center"/>
          </w:tcPr>
          <w:p w14:paraId="2CEBBA19" w14:textId="77777777" w:rsidR="00231AE4" w:rsidRPr="00F6205B" w:rsidRDefault="00231AE4" w:rsidP="004F23CF">
            <w:pPr>
              <w:keepLines/>
              <w:spacing w:after="0"/>
              <w:jc w:val="center"/>
              <w:rPr>
                <w:sz w:val="20"/>
                <w:szCs w:val="20"/>
              </w:rPr>
            </w:pPr>
            <w:r w:rsidRPr="00F6205B">
              <w:rPr>
                <w:sz w:val="20"/>
                <w:szCs w:val="20"/>
              </w:rPr>
              <w:t>326.8</w:t>
            </w:r>
          </w:p>
        </w:tc>
        <w:tc>
          <w:tcPr>
            <w:tcW w:w="920" w:type="dxa"/>
            <w:tcBorders>
              <w:top w:val="single" w:sz="4" w:space="0" w:color="000000" w:themeColor="text1"/>
              <w:bottom w:val="single" w:sz="4" w:space="0" w:color="000000" w:themeColor="text1"/>
            </w:tcBorders>
            <w:vAlign w:val="center"/>
          </w:tcPr>
          <w:p w14:paraId="6A4F0BF9" w14:textId="77777777" w:rsidR="00231AE4" w:rsidRPr="00F6205B" w:rsidRDefault="00231AE4" w:rsidP="004F23CF">
            <w:pPr>
              <w:keepLines/>
              <w:spacing w:after="0"/>
              <w:jc w:val="center"/>
              <w:rPr>
                <w:sz w:val="20"/>
                <w:szCs w:val="20"/>
              </w:rPr>
            </w:pPr>
            <w:r w:rsidRPr="00F6205B">
              <w:rPr>
                <w:sz w:val="20"/>
                <w:szCs w:val="20"/>
              </w:rPr>
              <w:t>267.9</w:t>
            </w:r>
          </w:p>
        </w:tc>
        <w:tc>
          <w:tcPr>
            <w:tcW w:w="1197" w:type="dxa"/>
            <w:tcBorders>
              <w:top w:val="single" w:sz="4" w:space="0" w:color="000000" w:themeColor="text1"/>
              <w:bottom w:val="single" w:sz="4" w:space="0" w:color="000000" w:themeColor="text1"/>
              <w:right w:val="single" w:sz="4" w:space="0" w:color="auto"/>
            </w:tcBorders>
            <w:vAlign w:val="center"/>
          </w:tcPr>
          <w:p w14:paraId="758B46D1" w14:textId="77777777" w:rsidR="00231AE4" w:rsidRPr="00F6205B" w:rsidRDefault="00231AE4" w:rsidP="004F23CF">
            <w:pPr>
              <w:keepLines/>
              <w:spacing w:after="0"/>
              <w:jc w:val="center"/>
              <w:rPr>
                <w:sz w:val="20"/>
                <w:szCs w:val="20"/>
              </w:rPr>
            </w:pPr>
            <w:r w:rsidRPr="00F6205B">
              <w:rPr>
                <w:sz w:val="20"/>
                <w:szCs w:val="20"/>
              </w:rPr>
              <w:t>- 986.1</w:t>
            </w:r>
          </w:p>
        </w:tc>
      </w:tr>
      <w:tr w:rsidR="00231AE4" w:rsidRPr="00F6205B" w14:paraId="2421085A" w14:textId="77777777" w:rsidTr="00C627A2">
        <w:trPr>
          <w:trHeight w:val="288"/>
          <w:jc w:val="center"/>
        </w:trPr>
        <w:tc>
          <w:tcPr>
            <w:tcW w:w="199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1A80E77" w14:textId="77777777" w:rsidR="00231AE4" w:rsidRPr="00F6205B" w:rsidRDefault="00231AE4" w:rsidP="004F23CF">
            <w:pPr>
              <w:keepLines/>
              <w:spacing w:after="0"/>
              <w:rPr>
                <w:sz w:val="20"/>
                <w:szCs w:val="20"/>
              </w:rPr>
            </w:pPr>
            <w:r w:rsidRPr="00F6205B">
              <w:rPr>
                <w:sz w:val="20"/>
                <w:szCs w:val="20"/>
              </w:rPr>
              <w:t>75% Uptake</w:t>
            </w:r>
          </w:p>
        </w:tc>
        <w:tc>
          <w:tcPr>
            <w:tcW w:w="921" w:type="dxa"/>
            <w:vMerge/>
            <w:vAlign w:val="center"/>
          </w:tcPr>
          <w:p w14:paraId="073FDA0E" w14:textId="77777777" w:rsidR="00231AE4" w:rsidRPr="00F6205B" w:rsidRDefault="00231AE4" w:rsidP="004F23CF">
            <w:pPr>
              <w:keepLines/>
              <w:spacing w:after="0"/>
              <w:jc w:val="center"/>
              <w:rPr>
                <w:sz w:val="20"/>
                <w:szCs w:val="20"/>
              </w:rPr>
            </w:pPr>
          </w:p>
        </w:tc>
        <w:tc>
          <w:tcPr>
            <w:tcW w:w="900" w:type="dxa"/>
            <w:vMerge/>
            <w:vAlign w:val="center"/>
          </w:tcPr>
          <w:p w14:paraId="379CF100" w14:textId="77777777" w:rsidR="00231AE4" w:rsidRPr="00F6205B" w:rsidRDefault="00231AE4" w:rsidP="004F23CF">
            <w:pPr>
              <w:keepLines/>
              <w:spacing w:after="0"/>
              <w:jc w:val="center"/>
              <w:rPr>
                <w:sz w:val="20"/>
                <w:szCs w:val="20"/>
              </w:rPr>
            </w:pPr>
          </w:p>
        </w:tc>
        <w:tc>
          <w:tcPr>
            <w:tcW w:w="968" w:type="dxa"/>
            <w:tcBorders>
              <w:top w:val="single" w:sz="4" w:space="0" w:color="000000" w:themeColor="text1"/>
              <w:bottom w:val="single" w:sz="4" w:space="0" w:color="000000" w:themeColor="text1"/>
              <w:right w:val="single" w:sz="4" w:space="0" w:color="000000" w:themeColor="text1"/>
            </w:tcBorders>
            <w:vAlign w:val="center"/>
          </w:tcPr>
          <w:p w14:paraId="1AD66365" w14:textId="77777777" w:rsidR="00231AE4" w:rsidRPr="00F6205B" w:rsidRDefault="00231AE4" w:rsidP="004F23CF">
            <w:pPr>
              <w:keepLines/>
              <w:spacing w:after="0"/>
              <w:jc w:val="center"/>
              <w:rPr>
                <w:sz w:val="20"/>
                <w:szCs w:val="20"/>
              </w:rPr>
            </w:pPr>
            <w:r w:rsidRPr="00F6205B">
              <w:rPr>
                <w:sz w:val="20"/>
                <w:szCs w:val="20"/>
              </w:rPr>
              <w:t>437.2</w:t>
            </w:r>
          </w:p>
        </w:tc>
        <w:tc>
          <w:tcPr>
            <w:tcW w:w="990" w:type="dxa"/>
            <w:tcBorders>
              <w:top w:val="single" w:sz="4" w:space="0" w:color="000000" w:themeColor="text1"/>
              <w:bottom w:val="single" w:sz="4" w:space="0" w:color="000000" w:themeColor="text1"/>
            </w:tcBorders>
            <w:vAlign w:val="center"/>
          </w:tcPr>
          <w:p w14:paraId="2DAFDDBA" w14:textId="77777777" w:rsidR="00231AE4" w:rsidRPr="00F6205B" w:rsidRDefault="00231AE4" w:rsidP="004F23CF">
            <w:pPr>
              <w:keepLines/>
              <w:spacing w:after="0"/>
              <w:jc w:val="center"/>
              <w:rPr>
                <w:sz w:val="20"/>
                <w:szCs w:val="20"/>
              </w:rPr>
            </w:pPr>
            <w:r w:rsidRPr="00F6205B">
              <w:rPr>
                <w:sz w:val="20"/>
                <w:szCs w:val="20"/>
              </w:rPr>
              <w:t>344.6</w:t>
            </w:r>
          </w:p>
        </w:tc>
        <w:tc>
          <w:tcPr>
            <w:tcW w:w="990" w:type="dxa"/>
            <w:tcBorders>
              <w:top w:val="single" w:sz="4" w:space="0" w:color="000000" w:themeColor="text1"/>
              <w:bottom w:val="single" w:sz="4" w:space="0" w:color="000000" w:themeColor="text1"/>
            </w:tcBorders>
            <w:vAlign w:val="center"/>
          </w:tcPr>
          <w:p w14:paraId="4ED9FFB6" w14:textId="77777777" w:rsidR="00231AE4" w:rsidRPr="00F6205B" w:rsidRDefault="00231AE4" w:rsidP="004F23CF">
            <w:pPr>
              <w:keepLines/>
              <w:spacing w:after="0"/>
              <w:jc w:val="center"/>
              <w:rPr>
                <w:sz w:val="20"/>
                <w:szCs w:val="20"/>
              </w:rPr>
            </w:pPr>
            <w:r w:rsidRPr="00F6205B">
              <w:rPr>
                <w:sz w:val="20"/>
                <w:szCs w:val="20"/>
              </w:rPr>
              <w:t>260.3</w:t>
            </w:r>
          </w:p>
        </w:tc>
        <w:tc>
          <w:tcPr>
            <w:tcW w:w="920" w:type="dxa"/>
            <w:tcBorders>
              <w:top w:val="single" w:sz="4" w:space="0" w:color="000000" w:themeColor="text1"/>
              <w:bottom w:val="single" w:sz="4" w:space="0" w:color="000000" w:themeColor="text1"/>
            </w:tcBorders>
            <w:vAlign w:val="center"/>
          </w:tcPr>
          <w:p w14:paraId="1C33CC7A" w14:textId="77777777" w:rsidR="00231AE4" w:rsidRPr="00F6205B" w:rsidRDefault="00231AE4" w:rsidP="004F23CF">
            <w:pPr>
              <w:keepLines/>
              <w:spacing w:after="0"/>
              <w:jc w:val="center"/>
              <w:rPr>
                <w:sz w:val="20"/>
                <w:szCs w:val="20"/>
              </w:rPr>
            </w:pPr>
            <w:r w:rsidRPr="00F6205B">
              <w:rPr>
                <w:sz w:val="20"/>
                <w:szCs w:val="20"/>
              </w:rPr>
              <w:t>183.9</w:t>
            </w:r>
          </w:p>
        </w:tc>
        <w:tc>
          <w:tcPr>
            <w:tcW w:w="1197" w:type="dxa"/>
            <w:tcBorders>
              <w:top w:val="single" w:sz="4" w:space="0" w:color="000000" w:themeColor="text1"/>
              <w:bottom w:val="single" w:sz="4" w:space="0" w:color="000000" w:themeColor="text1"/>
              <w:right w:val="single" w:sz="4" w:space="0" w:color="auto"/>
            </w:tcBorders>
            <w:vAlign w:val="center"/>
          </w:tcPr>
          <w:p w14:paraId="0A381241" w14:textId="77777777" w:rsidR="00231AE4" w:rsidRPr="00F6205B" w:rsidRDefault="00231AE4" w:rsidP="004F23CF">
            <w:pPr>
              <w:keepLines/>
              <w:spacing w:after="0"/>
              <w:jc w:val="center"/>
              <w:rPr>
                <w:sz w:val="20"/>
                <w:szCs w:val="20"/>
              </w:rPr>
            </w:pPr>
            <w:r w:rsidRPr="00F6205B">
              <w:rPr>
                <w:sz w:val="20"/>
                <w:szCs w:val="20"/>
              </w:rPr>
              <w:t>- 1,479.2</w:t>
            </w:r>
          </w:p>
        </w:tc>
      </w:tr>
      <w:tr w:rsidR="00231AE4" w:rsidRPr="00F6205B" w14:paraId="6C83F70D" w14:textId="77777777" w:rsidTr="00C627A2">
        <w:trPr>
          <w:trHeight w:val="288"/>
          <w:jc w:val="center"/>
        </w:trPr>
        <w:tc>
          <w:tcPr>
            <w:tcW w:w="1997" w:type="dxa"/>
            <w:tcBorders>
              <w:top w:val="single" w:sz="4" w:space="0" w:color="000000" w:themeColor="text1"/>
              <w:left w:val="single" w:sz="4" w:space="0" w:color="auto"/>
              <w:bottom w:val="single" w:sz="4" w:space="0" w:color="auto"/>
              <w:right w:val="single" w:sz="4" w:space="0" w:color="000000" w:themeColor="text1"/>
            </w:tcBorders>
            <w:vAlign w:val="center"/>
          </w:tcPr>
          <w:p w14:paraId="224A3C24" w14:textId="77777777" w:rsidR="00231AE4" w:rsidRPr="00F6205B" w:rsidRDefault="00231AE4" w:rsidP="004F23CF">
            <w:pPr>
              <w:keepLines/>
              <w:spacing w:after="0"/>
              <w:rPr>
                <w:sz w:val="20"/>
                <w:szCs w:val="20"/>
              </w:rPr>
            </w:pPr>
            <w:r w:rsidRPr="00F6205B">
              <w:rPr>
                <w:sz w:val="20"/>
                <w:szCs w:val="20"/>
              </w:rPr>
              <w:t>100% Uptake</w:t>
            </w:r>
          </w:p>
        </w:tc>
        <w:tc>
          <w:tcPr>
            <w:tcW w:w="921" w:type="dxa"/>
            <w:vMerge/>
            <w:tcBorders>
              <w:bottom w:val="single" w:sz="4" w:space="0" w:color="auto"/>
            </w:tcBorders>
            <w:vAlign w:val="center"/>
          </w:tcPr>
          <w:p w14:paraId="14F1E395" w14:textId="77777777" w:rsidR="00231AE4" w:rsidRPr="00F6205B" w:rsidRDefault="00231AE4" w:rsidP="004F23CF">
            <w:pPr>
              <w:keepLines/>
              <w:spacing w:after="0"/>
              <w:jc w:val="center"/>
              <w:rPr>
                <w:sz w:val="20"/>
                <w:szCs w:val="20"/>
              </w:rPr>
            </w:pPr>
          </w:p>
        </w:tc>
        <w:tc>
          <w:tcPr>
            <w:tcW w:w="900" w:type="dxa"/>
            <w:vMerge/>
            <w:tcBorders>
              <w:bottom w:val="single" w:sz="4" w:space="0" w:color="auto"/>
            </w:tcBorders>
            <w:vAlign w:val="center"/>
          </w:tcPr>
          <w:p w14:paraId="1EB48EF1" w14:textId="77777777" w:rsidR="00231AE4" w:rsidRPr="00F6205B" w:rsidRDefault="00231AE4" w:rsidP="004F23CF">
            <w:pPr>
              <w:keepLines/>
              <w:spacing w:after="0"/>
              <w:jc w:val="center"/>
              <w:rPr>
                <w:sz w:val="20"/>
                <w:szCs w:val="20"/>
              </w:rPr>
            </w:pPr>
          </w:p>
        </w:tc>
        <w:tc>
          <w:tcPr>
            <w:tcW w:w="968" w:type="dxa"/>
            <w:tcBorders>
              <w:top w:val="single" w:sz="4" w:space="0" w:color="000000" w:themeColor="text1"/>
              <w:bottom w:val="single" w:sz="4" w:space="0" w:color="auto"/>
              <w:right w:val="single" w:sz="4" w:space="0" w:color="000000" w:themeColor="text1"/>
            </w:tcBorders>
            <w:vAlign w:val="center"/>
          </w:tcPr>
          <w:p w14:paraId="0FDC75CA" w14:textId="77777777" w:rsidR="00231AE4" w:rsidRPr="00F6205B" w:rsidRDefault="00231AE4" w:rsidP="004F23CF">
            <w:pPr>
              <w:keepLines/>
              <w:spacing w:after="0"/>
              <w:jc w:val="center"/>
              <w:rPr>
                <w:sz w:val="20"/>
                <w:szCs w:val="20"/>
              </w:rPr>
            </w:pPr>
            <w:r w:rsidRPr="00F6205B">
              <w:rPr>
                <w:sz w:val="20"/>
                <w:szCs w:val="20"/>
              </w:rPr>
              <w:t>412.6</w:t>
            </w:r>
          </w:p>
        </w:tc>
        <w:tc>
          <w:tcPr>
            <w:tcW w:w="990" w:type="dxa"/>
            <w:tcBorders>
              <w:top w:val="single" w:sz="4" w:space="0" w:color="000000" w:themeColor="text1"/>
              <w:bottom w:val="single" w:sz="4" w:space="0" w:color="auto"/>
            </w:tcBorders>
            <w:vAlign w:val="center"/>
          </w:tcPr>
          <w:p w14:paraId="179F8FBE" w14:textId="77777777" w:rsidR="00231AE4" w:rsidRPr="00F6205B" w:rsidRDefault="00231AE4" w:rsidP="004F23CF">
            <w:pPr>
              <w:keepLines/>
              <w:spacing w:after="0"/>
              <w:jc w:val="center"/>
              <w:rPr>
                <w:sz w:val="20"/>
                <w:szCs w:val="20"/>
              </w:rPr>
            </w:pPr>
            <w:r w:rsidRPr="00F6205B">
              <w:rPr>
                <w:sz w:val="20"/>
                <w:szCs w:val="20"/>
              </w:rPr>
              <w:t>297.9</w:t>
            </w:r>
          </w:p>
        </w:tc>
        <w:tc>
          <w:tcPr>
            <w:tcW w:w="990" w:type="dxa"/>
            <w:tcBorders>
              <w:top w:val="single" w:sz="4" w:space="0" w:color="000000" w:themeColor="text1"/>
              <w:bottom w:val="single" w:sz="4" w:space="0" w:color="auto"/>
            </w:tcBorders>
            <w:vAlign w:val="center"/>
          </w:tcPr>
          <w:p w14:paraId="5F5A18D4" w14:textId="77777777" w:rsidR="00231AE4" w:rsidRPr="00F6205B" w:rsidRDefault="00231AE4" w:rsidP="004F23CF">
            <w:pPr>
              <w:keepLines/>
              <w:spacing w:after="0"/>
              <w:jc w:val="center"/>
              <w:rPr>
                <w:sz w:val="20"/>
                <w:szCs w:val="20"/>
              </w:rPr>
            </w:pPr>
            <w:r w:rsidRPr="00F6205B">
              <w:rPr>
                <w:sz w:val="20"/>
                <w:szCs w:val="20"/>
              </w:rPr>
              <w:t>193.9</w:t>
            </w:r>
          </w:p>
        </w:tc>
        <w:tc>
          <w:tcPr>
            <w:tcW w:w="920" w:type="dxa"/>
            <w:tcBorders>
              <w:top w:val="single" w:sz="4" w:space="0" w:color="000000" w:themeColor="text1"/>
              <w:bottom w:val="single" w:sz="4" w:space="0" w:color="auto"/>
            </w:tcBorders>
            <w:vAlign w:val="center"/>
          </w:tcPr>
          <w:p w14:paraId="1E776EAF" w14:textId="77777777" w:rsidR="00231AE4" w:rsidRPr="00F6205B" w:rsidRDefault="00231AE4" w:rsidP="004F23CF">
            <w:pPr>
              <w:keepLines/>
              <w:spacing w:after="0"/>
              <w:jc w:val="center"/>
              <w:rPr>
                <w:sz w:val="20"/>
                <w:szCs w:val="20"/>
              </w:rPr>
            </w:pPr>
            <w:r w:rsidRPr="00F6205B">
              <w:rPr>
                <w:sz w:val="20"/>
                <w:szCs w:val="20"/>
              </w:rPr>
              <w:t>99.9</w:t>
            </w:r>
          </w:p>
        </w:tc>
        <w:tc>
          <w:tcPr>
            <w:tcW w:w="1197" w:type="dxa"/>
            <w:tcBorders>
              <w:top w:val="single" w:sz="4" w:space="0" w:color="000000" w:themeColor="text1"/>
              <w:bottom w:val="single" w:sz="4" w:space="0" w:color="auto"/>
              <w:right w:val="single" w:sz="4" w:space="0" w:color="auto"/>
            </w:tcBorders>
            <w:vAlign w:val="center"/>
          </w:tcPr>
          <w:p w14:paraId="66DDF81A" w14:textId="77777777" w:rsidR="00231AE4" w:rsidRPr="00F6205B" w:rsidRDefault="00231AE4" w:rsidP="004F23CF">
            <w:pPr>
              <w:keepLines/>
              <w:spacing w:after="0"/>
              <w:jc w:val="center"/>
              <w:rPr>
                <w:sz w:val="20"/>
                <w:szCs w:val="20"/>
              </w:rPr>
            </w:pPr>
            <w:r w:rsidRPr="00F6205B">
              <w:rPr>
                <w:sz w:val="20"/>
                <w:szCs w:val="20"/>
              </w:rPr>
              <w:t>- 1,972.2</w:t>
            </w:r>
          </w:p>
        </w:tc>
      </w:tr>
      <w:tr w:rsidR="00231AE4" w:rsidRPr="00F6205B" w14:paraId="105FDBFC" w14:textId="77777777" w:rsidTr="00DF4D42">
        <w:trPr>
          <w:trHeight w:val="288"/>
          <w:jc w:val="center"/>
        </w:trPr>
        <w:tc>
          <w:tcPr>
            <w:tcW w:w="8883" w:type="dxa"/>
            <w:gridSpan w:val="8"/>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1DA9A65C" w14:textId="77777777" w:rsidR="00231AE4" w:rsidRPr="00F6205B" w:rsidRDefault="00231AE4" w:rsidP="004F23CF">
            <w:pPr>
              <w:keepLines/>
              <w:spacing w:after="0"/>
              <w:jc w:val="center"/>
              <w:rPr>
                <w:b/>
                <w:color w:val="FFFFFF" w:themeColor="background1"/>
                <w:sz w:val="20"/>
                <w:szCs w:val="20"/>
              </w:rPr>
            </w:pPr>
            <w:r w:rsidRPr="00F6205B">
              <w:rPr>
                <w:b/>
                <w:color w:val="FFFFFF" w:themeColor="background1"/>
                <w:sz w:val="20"/>
                <w:szCs w:val="20"/>
              </w:rPr>
              <w:t>Propane Consumption Trajectory (million gallons)</w:t>
            </w:r>
          </w:p>
        </w:tc>
      </w:tr>
      <w:tr w:rsidR="00231AE4" w:rsidRPr="00F6205B" w14:paraId="16C65177" w14:textId="77777777" w:rsidTr="00C627A2">
        <w:trPr>
          <w:trHeight w:val="288"/>
          <w:jc w:val="center"/>
        </w:trPr>
        <w:tc>
          <w:tcPr>
            <w:tcW w:w="1997" w:type="dxa"/>
            <w:tcBorders>
              <w:top w:val="single" w:sz="4" w:space="0" w:color="auto"/>
              <w:left w:val="single" w:sz="4" w:space="0" w:color="auto"/>
              <w:bottom w:val="single" w:sz="4" w:space="0" w:color="000000" w:themeColor="text1"/>
              <w:right w:val="single" w:sz="4" w:space="0" w:color="000000" w:themeColor="text1"/>
            </w:tcBorders>
            <w:vAlign w:val="center"/>
          </w:tcPr>
          <w:p w14:paraId="48870DBD" w14:textId="77777777" w:rsidR="00231AE4" w:rsidRPr="00F6205B" w:rsidRDefault="00231AE4" w:rsidP="004F23CF">
            <w:pPr>
              <w:keepLines/>
              <w:spacing w:after="0"/>
              <w:rPr>
                <w:sz w:val="20"/>
                <w:szCs w:val="20"/>
              </w:rPr>
            </w:pPr>
            <w:r w:rsidRPr="00F6205B">
              <w:rPr>
                <w:sz w:val="20"/>
                <w:szCs w:val="20"/>
              </w:rPr>
              <w:t>No fuel switching</w:t>
            </w:r>
          </w:p>
        </w:tc>
        <w:tc>
          <w:tcPr>
            <w:tcW w:w="921" w:type="dxa"/>
            <w:vMerge w:val="restart"/>
            <w:tcBorders>
              <w:top w:val="single" w:sz="4" w:space="0" w:color="auto"/>
            </w:tcBorders>
            <w:vAlign w:val="center"/>
          </w:tcPr>
          <w:p w14:paraId="0026F889" w14:textId="77777777" w:rsidR="00231AE4" w:rsidRPr="00F6205B" w:rsidRDefault="00231AE4" w:rsidP="004F23CF">
            <w:pPr>
              <w:keepLines/>
              <w:spacing w:after="0"/>
              <w:jc w:val="center"/>
              <w:rPr>
                <w:sz w:val="20"/>
                <w:szCs w:val="20"/>
              </w:rPr>
            </w:pPr>
            <w:r w:rsidRPr="00F6205B">
              <w:rPr>
                <w:sz w:val="20"/>
                <w:szCs w:val="20"/>
              </w:rPr>
              <w:t>34.4</w:t>
            </w:r>
          </w:p>
        </w:tc>
        <w:tc>
          <w:tcPr>
            <w:tcW w:w="900" w:type="dxa"/>
            <w:vMerge w:val="restart"/>
            <w:tcBorders>
              <w:top w:val="single" w:sz="4" w:space="0" w:color="auto"/>
            </w:tcBorders>
            <w:vAlign w:val="center"/>
          </w:tcPr>
          <w:p w14:paraId="72195052" w14:textId="77777777" w:rsidR="00231AE4" w:rsidRPr="00F6205B" w:rsidRDefault="00231AE4" w:rsidP="004F23CF">
            <w:pPr>
              <w:keepLines/>
              <w:spacing w:after="0"/>
              <w:jc w:val="center"/>
              <w:rPr>
                <w:i/>
                <w:sz w:val="20"/>
                <w:szCs w:val="20"/>
              </w:rPr>
            </w:pPr>
            <w:r w:rsidRPr="00F6205B">
              <w:rPr>
                <w:i/>
                <w:sz w:val="20"/>
                <w:szCs w:val="20"/>
              </w:rPr>
              <w:t>0.4%</w:t>
            </w:r>
          </w:p>
        </w:tc>
        <w:tc>
          <w:tcPr>
            <w:tcW w:w="968" w:type="dxa"/>
            <w:tcBorders>
              <w:top w:val="single" w:sz="4" w:space="0" w:color="auto"/>
              <w:bottom w:val="single" w:sz="4" w:space="0" w:color="000000" w:themeColor="text1"/>
              <w:right w:val="single" w:sz="4" w:space="0" w:color="000000" w:themeColor="text1"/>
            </w:tcBorders>
            <w:vAlign w:val="center"/>
          </w:tcPr>
          <w:p w14:paraId="502B4E9A" w14:textId="77777777" w:rsidR="00231AE4" w:rsidRPr="00F6205B" w:rsidRDefault="00231AE4" w:rsidP="004F23CF">
            <w:pPr>
              <w:keepLines/>
              <w:spacing w:after="0"/>
              <w:jc w:val="center"/>
              <w:rPr>
                <w:sz w:val="20"/>
                <w:szCs w:val="20"/>
              </w:rPr>
            </w:pPr>
            <w:r w:rsidRPr="00F6205B">
              <w:rPr>
                <w:sz w:val="20"/>
                <w:szCs w:val="20"/>
              </w:rPr>
              <w:t>34.6</w:t>
            </w:r>
          </w:p>
        </w:tc>
        <w:tc>
          <w:tcPr>
            <w:tcW w:w="990" w:type="dxa"/>
            <w:tcBorders>
              <w:top w:val="single" w:sz="4" w:space="0" w:color="auto"/>
              <w:bottom w:val="single" w:sz="4" w:space="0" w:color="000000" w:themeColor="text1"/>
            </w:tcBorders>
            <w:vAlign w:val="center"/>
          </w:tcPr>
          <w:p w14:paraId="28735911" w14:textId="77777777" w:rsidR="00231AE4" w:rsidRPr="00F6205B" w:rsidRDefault="00231AE4" w:rsidP="004F23CF">
            <w:pPr>
              <w:keepLines/>
              <w:spacing w:after="0"/>
              <w:jc w:val="center"/>
              <w:rPr>
                <w:sz w:val="20"/>
                <w:szCs w:val="20"/>
              </w:rPr>
            </w:pPr>
            <w:r w:rsidRPr="00F6205B">
              <w:rPr>
                <w:sz w:val="20"/>
                <w:szCs w:val="20"/>
              </w:rPr>
              <w:t>35.0</w:t>
            </w:r>
          </w:p>
        </w:tc>
        <w:tc>
          <w:tcPr>
            <w:tcW w:w="990" w:type="dxa"/>
            <w:tcBorders>
              <w:top w:val="single" w:sz="4" w:space="0" w:color="auto"/>
              <w:bottom w:val="single" w:sz="4" w:space="0" w:color="000000" w:themeColor="text1"/>
            </w:tcBorders>
            <w:vAlign w:val="center"/>
          </w:tcPr>
          <w:p w14:paraId="6C2CA2F6" w14:textId="77777777" w:rsidR="00231AE4" w:rsidRPr="00F6205B" w:rsidRDefault="00231AE4" w:rsidP="004F23CF">
            <w:pPr>
              <w:keepLines/>
              <w:spacing w:after="0"/>
              <w:jc w:val="center"/>
              <w:rPr>
                <w:sz w:val="20"/>
                <w:szCs w:val="20"/>
              </w:rPr>
            </w:pPr>
            <w:r w:rsidRPr="00F6205B">
              <w:rPr>
                <w:sz w:val="20"/>
                <w:szCs w:val="20"/>
              </w:rPr>
              <w:t>35.3</w:t>
            </w:r>
          </w:p>
        </w:tc>
        <w:tc>
          <w:tcPr>
            <w:tcW w:w="920" w:type="dxa"/>
            <w:tcBorders>
              <w:top w:val="single" w:sz="4" w:space="0" w:color="auto"/>
              <w:bottom w:val="single" w:sz="4" w:space="0" w:color="000000" w:themeColor="text1"/>
            </w:tcBorders>
            <w:vAlign w:val="center"/>
          </w:tcPr>
          <w:p w14:paraId="0774A3A4" w14:textId="77777777" w:rsidR="00231AE4" w:rsidRPr="00F6205B" w:rsidRDefault="00231AE4" w:rsidP="004F23CF">
            <w:pPr>
              <w:keepLines/>
              <w:spacing w:after="0"/>
              <w:jc w:val="center"/>
              <w:rPr>
                <w:sz w:val="20"/>
                <w:szCs w:val="20"/>
              </w:rPr>
            </w:pPr>
            <w:r w:rsidRPr="00F6205B">
              <w:rPr>
                <w:sz w:val="20"/>
                <w:szCs w:val="20"/>
              </w:rPr>
              <w:t>35.7</w:t>
            </w:r>
          </w:p>
        </w:tc>
        <w:tc>
          <w:tcPr>
            <w:tcW w:w="1197" w:type="dxa"/>
            <w:tcBorders>
              <w:top w:val="single" w:sz="4" w:space="0" w:color="auto"/>
              <w:bottom w:val="single" w:sz="4" w:space="0" w:color="000000" w:themeColor="text1"/>
              <w:right w:val="single" w:sz="4" w:space="0" w:color="auto"/>
            </w:tcBorders>
            <w:vAlign w:val="center"/>
          </w:tcPr>
          <w:p w14:paraId="20B69030" w14:textId="77777777" w:rsidR="00231AE4" w:rsidRPr="00F6205B" w:rsidRDefault="00231AE4" w:rsidP="004F23CF">
            <w:pPr>
              <w:keepLines/>
              <w:spacing w:after="0"/>
              <w:jc w:val="center"/>
              <w:rPr>
                <w:sz w:val="20"/>
                <w:szCs w:val="20"/>
              </w:rPr>
            </w:pPr>
            <w:r w:rsidRPr="00F6205B">
              <w:rPr>
                <w:sz w:val="20"/>
                <w:szCs w:val="20"/>
              </w:rPr>
              <w:t>-</w:t>
            </w:r>
          </w:p>
        </w:tc>
      </w:tr>
      <w:tr w:rsidR="00231AE4" w:rsidRPr="00F6205B" w14:paraId="69FE6C10" w14:textId="77777777" w:rsidTr="00C627A2">
        <w:trPr>
          <w:trHeight w:val="288"/>
          <w:jc w:val="center"/>
        </w:trPr>
        <w:tc>
          <w:tcPr>
            <w:tcW w:w="199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12FF568" w14:textId="77777777" w:rsidR="00231AE4" w:rsidRPr="00F6205B" w:rsidRDefault="00231AE4" w:rsidP="004F23CF">
            <w:pPr>
              <w:keepLines/>
              <w:spacing w:after="0"/>
              <w:rPr>
                <w:sz w:val="20"/>
                <w:szCs w:val="20"/>
              </w:rPr>
            </w:pPr>
            <w:r w:rsidRPr="00F6205B">
              <w:rPr>
                <w:sz w:val="20"/>
                <w:szCs w:val="20"/>
              </w:rPr>
              <w:t>25% Uptake</w:t>
            </w:r>
          </w:p>
        </w:tc>
        <w:tc>
          <w:tcPr>
            <w:tcW w:w="921" w:type="dxa"/>
            <w:vMerge/>
            <w:vAlign w:val="center"/>
          </w:tcPr>
          <w:p w14:paraId="37E672F2" w14:textId="77777777" w:rsidR="00231AE4" w:rsidRPr="00F6205B" w:rsidRDefault="00231AE4" w:rsidP="004F23CF">
            <w:pPr>
              <w:keepLines/>
              <w:spacing w:after="0"/>
              <w:jc w:val="center"/>
              <w:rPr>
                <w:sz w:val="20"/>
                <w:szCs w:val="20"/>
              </w:rPr>
            </w:pPr>
          </w:p>
        </w:tc>
        <w:tc>
          <w:tcPr>
            <w:tcW w:w="900" w:type="dxa"/>
            <w:vMerge/>
            <w:vAlign w:val="center"/>
          </w:tcPr>
          <w:p w14:paraId="1ED4716D" w14:textId="77777777" w:rsidR="00231AE4" w:rsidRPr="00F6205B" w:rsidRDefault="00231AE4" w:rsidP="004F23CF">
            <w:pPr>
              <w:keepLines/>
              <w:spacing w:after="0"/>
              <w:jc w:val="center"/>
              <w:rPr>
                <w:sz w:val="20"/>
                <w:szCs w:val="20"/>
              </w:rPr>
            </w:pPr>
          </w:p>
        </w:tc>
        <w:tc>
          <w:tcPr>
            <w:tcW w:w="968" w:type="dxa"/>
            <w:tcBorders>
              <w:top w:val="single" w:sz="4" w:space="0" w:color="000000" w:themeColor="text1"/>
              <w:bottom w:val="single" w:sz="4" w:space="0" w:color="000000" w:themeColor="text1"/>
              <w:right w:val="single" w:sz="4" w:space="0" w:color="000000" w:themeColor="text1"/>
            </w:tcBorders>
            <w:vAlign w:val="center"/>
          </w:tcPr>
          <w:p w14:paraId="57102F53" w14:textId="77777777" w:rsidR="00231AE4" w:rsidRPr="00F6205B" w:rsidRDefault="00231AE4" w:rsidP="004F23CF">
            <w:pPr>
              <w:keepLines/>
              <w:spacing w:after="0"/>
              <w:jc w:val="center"/>
              <w:rPr>
                <w:sz w:val="20"/>
                <w:szCs w:val="20"/>
              </w:rPr>
            </w:pPr>
            <w:r w:rsidRPr="00F6205B">
              <w:rPr>
                <w:sz w:val="20"/>
                <w:szCs w:val="20"/>
              </w:rPr>
              <w:t>33.3</w:t>
            </w:r>
          </w:p>
        </w:tc>
        <w:tc>
          <w:tcPr>
            <w:tcW w:w="990" w:type="dxa"/>
            <w:tcBorders>
              <w:top w:val="single" w:sz="4" w:space="0" w:color="000000" w:themeColor="text1"/>
              <w:bottom w:val="single" w:sz="4" w:space="0" w:color="000000" w:themeColor="text1"/>
            </w:tcBorders>
            <w:vAlign w:val="center"/>
          </w:tcPr>
          <w:p w14:paraId="22F45CFE" w14:textId="77777777" w:rsidR="00231AE4" w:rsidRPr="00F6205B" w:rsidRDefault="00231AE4" w:rsidP="004F23CF">
            <w:pPr>
              <w:keepLines/>
              <w:spacing w:after="0"/>
              <w:jc w:val="center"/>
              <w:rPr>
                <w:sz w:val="20"/>
                <w:szCs w:val="20"/>
              </w:rPr>
            </w:pPr>
            <w:r w:rsidRPr="00F6205B">
              <w:rPr>
                <w:sz w:val="20"/>
                <w:szCs w:val="20"/>
              </w:rPr>
              <w:t>32.4</w:t>
            </w:r>
          </w:p>
        </w:tc>
        <w:tc>
          <w:tcPr>
            <w:tcW w:w="990" w:type="dxa"/>
            <w:tcBorders>
              <w:top w:val="single" w:sz="4" w:space="0" w:color="000000" w:themeColor="text1"/>
              <w:bottom w:val="single" w:sz="4" w:space="0" w:color="000000" w:themeColor="text1"/>
            </w:tcBorders>
            <w:vAlign w:val="center"/>
          </w:tcPr>
          <w:p w14:paraId="13A04DF3" w14:textId="77777777" w:rsidR="00231AE4" w:rsidRPr="00F6205B" w:rsidRDefault="00231AE4" w:rsidP="004F23CF">
            <w:pPr>
              <w:keepLines/>
              <w:spacing w:after="0"/>
              <w:jc w:val="center"/>
              <w:rPr>
                <w:sz w:val="20"/>
                <w:szCs w:val="20"/>
              </w:rPr>
            </w:pPr>
            <w:r w:rsidRPr="00F6205B">
              <w:rPr>
                <w:sz w:val="20"/>
                <w:szCs w:val="20"/>
              </w:rPr>
              <w:t>31.4</w:t>
            </w:r>
          </w:p>
        </w:tc>
        <w:tc>
          <w:tcPr>
            <w:tcW w:w="920" w:type="dxa"/>
            <w:tcBorders>
              <w:top w:val="single" w:sz="4" w:space="0" w:color="000000" w:themeColor="text1"/>
              <w:bottom w:val="single" w:sz="4" w:space="0" w:color="000000" w:themeColor="text1"/>
            </w:tcBorders>
            <w:vAlign w:val="center"/>
          </w:tcPr>
          <w:p w14:paraId="07DB164F" w14:textId="77777777" w:rsidR="00231AE4" w:rsidRPr="00F6205B" w:rsidRDefault="00231AE4" w:rsidP="004F23CF">
            <w:pPr>
              <w:keepLines/>
              <w:spacing w:after="0"/>
              <w:jc w:val="center"/>
              <w:rPr>
                <w:sz w:val="20"/>
                <w:szCs w:val="20"/>
              </w:rPr>
            </w:pPr>
            <w:r w:rsidRPr="00F6205B">
              <w:rPr>
                <w:sz w:val="20"/>
                <w:szCs w:val="20"/>
              </w:rPr>
              <w:t>30.4</w:t>
            </w:r>
          </w:p>
        </w:tc>
        <w:tc>
          <w:tcPr>
            <w:tcW w:w="1197" w:type="dxa"/>
            <w:tcBorders>
              <w:top w:val="single" w:sz="4" w:space="0" w:color="000000" w:themeColor="text1"/>
              <w:bottom w:val="single" w:sz="4" w:space="0" w:color="000000" w:themeColor="text1"/>
              <w:right w:val="single" w:sz="4" w:space="0" w:color="auto"/>
            </w:tcBorders>
            <w:vAlign w:val="center"/>
          </w:tcPr>
          <w:p w14:paraId="7AF37C8F" w14:textId="77777777" w:rsidR="00231AE4" w:rsidRPr="00F6205B" w:rsidRDefault="00231AE4" w:rsidP="004F23CF">
            <w:pPr>
              <w:keepLines/>
              <w:spacing w:after="0"/>
              <w:jc w:val="center"/>
              <w:rPr>
                <w:sz w:val="20"/>
                <w:szCs w:val="20"/>
              </w:rPr>
            </w:pPr>
            <w:r w:rsidRPr="00F6205B">
              <w:rPr>
                <w:sz w:val="20"/>
                <w:szCs w:val="20"/>
              </w:rPr>
              <w:t>- 28.6</w:t>
            </w:r>
          </w:p>
        </w:tc>
      </w:tr>
      <w:tr w:rsidR="00231AE4" w:rsidRPr="00F6205B" w14:paraId="56C6DE23" w14:textId="77777777" w:rsidTr="00C627A2">
        <w:trPr>
          <w:trHeight w:val="288"/>
          <w:jc w:val="center"/>
        </w:trPr>
        <w:tc>
          <w:tcPr>
            <w:tcW w:w="199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084943A" w14:textId="77777777" w:rsidR="00231AE4" w:rsidRPr="00F6205B" w:rsidRDefault="00231AE4" w:rsidP="004F23CF">
            <w:pPr>
              <w:keepLines/>
              <w:spacing w:after="0"/>
              <w:rPr>
                <w:sz w:val="20"/>
                <w:szCs w:val="20"/>
              </w:rPr>
            </w:pPr>
            <w:r w:rsidRPr="00F6205B">
              <w:rPr>
                <w:sz w:val="20"/>
                <w:szCs w:val="20"/>
              </w:rPr>
              <w:t>50% Uptake</w:t>
            </w:r>
          </w:p>
        </w:tc>
        <w:tc>
          <w:tcPr>
            <w:tcW w:w="921" w:type="dxa"/>
            <w:vMerge/>
            <w:vAlign w:val="center"/>
          </w:tcPr>
          <w:p w14:paraId="59375CEB" w14:textId="77777777" w:rsidR="00231AE4" w:rsidRPr="00F6205B" w:rsidRDefault="00231AE4" w:rsidP="004F23CF">
            <w:pPr>
              <w:keepLines/>
              <w:spacing w:after="0"/>
              <w:jc w:val="center"/>
              <w:rPr>
                <w:sz w:val="20"/>
                <w:szCs w:val="20"/>
              </w:rPr>
            </w:pPr>
          </w:p>
        </w:tc>
        <w:tc>
          <w:tcPr>
            <w:tcW w:w="900" w:type="dxa"/>
            <w:vMerge/>
            <w:vAlign w:val="center"/>
          </w:tcPr>
          <w:p w14:paraId="3BF49A22" w14:textId="77777777" w:rsidR="00231AE4" w:rsidRPr="00F6205B" w:rsidRDefault="00231AE4" w:rsidP="004F23CF">
            <w:pPr>
              <w:keepLines/>
              <w:spacing w:after="0"/>
              <w:jc w:val="center"/>
              <w:rPr>
                <w:sz w:val="20"/>
                <w:szCs w:val="20"/>
              </w:rPr>
            </w:pPr>
          </w:p>
        </w:tc>
        <w:tc>
          <w:tcPr>
            <w:tcW w:w="968" w:type="dxa"/>
            <w:tcBorders>
              <w:top w:val="single" w:sz="4" w:space="0" w:color="000000" w:themeColor="text1"/>
              <w:bottom w:val="single" w:sz="4" w:space="0" w:color="000000" w:themeColor="text1"/>
              <w:right w:val="single" w:sz="4" w:space="0" w:color="000000" w:themeColor="text1"/>
            </w:tcBorders>
            <w:vAlign w:val="center"/>
          </w:tcPr>
          <w:p w14:paraId="31C9E05F" w14:textId="77777777" w:rsidR="00231AE4" w:rsidRPr="00F6205B" w:rsidRDefault="00231AE4" w:rsidP="004F23CF">
            <w:pPr>
              <w:keepLines/>
              <w:spacing w:after="0"/>
              <w:jc w:val="center"/>
              <w:rPr>
                <w:sz w:val="20"/>
                <w:szCs w:val="20"/>
              </w:rPr>
            </w:pPr>
            <w:r w:rsidRPr="00F6205B">
              <w:rPr>
                <w:sz w:val="20"/>
                <w:szCs w:val="20"/>
              </w:rPr>
              <w:t>32.1</w:t>
            </w:r>
          </w:p>
        </w:tc>
        <w:tc>
          <w:tcPr>
            <w:tcW w:w="990" w:type="dxa"/>
            <w:tcBorders>
              <w:top w:val="single" w:sz="4" w:space="0" w:color="000000" w:themeColor="text1"/>
              <w:bottom w:val="single" w:sz="4" w:space="0" w:color="000000" w:themeColor="text1"/>
            </w:tcBorders>
            <w:vAlign w:val="center"/>
          </w:tcPr>
          <w:p w14:paraId="28B16412" w14:textId="77777777" w:rsidR="00231AE4" w:rsidRPr="00F6205B" w:rsidRDefault="00231AE4" w:rsidP="004F23CF">
            <w:pPr>
              <w:keepLines/>
              <w:spacing w:after="0"/>
              <w:jc w:val="center"/>
              <w:rPr>
                <w:sz w:val="20"/>
                <w:szCs w:val="20"/>
              </w:rPr>
            </w:pPr>
            <w:r w:rsidRPr="00F6205B">
              <w:rPr>
                <w:sz w:val="20"/>
                <w:szCs w:val="20"/>
              </w:rPr>
              <w:t>29.8</w:t>
            </w:r>
          </w:p>
        </w:tc>
        <w:tc>
          <w:tcPr>
            <w:tcW w:w="990" w:type="dxa"/>
            <w:tcBorders>
              <w:top w:val="single" w:sz="4" w:space="0" w:color="000000" w:themeColor="text1"/>
              <w:bottom w:val="single" w:sz="4" w:space="0" w:color="000000" w:themeColor="text1"/>
            </w:tcBorders>
            <w:vAlign w:val="center"/>
          </w:tcPr>
          <w:p w14:paraId="3858CBEC" w14:textId="77777777" w:rsidR="00231AE4" w:rsidRPr="00F6205B" w:rsidRDefault="00231AE4" w:rsidP="004F23CF">
            <w:pPr>
              <w:keepLines/>
              <w:spacing w:after="0"/>
              <w:jc w:val="center"/>
              <w:rPr>
                <w:sz w:val="20"/>
                <w:szCs w:val="20"/>
              </w:rPr>
            </w:pPr>
            <w:r w:rsidRPr="00F6205B">
              <w:rPr>
                <w:sz w:val="20"/>
                <w:szCs w:val="20"/>
              </w:rPr>
              <w:t>27.5</w:t>
            </w:r>
          </w:p>
        </w:tc>
        <w:tc>
          <w:tcPr>
            <w:tcW w:w="920" w:type="dxa"/>
            <w:tcBorders>
              <w:top w:val="single" w:sz="4" w:space="0" w:color="000000" w:themeColor="text1"/>
              <w:bottom w:val="single" w:sz="4" w:space="0" w:color="000000" w:themeColor="text1"/>
            </w:tcBorders>
            <w:vAlign w:val="center"/>
          </w:tcPr>
          <w:p w14:paraId="4193FE37" w14:textId="77777777" w:rsidR="00231AE4" w:rsidRPr="00F6205B" w:rsidRDefault="00231AE4" w:rsidP="004F23CF">
            <w:pPr>
              <w:keepLines/>
              <w:spacing w:after="0"/>
              <w:jc w:val="center"/>
              <w:rPr>
                <w:sz w:val="20"/>
                <w:szCs w:val="20"/>
              </w:rPr>
            </w:pPr>
            <w:r w:rsidRPr="00F6205B">
              <w:rPr>
                <w:sz w:val="20"/>
                <w:szCs w:val="20"/>
              </w:rPr>
              <w:t>25.1</w:t>
            </w:r>
          </w:p>
        </w:tc>
        <w:tc>
          <w:tcPr>
            <w:tcW w:w="1197" w:type="dxa"/>
            <w:tcBorders>
              <w:top w:val="single" w:sz="4" w:space="0" w:color="000000" w:themeColor="text1"/>
              <w:bottom w:val="single" w:sz="4" w:space="0" w:color="000000" w:themeColor="text1"/>
              <w:right w:val="single" w:sz="4" w:space="0" w:color="auto"/>
            </w:tcBorders>
            <w:vAlign w:val="center"/>
          </w:tcPr>
          <w:p w14:paraId="658C69E2" w14:textId="77777777" w:rsidR="00231AE4" w:rsidRPr="00F6205B" w:rsidRDefault="00231AE4" w:rsidP="004F23CF">
            <w:pPr>
              <w:keepLines/>
              <w:spacing w:after="0"/>
              <w:jc w:val="center"/>
              <w:rPr>
                <w:sz w:val="20"/>
                <w:szCs w:val="20"/>
              </w:rPr>
            </w:pPr>
            <w:r w:rsidRPr="00F6205B">
              <w:rPr>
                <w:sz w:val="20"/>
                <w:szCs w:val="20"/>
              </w:rPr>
              <w:t>- 57.3</w:t>
            </w:r>
          </w:p>
        </w:tc>
      </w:tr>
      <w:tr w:rsidR="00231AE4" w:rsidRPr="00F6205B" w14:paraId="17C19471" w14:textId="77777777" w:rsidTr="00C627A2">
        <w:trPr>
          <w:trHeight w:val="288"/>
          <w:jc w:val="center"/>
        </w:trPr>
        <w:tc>
          <w:tcPr>
            <w:tcW w:w="199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644D928" w14:textId="77777777" w:rsidR="00231AE4" w:rsidRPr="00F6205B" w:rsidRDefault="00231AE4" w:rsidP="004F23CF">
            <w:pPr>
              <w:keepLines/>
              <w:spacing w:after="0"/>
              <w:rPr>
                <w:sz w:val="20"/>
                <w:szCs w:val="20"/>
              </w:rPr>
            </w:pPr>
            <w:r w:rsidRPr="00F6205B">
              <w:rPr>
                <w:sz w:val="20"/>
                <w:szCs w:val="20"/>
              </w:rPr>
              <w:t>75% Uptake</w:t>
            </w:r>
          </w:p>
        </w:tc>
        <w:tc>
          <w:tcPr>
            <w:tcW w:w="921" w:type="dxa"/>
            <w:vMerge/>
            <w:vAlign w:val="center"/>
          </w:tcPr>
          <w:p w14:paraId="3A4B9159" w14:textId="77777777" w:rsidR="00231AE4" w:rsidRPr="00F6205B" w:rsidRDefault="00231AE4" w:rsidP="004F23CF">
            <w:pPr>
              <w:keepLines/>
              <w:spacing w:after="0"/>
              <w:jc w:val="center"/>
              <w:rPr>
                <w:sz w:val="20"/>
                <w:szCs w:val="20"/>
              </w:rPr>
            </w:pPr>
          </w:p>
        </w:tc>
        <w:tc>
          <w:tcPr>
            <w:tcW w:w="900" w:type="dxa"/>
            <w:vMerge/>
            <w:vAlign w:val="center"/>
          </w:tcPr>
          <w:p w14:paraId="0013D78E" w14:textId="77777777" w:rsidR="00231AE4" w:rsidRPr="00F6205B" w:rsidRDefault="00231AE4" w:rsidP="004F23CF">
            <w:pPr>
              <w:keepLines/>
              <w:spacing w:after="0"/>
              <w:jc w:val="center"/>
              <w:rPr>
                <w:sz w:val="20"/>
                <w:szCs w:val="20"/>
              </w:rPr>
            </w:pPr>
          </w:p>
        </w:tc>
        <w:tc>
          <w:tcPr>
            <w:tcW w:w="968" w:type="dxa"/>
            <w:tcBorders>
              <w:top w:val="single" w:sz="4" w:space="0" w:color="000000" w:themeColor="text1"/>
              <w:bottom w:val="single" w:sz="4" w:space="0" w:color="000000" w:themeColor="text1"/>
              <w:right w:val="single" w:sz="4" w:space="0" w:color="000000" w:themeColor="text1"/>
            </w:tcBorders>
            <w:vAlign w:val="center"/>
          </w:tcPr>
          <w:p w14:paraId="14411C5C" w14:textId="77777777" w:rsidR="00231AE4" w:rsidRPr="00F6205B" w:rsidRDefault="00231AE4" w:rsidP="004F23CF">
            <w:pPr>
              <w:keepLines/>
              <w:spacing w:after="0"/>
              <w:jc w:val="center"/>
              <w:rPr>
                <w:sz w:val="20"/>
                <w:szCs w:val="20"/>
              </w:rPr>
            </w:pPr>
            <w:r w:rsidRPr="00F6205B">
              <w:rPr>
                <w:sz w:val="20"/>
                <w:szCs w:val="20"/>
              </w:rPr>
              <w:t>30.8</w:t>
            </w:r>
          </w:p>
        </w:tc>
        <w:tc>
          <w:tcPr>
            <w:tcW w:w="990" w:type="dxa"/>
            <w:tcBorders>
              <w:top w:val="single" w:sz="4" w:space="0" w:color="000000" w:themeColor="text1"/>
              <w:bottom w:val="single" w:sz="4" w:space="0" w:color="000000" w:themeColor="text1"/>
            </w:tcBorders>
            <w:vAlign w:val="center"/>
          </w:tcPr>
          <w:p w14:paraId="20E9AAA0" w14:textId="77777777" w:rsidR="00231AE4" w:rsidRPr="00F6205B" w:rsidRDefault="00231AE4" w:rsidP="004F23CF">
            <w:pPr>
              <w:keepLines/>
              <w:spacing w:after="0"/>
              <w:jc w:val="center"/>
              <w:rPr>
                <w:sz w:val="20"/>
                <w:szCs w:val="20"/>
              </w:rPr>
            </w:pPr>
            <w:r w:rsidRPr="00F6205B">
              <w:rPr>
                <w:sz w:val="20"/>
                <w:szCs w:val="20"/>
              </w:rPr>
              <w:t>27.2</w:t>
            </w:r>
          </w:p>
        </w:tc>
        <w:tc>
          <w:tcPr>
            <w:tcW w:w="990" w:type="dxa"/>
            <w:tcBorders>
              <w:top w:val="single" w:sz="4" w:space="0" w:color="000000" w:themeColor="text1"/>
              <w:bottom w:val="single" w:sz="4" w:space="0" w:color="000000" w:themeColor="text1"/>
            </w:tcBorders>
            <w:vAlign w:val="center"/>
          </w:tcPr>
          <w:p w14:paraId="3F437BE8" w14:textId="77777777" w:rsidR="00231AE4" w:rsidRPr="00F6205B" w:rsidRDefault="00231AE4" w:rsidP="004F23CF">
            <w:pPr>
              <w:keepLines/>
              <w:spacing w:after="0"/>
              <w:jc w:val="center"/>
              <w:rPr>
                <w:sz w:val="20"/>
                <w:szCs w:val="20"/>
              </w:rPr>
            </w:pPr>
            <w:r w:rsidRPr="00F6205B">
              <w:rPr>
                <w:sz w:val="20"/>
                <w:szCs w:val="20"/>
              </w:rPr>
              <w:t>23.6</w:t>
            </w:r>
          </w:p>
        </w:tc>
        <w:tc>
          <w:tcPr>
            <w:tcW w:w="920" w:type="dxa"/>
            <w:tcBorders>
              <w:top w:val="single" w:sz="4" w:space="0" w:color="000000" w:themeColor="text1"/>
              <w:bottom w:val="single" w:sz="4" w:space="0" w:color="000000" w:themeColor="text1"/>
            </w:tcBorders>
            <w:vAlign w:val="center"/>
          </w:tcPr>
          <w:p w14:paraId="1AF55B5C" w14:textId="77777777" w:rsidR="00231AE4" w:rsidRPr="00F6205B" w:rsidRDefault="00231AE4" w:rsidP="004F23CF">
            <w:pPr>
              <w:keepLines/>
              <w:spacing w:after="0"/>
              <w:jc w:val="center"/>
              <w:rPr>
                <w:sz w:val="20"/>
                <w:szCs w:val="20"/>
              </w:rPr>
            </w:pPr>
            <w:r w:rsidRPr="00F6205B">
              <w:rPr>
                <w:sz w:val="20"/>
                <w:szCs w:val="20"/>
              </w:rPr>
              <w:t>19.9</w:t>
            </w:r>
          </w:p>
        </w:tc>
        <w:tc>
          <w:tcPr>
            <w:tcW w:w="1197" w:type="dxa"/>
            <w:tcBorders>
              <w:top w:val="single" w:sz="4" w:space="0" w:color="000000" w:themeColor="text1"/>
              <w:bottom w:val="single" w:sz="4" w:space="0" w:color="000000" w:themeColor="text1"/>
              <w:right w:val="single" w:sz="4" w:space="0" w:color="auto"/>
            </w:tcBorders>
            <w:vAlign w:val="center"/>
          </w:tcPr>
          <w:p w14:paraId="51BE975C" w14:textId="77777777" w:rsidR="00231AE4" w:rsidRPr="00F6205B" w:rsidRDefault="00231AE4" w:rsidP="004F23CF">
            <w:pPr>
              <w:keepLines/>
              <w:spacing w:after="0"/>
              <w:jc w:val="center"/>
              <w:rPr>
                <w:sz w:val="20"/>
                <w:szCs w:val="20"/>
              </w:rPr>
            </w:pPr>
            <w:r w:rsidRPr="00F6205B">
              <w:rPr>
                <w:sz w:val="20"/>
                <w:szCs w:val="20"/>
              </w:rPr>
              <w:t>- 85.9</w:t>
            </w:r>
          </w:p>
        </w:tc>
      </w:tr>
      <w:tr w:rsidR="00231AE4" w:rsidRPr="00F6205B" w14:paraId="0277C40D" w14:textId="77777777" w:rsidTr="00C627A2">
        <w:trPr>
          <w:trHeight w:val="288"/>
          <w:jc w:val="center"/>
        </w:trPr>
        <w:tc>
          <w:tcPr>
            <w:tcW w:w="1997" w:type="dxa"/>
            <w:tcBorders>
              <w:top w:val="single" w:sz="4" w:space="0" w:color="000000" w:themeColor="text1"/>
              <w:left w:val="single" w:sz="4" w:space="0" w:color="auto"/>
              <w:bottom w:val="single" w:sz="4" w:space="0" w:color="auto"/>
              <w:right w:val="single" w:sz="4" w:space="0" w:color="000000" w:themeColor="text1"/>
            </w:tcBorders>
            <w:vAlign w:val="center"/>
          </w:tcPr>
          <w:p w14:paraId="78687BBA" w14:textId="77777777" w:rsidR="00231AE4" w:rsidRPr="00F6205B" w:rsidRDefault="00231AE4" w:rsidP="004F23CF">
            <w:pPr>
              <w:keepLines/>
              <w:spacing w:after="0"/>
              <w:rPr>
                <w:sz w:val="20"/>
                <w:szCs w:val="20"/>
              </w:rPr>
            </w:pPr>
            <w:r w:rsidRPr="00F6205B">
              <w:rPr>
                <w:sz w:val="20"/>
                <w:szCs w:val="20"/>
              </w:rPr>
              <w:t>100% Uptake</w:t>
            </w:r>
          </w:p>
        </w:tc>
        <w:tc>
          <w:tcPr>
            <w:tcW w:w="921" w:type="dxa"/>
            <w:vMerge/>
            <w:tcBorders>
              <w:bottom w:val="single" w:sz="4" w:space="0" w:color="auto"/>
            </w:tcBorders>
            <w:vAlign w:val="center"/>
          </w:tcPr>
          <w:p w14:paraId="5B5F961D" w14:textId="77777777" w:rsidR="00231AE4" w:rsidRPr="00F6205B" w:rsidRDefault="00231AE4" w:rsidP="004F23CF">
            <w:pPr>
              <w:keepLines/>
              <w:spacing w:after="0"/>
              <w:jc w:val="center"/>
              <w:rPr>
                <w:sz w:val="20"/>
                <w:szCs w:val="20"/>
              </w:rPr>
            </w:pPr>
          </w:p>
        </w:tc>
        <w:tc>
          <w:tcPr>
            <w:tcW w:w="900" w:type="dxa"/>
            <w:vMerge/>
            <w:tcBorders>
              <w:bottom w:val="single" w:sz="4" w:space="0" w:color="auto"/>
            </w:tcBorders>
            <w:vAlign w:val="center"/>
          </w:tcPr>
          <w:p w14:paraId="7D0EC700" w14:textId="77777777" w:rsidR="00231AE4" w:rsidRPr="00F6205B" w:rsidRDefault="00231AE4" w:rsidP="004F23CF">
            <w:pPr>
              <w:keepLines/>
              <w:spacing w:after="0"/>
              <w:jc w:val="center"/>
              <w:rPr>
                <w:sz w:val="20"/>
                <w:szCs w:val="20"/>
              </w:rPr>
            </w:pPr>
          </w:p>
        </w:tc>
        <w:tc>
          <w:tcPr>
            <w:tcW w:w="968" w:type="dxa"/>
            <w:tcBorders>
              <w:top w:val="single" w:sz="4" w:space="0" w:color="000000" w:themeColor="text1"/>
              <w:bottom w:val="single" w:sz="4" w:space="0" w:color="auto"/>
              <w:right w:val="single" w:sz="4" w:space="0" w:color="000000" w:themeColor="text1"/>
            </w:tcBorders>
            <w:vAlign w:val="center"/>
          </w:tcPr>
          <w:p w14:paraId="3AF53D7E" w14:textId="77777777" w:rsidR="00231AE4" w:rsidRPr="00F6205B" w:rsidRDefault="00231AE4" w:rsidP="004F23CF">
            <w:pPr>
              <w:keepLines/>
              <w:spacing w:after="0"/>
              <w:jc w:val="center"/>
              <w:rPr>
                <w:sz w:val="20"/>
                <w:szCs w:val="20"/>
              </w:rPr>
            </w:pPr>
            <w:r w:rsidRPr="00F6205B">
              <w:rPr>
                <w:sz w:val="20"/>
                <w:szCs w:val="20"/>
              </w:rPr>
              <w:t>29.5</w:t>
            </w:r>
          </w:p>
        </w:tc>
        <w:tc>
          <w:tcPr>
            <w:tcW w:w="990" w:type="dxa"/>
            <w:tcBorders>
              <w:top w:val="single" w:sz="4" w:space="0" w:color="000000" w:themeColor="text1"/>
              <w:bottom w:val="single" w:sz="4" w:space="0" w:color="auto"/>
            </w:tcBorders>
            <w:vAlign w:val="center"/>
          </w:tcPr>
          <w:p w14:paraId="6D44D33A" w14:textId="77777777" w:rsidR="00231AE4" w:rsidRPr="00F6205B" w:rsidRDefault="00231AE4" w:rsidP="004F23CF">
            <w:pPr>
              <w:keepLines/>
              <w:spacing w:after="0"/>
              <w:jc w:val="center"/>
              <w:rPr>
                <w:sz w:val="20"/>
                <w:szCs w:val="20"/>
              </w:rPr>
            </w:pPr>
            <w:r w:rsidRPr="00F6205B">
              <w:rPr>
                <w:sz w:val="20"/>
                <w:szCs w:val="20"/>
              </w:rPr>
              <w:t>24.6</w:t>
            </w:r>
          </w:p>
        </w:tc>
        <w:tc>
          <w:tcPr>
            <w:tcW w:w="990" w:type="dxa"/>
            <w:tcBorders>
              <w:top w:val="single" w:sz="4" w:space="0" w:color="000000" w:themeColor="text1"/>
              <w:bottom w:val="single" w:sz="4" w:space="0" w:color="auto"/>
            </w:tcBorders>
            <w:vAlign w:val="center"/>
          </w:tcPr>
          <w:p w14:paraId="04684AB7" w14:textId="77777777" w:rsidR="00231AE4" w:rsidRPr="00F6205B" w:rsidRDefault="00231AE4" w:rsidP="004F23CF">
            <w:pPr>
              <w:keepLines/>
              <w:spacing w:after="0"/>
              <w:jc w:val="center"/>
              <w:rPr>
                <w:sz w:val="20"/>
                <w:szCs w:val="20"/>
              </w:rPr>
            </w:pPr>
            <w:r w:rsidRPr="00F6205B">
              <w:rPr>
                <w:sz w:val="20"/>
                <w:szCs w:val="20"/>
              </w:rPr>
              <w:t>19.7</w:t>
            </w:r>
          </w:p>
        </w:tc>
        <w:tc>
          <w:tcPr>
            <w:tcW w:w="920" w:type="dxa"/>
            <w:tcBorders>
              <w:top w:val="single" w:sz="4" w:space="0" w:color="000000" w:themeColor="text1"/>
              <w:bottom w:val="single" w:sz="4" w:space="0" w:color="auto"/>
            </w:tcBorders>
            <w:vAlign w:val="center"/>
          </w:tcPr>
          <w:p w14:paraId="3006FEA9" w14:textId="77777777" w:rsidR="00231AE4" w:rsidRPr="00F6205B" w:rsidRDefault="00231AE4" w:rsidP="004F23CF">
            <w:pPr>
              <w:keepLines/>
              <w:spacing w:after="0"/>
              <w:jc w:val="center"/>
              <w:rPr>
                <w:sz w:val="20"/>
                <w:szCs w:val="20"/>
              </w:rPr>
            </w:pPr>
            <w:r w:rsidRPr="00F6205B">
              <w:rPr>
                <w:sz w:val="20"/>
                <w:szCs w:val="20"/>
              </w:rPr>
              <w:t>14.6</w:t>
            </w:r>
          </w:p>
        </w:tc>
        <w:tc>
          <w:tcPr>
            <w:tcW w:w="1197" w:type="dxa"/>
            <w:tcBorders>
              <w:top w:val="single" w:sz="4" w:space="0" w:color="000000" w:themeColor="text1"/>
              <w:bottom w:val="single" w:sz="4" w:space="0" w:color="auto"/>
              <w:right w:val="single" w:sz="4" w:space="0" w:color="auto"/>
            </w:tcBorders>
            <w:vAlign w:val="center"/>
          </w:tcPr>
          <w:p w14:paraId="17646B5E" w14:textId="77777777" w:rsidR="00231AE4" w:rsidRPr="00F6205B" w:rsidRDefault="00231AE4" w:rsidP="004F23CF">
            <w:pPr>
              <w:keepLines/>
              <w:spacing w:after="0"/>
              <w:jc w:val="center"/>
              <w:rPr>
                <w:sz w:val="20"/>
                <w:szCs w:val="20"/>
              </w:rPr>
            </w:pPr>
            <w:r w:rsidRPr="00F6205B">
              <w:rPr>
                <w:sz w:val="20"/>
                <w:szCs w:val="20"/>
              </w:rPr>
              <w:t>- 114.6</w:t>
            </w:r>
          </w:p>
        </w:tc>
      </w:tr>
      <w:tr w:rsidR="00231AE4" w:rsidRPr="00F6205B" w14:paraId="3551767C" w14:textId="77777777" w:rsidTr="00DF4D42">
        <w:trPr>
          <w:trHeight w:val="288"/>
          <w:jc w:val="center"/>
        </w:trPr>
        <w:tc>
          <w:tcPr>
            <w:tcW w:w="8883" w:type="dxa"/>
            <w:gridSpan w:val="8"/>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47A8E477" w14:textId="77777777" w:rsidR="00231AE4" w:rsidRPr="00F6205B" w:rsidRDefault="00231AE4" w:rsidP="004F23CF">
            <w:pPr>
              <w:keepLines/>
              <w:spacing w:after="0"/>
              <w:jc w:val="center"/>
              <w:rPr>
                <w:b/>
                <w:color w:val="FFFFFF" w:themeColor="background1"/>
                <w:sz w:val="20"/>
                <w:szCs w:val="20"/>
              </w:rPr>
            </w:pPr>
            <w:r w:rsidRPr="00F6205B">
              <w:rPr>
                <w:b/>
                <w:color w:val="FFFFFF" w:themeColor="background1"/>
                <w:sz w:val="20"/>
                <w:szCs w:val="20"/>
              </w:rPr>
              <w:t>Natural Gas Consumption Trajectory (million ccf)</w:t>
            </w:r>
          </w:p>
        </w:tc>
      </w:tr>
      <w:tr w:rsidR="00231AE4" w:rsidRPr="00F6205B" w14:paraId="3D2D6888" w14:textId="77777777" w:rsidTr="00C627A2">
        <w:trPr>
          <w:trHeight w:val="288"/>
          <w:jc w:val="center"/>
        </w:trPr>
        <w:tc>
          <w:tcPr>
            <w:tcW w:w="1997" w:type="dxa"/>
            <w:tcBorders>
              <w:top w:val="single" w:sz="4" w:space="0" w:color="auto"/>
              <w:left w:val="single" w:sz="4" w:space="0" w:color="auto"/>
              <w:bottom w:val="single" w:sz="4" w:space="0" w:color="000000" w:themeColor="text1"/>
              <w:right w:val="single" w:sz="4" w:space="0" w:color="000000" w:themeColor="text1"/>
            </w:tcBorders>
            <w:vAlign w:val="center"/>
          </w:tcPr>
          <w:p w14:paraId="113B47F2" w14:textId="77777777" w:rsidR="00231AE4" w:rsidRPr="00F6205B" w:rsidRDefault="00231AE4" w:rsidP="004F23CF">
            <w:pPr>
              <w:keepLines/>
              <w:spacing w:after="0"/>
              <w:rPr>
                <w:sz w:val="20"/>
                <w:szCs w:val="20"/>
              </w:rPr>
            </w:pPr>
            <w:r w:rsidRPr="00F6205B">
              <w:rPr>
                <w:sz w:val="20"/>
                <w:szCs w:val="20"/>
              </w:rPr>
              <w:t>No fuel switching</w:t>
            </w:r>
          </w:p>
        </w:tc>
        <w:tc>
          <w:tcPr>
            <w:tcW w:w="921" w:type="dxa"/>
            <w:vMerge w:val="restart"/>
            <w:tcBorders>
              <w:top w:val="single" w:sz="4" w:space="0" w:color="auto"/>
            </w:tcBorders>
            <w:vAlign w:val="center"/>
          </w:tcPr>
          <w:p w14:paraId="2A43BAAD" w14:textId="77777777" w:rsidR="00231AE4" w:rsidRPr="00F6205B" w:rsidRDefault="00231AE4" w:rsidP="004F23CF">
            <w:pPr>
              <w:keepLines/>
              <w:spacing w:after="0"/>
              <w:jc w:val="center"/>
              <w:rPr>
                <w:sz w:val="20"/>
                <w:szCs w:val="20"/>
              </w:rPr>
            </w:pPr>
            <w:r w:rsidRPr="00F6205B">
              <w:rPr>
                <w:sz w:val="20"/>
                <w:szCs w:val="20"/>
              </w:rPr>
              <w:t>326.8</w:t>
            </w:r>
          </w:p>
        </w:tc>
        <w:tc>
          <w:tcPr>
            <w:tcW w:w="900" w:type="dxa"/>
            <w:vMerge w:val="restart"/>
            <w:tcBorders>
              <w:top w:val="single" w:sz="4" w:space="0" w:color="auto"/>
            </w:tcBorders>
            <w:vAlign w:val="center"/>
          </w:tcPr>
          <w:p w14:paraId="035D3553" w14:textId="77777777" w:rsidR="00231AE4" w:rsidRPr="00F6205B" w:rsidRDefault="00231AE4" w:rsidP="004F23CF">
            <w:pPr>
              <w:keepLines/>
              <w:spacing w:after="0"/>
              <w:jc w:val="center"/>
              <w:rPr>
                <w:i/>
                <w:sz w:val="20"/>
                <w:szCs w:val="20"/>
              </w:rPr>
            </w:pPr>
            <w:r w:rsidRPr="00F6205B">
              <w:rPr>
                <w:i/>
                <w:sz w:val="20"/>
                <w:szCs w:val="20"/>
              </w:rPr>
              <w:t>0.7%</w:t>
            </w:r>
          </w:p>
        </w:tc>
        <w:tc>
          <w:tcPr>
            <w:tcW w:w="968" w:type="dxa"/>
            <w:tcBorders>
              <w:top w:val="single" w:sz="4" w:space="0" w:color="auto"/>
              <w:bottom w:val="single" w:sz="4" w:space="0" w:color="000000" w:themeColor="text1"/>
              <w:right w:val="single" w:sz="4" w:space="0" w:color="000000" w:themeColor="text1"/>
            </w:tcBorders>
            <w:vAlign w:val="center"/>
          </w:tcPr>
          <w:p w14:paraId="29D366A7" w14:textId="77777777" w:rsidR="00231AE4" w:rsidRPr="00F6205B" w:rsidRDefault="00231AE4" w:rsidP="004F23CF">
            <w:pPr>
              <w:keepLines/>
              <w:spacing w:after="0"/>
              <w:jc w:val="center"/>
              <w:rPr>
                <w:sz w:val="20"/>
                <w:szCs w:val="20"/>
              </w:rPr>
            </w:pPr>
            <w:r w:rsidRPr="00F6205B">
              <w:rPr>
                <w:sz w:val="20"/>
                <w:szCs w:val="20"/>
              </w:rPr>
              <w:t>330.3</w:t>
            </w:r>
          </w:p>
        </w:tc>
        <w:tc>
          <w:tcPr>
            <w:tcW w:w="990" w:type="dxa"/>
            <w:tcBorders>
              <w:top w:val="single" w:sz="4" w:space="0" w:color="auto"/>
              <w:bottom w:val="single" w:sz="4" w:space="0" w:color="000000" w:themeColor="text1"/>
            </w:tcBorders>
            <w:vAlign w:val="center"/>
          </w:tcPr>
          <w:p w14:paraId="2E15E2AB" w14:textId="77777777" w:rsidR="00231AE4" w:rsidRPr="00F6205B" w:rsidRDefault="00231AE4" w:rsidP="004F23CF">
            <w:pPr>
              <w:keepLines/>
              <w:spacing w:after="0"/>
              <w:jc w:val="center"/>
              <w:rPr>
                <w:sz w:val="20"/>
                <w:szCs w:val="20"/>
              </w:rPr>
            </w:pPr>
            <w:r w:rsidRPr="00F6205B">
              <w:rPr>
                <w:sz w:val="20"/>
                <w:szCs w:val="20"/>
              </w:rPr>
              <w:t>336.1</w:t>
            </w:r>
          </w:p>
        </w:tc>
        <w:tc>
          <w:tcPr>
            <w:tcW w:w="990" w:type="dxa"/>
            <w:tcBorders>
              <w:top w:val="single" w:sz="4" w:space="0" w:color="auto"/>
              <w:bottom w:val="single" w:sz="4" w:space="0" w:color="000000" w:themeColor="text1"/>
            </w:tcBorders>
            <w:vAlign w:val="center"/>
          </w:tcPr>
          <w:p w14:paraId="18A59756" w14:textId="77777777" w:rsidR="00231AE4" w:rsidRPr="00F6205B" w:rsidRDefault="00231AE4" w:rsidP="004F23CF">
            <w:pPr>
              <w:keepLines/>
              <w:spacing w:after="0"/>
              <w:jc w:val="center"/>
              <w:rPr>
                <w:sz w:val="20"/>
                <w:szCs w:val="20"/>
              </w:rPr>
            </w:pPr>
            <w:r w:rsidRPr="00F6205B">
              <w:rPr>
                <w:sz w:val="20"/>
                <w:szCs w:val="20"/>
              </w:rPr>
              <w:t>342.0</w:t>
            </w:r>
          </w:p>
        </w:tc>
        <w:tc>
          <w:tcPr>
            <w:tcW w:w="920" w:type="dxa"/>
            <w:tcBorders>
              <w:top w:val="single" w:sz="4" w:space="0" w:color="auto"/>
              <w:bottom w:val="single" w:sz="4" w:space="0" w:color="000000" w:themeColor="text1"/>
            </w:tcBorders>
            <w:vAlign w:val="center"/>
          </w:tcPr>
          <w:p w14:paraId="23AB7039" w14:textId="77777777" w:rsidR="00231AE4" w:rsidRPr="00F6205B" w:rsidRDefault="00231AE4" w:rsidP="004F23CF">
            <w:pPr>
              <w:keepLines/>
              <w:spacing w:after="0"/>
              <w:jc w:val="center"/>
              <w:rPr>
                <w:sz w:val="20"/>
                <w:szCs w:val="20"/>
              </w:rPr>
            </w:pPr>
            <w:r w:rsidRPr="00F6205B">
              <w:rPr>
                <w:sz w:val="20"/>
                <w:szCs w:val="20"/>
              </w:rPr>
              <w:t>348.0</w:t>
            </w:r>
          </w:p>
        </w:tc>
        <w:tc>
          <w:tcPr>
            <w:tcW w:w="1197" w:type="dxa"/>
            <w:tcBorders>
              <w:top w:val="single" w:sz="4" w:space="0" w:color="auto"/>
              <w:bottom w:val="single" w:sz="4" w:space="0" w:color="000000" w:themeColor="text1"/>
              <w:right w:val="single" w:sz="4" w:space="0" w:color="auto"/>
            </w:tcBorders>
            <w:vAlign w:val="center"/>
          </w:tcPr>
          <w:p w14:paraId="02FCF41B" w14:textId="77777777" w:rsidR="00231AE4" w:rsidRPr="00F6205B" w:rsidRDefault="00231AE4" w:rsidP="004F23CF">
            <w:pPr>
              <w:keepLines/>
              <w:spacing w:after="0"/>
              <w:jc w:val="center"/>
              <w:rPr>
                <w:sz w:val="20"/>
                <w:szCs w:val="20"/>
              </w:rPr>
            </w:pPr>
            <w:r w:rsidRPr="00F6205B">
              <w:rPr>
                <w:sz w:val="20"/>
                <w:szCs w:val="20"/>
              </w:rPr>
              <w:t>-</w:t>
            </w:r>
          </w:p>
        </w:tc>
      </w:tr>
      <w:tr w:rsidR="00231AE4" w:rsidRPr="00F6205B" w14:paraId="4E046FFE" w14:textId="77777777" w:rsidTr="00C627A2">
        <w:trPr>
          <w:trHeight w:val="288"/>
          <w:jc w:val="center"/>
        </w:trPr>
        <w:tc>
          <w:tcPr>
            <w:tcW w:w="199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20FF025" w14:textId="77777777" w:rsidR="00231AE4" w:rsidRPr="00F6205B" w:rsidRDefault="00231AE4" w:rsidP="004F23CF">
            <w:pPr>
              <w:keepLines/>
              <w:spacing w:after="0"/>
              <w:rPr>
                <w:sz w:val="20"/>
                <w:szCs w:val="20"/>
              </w:rPr>
            </w:pPr>
            <w:r w:rsidRPr="00F6205B">
              <w:rPr>
                <w:sz w:val="20"/>
                <w:szCs w:val="20"/>
              </w:rPr>
              <w:t>25% Uptake</w:t>
            </w:r>
          </w:p>
        </w:tc>
        <w:tc>
          <w:tcPr>
            <w:tcW w:w="921" w:type="dxa"/>
            <w:vMerge/>
            <w:vAlign w:val="center"/>
          </w:tcPr>
          <w:p w14:paraId="087C718B" w14:textId="77777777" w:rsidR="00231AE4" w:rsidRPr="00F6205B" w:rsidRDefault="00231AE4" w:rsidP="004F23CF">
            <w:pPr>
              <w:keepLines/>
              <w:spacing w:after="0"/>
              <w:jc w:val="center"/>
              <w:rPr>
                <w:sz w:val="20"/>
                <w:szCs w:val="20"/>
              </w:rPr>
            </w:pPr>
          </w:p>
        </w:tc>
        <w:tc>
          <w:tcPr>
            <w:tcW w:w="900" w:type="dxa"/>
            <w:vMerge/>
            <w:vAlign w:val="center"/>
          </w:tcPr>
          <w:p w14:paraId="291C9A85" w14:textId="77777777" w:rsidR="00231AE4" w:rsidRPr="00F6205B" w:rsidRDefault="00231AE4" w:rsidP="004F23CF">
            <w:pPr>
              <w:keepLines/>
              <w:spacing w:after="0"/>
              <w:jc w:val="center"/>
              <w:rPr>
                <w:sz w:val="20"/>
                <w:szCs w:val="20"/>
              </w:rPr>
            </w:pPr>
          </w:p>
        </w:tc>
        <w:tc>
          <w:tcPr>
            <w:tcW w:w="968" w:type="dxa"/>
            <w:tcBorders>
              <w:top w:val="single" w:sz="4" w:space="0" w:color="000000" w:themeColor="text1"/>
              <w:bottom w:val="single" w:sz="4" w:space="0" w:color="000000" w:themeColor="text1"/>
              <w:right w:val="single" w:sz="4" w:space="0" w:color="000000" w:themeColor="text1"/>
            </w:tcBorders>
            <w:vAlign w:val="center"/>
          </w:tcPr>
          <w:p w14:paraId="49609C8F" w14:textId="77777777" w:rsidR="00231AE4" w:rsidRPr="00F6205B" w:rsidRDefault="00231AE4" w:rsidP="004F23CF">
            <w:pPr>
              <w:keepLines/>
              <w:spacing w:after="0"/>
              <w:jc w:val="center"/>
              <w:rPr>
                <w:sz w:val="20"/>
                <w:szCs w:val="20"/>
              </w:rPr>
            </w:pPr>
            <w:r w:rsidRPr="00F6205B">
              <w:rPr>
                <w:sz w:val="20"/>
                <w:szCs w:val="20"/>
              </w:rPr>
              <w:t>348.6</w:t>
            </w:r>
          </w:p>
        </w:tc>
        <w:tc>
          <w:tcPr>
            <w:tcW w:w="990" w:type="dxa"/>
            <w:tcBorders>
              <w:top w:val="single" w:sz="4" w:space="0" w:color="000000" w:themeColor="text1"/>
              <w:bottom w:val="single" w:sz="4" w:space="0" w:color="000000" w:themeColor="text1"/>
            </w:tcBorders>
            <w:vAlign w:val="center"/>
          </w:tcPr>
          <w:p w14:paraId="1A62F54A" w14:textId="77777777" w:rsidR="00231AE4" w:rsidRPr="00F6205B" w:rsidRDefault="00231AE4" w:rsidP="004F23CF">
            <w:pPr>
              <w:keepLines/>
              <w:spacing w:after="0"/>
              <w:jc w:val="center"/>
              <w:rPr>
                <w:sz w:val="20"/>
                <w:szCs w:val="20"/>
              </w:rPr>
            </w:pPr>
            <w:r w:rsidRPr="00F6205B">
              <w:rPr>
                <w:sz w:val="20"/>
                <w:szCs w:val="20"/>
              </w:rPr>
              <w:t>373.3</w:t>
            </w:r>
          </w:p>
        </w:tc>
        <w:tc>
          <w:tcPr>
            <w:tcW w:w="990" w:type="dxa"/>
            <w:tcBorders>
              <w:top w:val="single" w:sz="4" w:space="0" w:color="000000" w:themeColor="text1"/>
              <w:bottom w:val="single" w:sz="4" w:space="0" w:color="000000" w:themeColor="text1"/>
            </w:tcBorders>
            <w:vAlign w:val="center"/>
          </w:tcPr>
          <w:p w14:paraId="6168DB77" w14:textId="77777777" w:rsidR="00231AE4" w:rsidRPr="00F6205B" w:rsidRDefault="00231AE4" w:rsidP="004F23CF">
            <w:pPr>
              <w:keepLines/>
              <w:spacing w:after="0"/>
              <w:jc w:val="center"/>
              <w:rPr>
                <w:sz w:val="20"/>
                <w:szCs w:val="20"/>
              </w:rPr>
            </w:pPr>
            <w:r w:rsidRPr="00F6205B">
              <w:rPr>
                <w:sz w:val="20"/>
                <w:szCs w:val="20"/>
              </w:rPr>
              <w:t>398.8</w:t>
            </w:r>
          </w:p>
        </w:tc>
        <w:tc>
          <w:tcPr>
            <w:tcW w:w="920" w:type="dxa"/>
            <w:tcBorders>
              <w:top w:val="single" w:sz="4" w:space="0" w:color="000000" w:themeColor="text1"/>
              <w:bottom w:val="single" w:sz="4" w:space="0" w:color="000000" w:themeColor="text1"/>
            </w:tcBorders>
            <w:vAlign w:val="center"/>
          </w:tcPr>
          <w:p w14:paraId="0EB85E4B" w14:textId="77777777" w:rsidR="00231AE4" w:rsidRPr="00F6205B" w:rsidRDefault="00231AE4" w:rsidP="004F23CF">
            <w:pPr>
              <w:keepLines/>
              <w:spacing w:after="0"/>
              <w:jc w:val="center"/>
              <w:rPr>
                <w:sz w:val="20"/>
                <w:szCs w:val="20"/>
              </w:rPr>
            </w:pPr>
            <w:r w:rsidRPr="00F6205B">
              <w:rPr>
                <w:sz w:val="20"/>
                <w:szCs w:val="20"/>
              </w:rPr>
              <w:t>425.1</w:t>
            </w:r>
          </w:p>
        </w:tc>
        <w:tc>
          <w:tcPr>
            <w:tcW w:w="1197" w:type="dxa"/>
            <w:tcBorders>
              <w:top w:val="single" w:sz="4" w:space="0" w:color="000000" w:themeColor="text1"/>
              <w:bottom w:val="single" w:sz="4" w:space="0" w:color="000000" w:themeColor="text1"/>
              <w:right w:val="single" w:sz="4" w:space="0" w:color="auto"/>
            </w:tcBorders>
            <w:vAlign w:val="center"/>
          </w:tcPr>
          <w:p w14:paraId="5206129A" w14:textId="77777777" w:rsidR="00231AE4" w:rsidRPr="00F6205B" w:rsidRDefault="00231AE4" w:rsidP="004F23CF">
            <w:pPr>
              <w:keepLines/>
              <w:spacing w:after="0"/>
              <w:jc w:val="center"/>
              <w:rPr>
                <w:sz w:val="20"/>
                <w:szCs w:val="20"/>
              </w:rPr>
            </w:pPr>
            <w:r w:rsidRPr="00F6205B">
              <w:rPr>
                <w:sz w:val="20"/>
                <w:szCs w:val="20"/>
              </w:rPr>
              <w:t>+ 415.0</w:t>
            </w:r>
          </w:p>
        </w:tc>
      </w:tr>
      <w:tr w:rsidR="00231AE4" w:rsidRPr="00F6205B" w14:paraId="19841861" w14:textId="77777777" w:rsidTr="00C627A2">
        <w:trPr>
          <w:trHeight w:val="288"/>
          <w:jc w:val="center"/>
        </w:trPr>
        <w:tc>
          <w:tcPr>
            <w:tcW w:w="199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B493925" w14:textId="77777777" w:rsidR="00231AE4" w:rsidRPr="00F6205B" w:rsidRDefault="00231AE4" w:rsidP="004F23CF">
            <w:pPr>
              <w:keepLines/>
              <w:spacing w:after="0"/>
              <w:rPr>
                <w:sz w:val="20"/>
                <w:szCs w:val="20"/>
              </w:rPr>
            </w:pPr>
            <w:r w:rsidRPr="00F6205B">
              <w:rPr>
                <w:sz w:val="20"/>
                <w:szCs w:val="20"/>
              </w:rPr>
              <w:t>50% Uptake</w:t>
            </w:r>
          </w:p>
        </w:tc>
        <w:tc>
          <w:tcPr>
            <w:tcW w:w="921" w:type="dxa"/>
            <w:vMerge/>
            <w:vAlign w:val="center"/>
          </w:tcPr>
          <w:p w14:paraId="6321FA0F" w14:textId="77777777" w:rsidR="00231AE4" w:rsidRPr="00F6205B" w:rsidRDefault="00231AE4" w:rsidP="004F23CF">
            <w:pPr>
              <w:keepLines/>
              <w:spacing w:after="0"/>
              <w:jc w:val="center"/>
              <w:rPr>
                <w:sz w:val="20"/>
                <w:szCs w:val="20"/>
              </w:rPr>
            </w:pPr>
          </w:p>
        </w:tc>
        <w:tc>
          <w:tcPr>
            <w:tcW w:w="900" w:type="dxa"/>
            <w:vMerge/>
            <w:vAlign w:val="center"/>
          </w:tcPr>
          <w:p w14:paraId="29830571" w14:textId="77777777" w:rsidR="00231AE4" w:rsidRPr="00F6205B" w:rsidRDefault="00231AE4" w:rsidP="004F23CF">
            <w:pPr>
              <w:keepLines/>
              <w:spacing w:after="0"/>
              <w:jc w:val="center"/>
              <w:rPr>
                <w:sz w:val="20"/>
                <w:szCs w:val="20"/>
              </w:rPr>
            </w:pPr>
          </w:p>
        </w:tc>
        <w:tc>
          <w:tcPr>
            <w:tcW w:w="968" w:type="dxa"/>
            <w:tcBorders>
              <w:top w:val="single" w:sz="4" w:space="0" w:color="000000" w:themeColor="text1"/>
              <w:bottom w:val="single" w:sz="4" w:space="0" w:color="000000" w:themeColor="text1"/>
              <w:right w:val="single" w:sz="4" w:space="0" w:color="000000" w:themeColor="text1"/>
            </w:tcBorders>
            <w:vAlign w:val="center"/>
          </w:tcPr>
          <w:p w14:paraId="22747A6C" w14:textId="77777777" w:rsidR="00231AE4" w:rsidRPr="00F6205B" w:rsidRDefault="00231AE4" w:rsidP="004F23CF">
            <w:pPr>
              <w:keepLines/>
              <w:spacing w:after="0"/>
              <w:jc w:val="center"/>
              <w:rPr>
                <w:sz w:val="20"/>
                <w:szCs w:val="20"/>
              </w:rPr>
            </w:pPr>
            <w:r w:rsidRPr="00F6205B">
              <w:rPr>
                <w:sz w:val="20"/>
                <w:szCs w:val="20"/>
              </w:rPr>
              <w:t>366.8</w:t>
            </w:r>
          </w:p>
        </w:tc>
        <w:tc>
          <w:tcPr>
            <w:tcW w:w="990" w:type="dxa"/>
            <w:tcBorders>
              <w:top w:val="single" w:sz="4" w:space="0" w:color="000000" w:themeColor="text1"/>
              <w:bottom w:val="single" w:sz="4" w:space="0" w:color="000000" w:themeColor="text1"/>
            </w:tcBorders>
            <w:vAlign w:val="center"/>
          </w:tcPr>
          <w:p w14:paraId="698947D1" w14:textId="77777777" w:rsidR="00231AE4" w:rsidRPr="00F6205B" w:rsidRDefault="00231AE4" w:rsidP="004F23CF">
            <w:pPr>
              <w:keepLines/>
              <w:spacing w:after="0"/>
              <w:jc w:val="center"/>
              <w:rPr>
                <w:sz w:val="20"/>
                <w:szCs w:val="20"/>
              </w:rPr>
            </w:pPr>
            <w:r w:rsidRPr="00F6205B">
              <w:rPr>
                <w:sz w:val="20"/>
                <w:szCs w:val="20"/>
              </w:rPr>
              <w:t>410.5</w:t>
            </w:r>
          </w:p>
        </w:tc>
        <w:tc>
          <w:tcPr>
            <w:tcW w:w="990" w:type="dxa"/>
            <w:tcBorders>
              <w:top w:val="single" w:sz="4" w:space="0" w:color="000000" w:themeColor="text1"/>
              <w:bottom w:val="single" w:sz="4" w:space="0" w:color="000000" w:themeColor="text1"/>
            </w:tcBorders>
            <w:vAlign w:val="center"/>
          </w:tcPr>
          <w:p w14:paraId="5294FACF" w14:textId="77777777" w:rsidR="00231AE4" w:rsidRPr="00F6205B" w:rsidRDefault="00231AE4" w:rsidP="004F23CF">
            <w:pPr>
              <w:keepLines/>
              <w:spacing w:after="0"/>
              <w:jc w:val="center"/>
              <w:rPr>
                <w:sz w:val="20"/>
                <w:szCs w:val="20"/>
              </w:rPr>
            </w:pPr>
            <w:r w:rsidRPr="00F6205B">
              <w:rPr>
                <w:sz w:val="20"/>
                <w:szCs w:val="20"/>
              </w:rPr>
              <w:t>455.6</w:t>
            </w:r>
          </w:p>
        </w:tc>
        <w:tc>
          <w:tcPr>
            <w:tcW w:w="920" w:type="dxa"/>
            <w:tcBorders>
              <w:top w:val="single" w:sz="4" w:space="0" w:color="000000" w:themeColor="text1"/>
              <w:bottom w:val="single" w:sz="4" w:space="0" w:color="000000" w:themeColor="text1"/>
            </w:tcBorders>
            <w:vAlign w:val="center"/>
          </w:tcPr>
          <w:p w14:paraId="3866C7E4" w14:textId="77777777" w:rsidR="00231AE4" w:rsidRPr="00F6205B" w:rsidRDefault="00231AE4" w:rsidP="004F23CF">
            <w:pPr>
              <w:keepLines/>
              <w:spacing w:after="0"/>
              <w:jc w:val="center"/>
              <w:rPr>
                <w:sz w:val="20"/>
                <w:szCs w:val="20"/>
              </w:rPr>
            </w:pPr>
            <w:r w:rsidRPr="00F6205B">
              <w:rPr>
                <w:sz w:val="20"/>
                <w:szCs w:val="20"/>
              </w:rPr>
              <w:t>502.1</w:t>
            </w:r>
          </w:p>
        </w:tc>
        <w:tc>
          <w:tcPr>
            <w:tcW w:w="1197" w:type="dxa"/>
            <w:tcBorders>
              <w:top w:val="single" w:sz="4" w:space="0" w:color="000000" w:themeColor="text1"/>
              <w:bottom w:val="single" w:sz="4" w:space="0" w:color="000000" w:themeColor="text1"/>
              <w:right w:val="single" w:sz="4" w:space="0" w:color="auto"/>
            </w:tcBorders>
            <w:vAlign w:val="center"/>
          </w:tcPr>
          <w:p w14:paraId="5A0F56DC" w14:textId="77777777" w:rsidR="00231AE4" w:rsidRPr="00F6205B" w:rsidRDefault="00231AE4" w:rsidP="004F23CF">
            <w:pPr>
              <w:keepLines/>
              <w:spacing w:after="0"/>
              <w:jc w:val="center"/>
              <w:rPr>
                <w:sz w:val="20"/>
                <w:szCs w:val="20"/>
              </w:rPr>
            </w:pPr>
            <w:r w:rsidRPr="00F6205B">
              <w:rPr>
                <w:sz w:val="20"/>
                <w:szCs w:val="20"/>
              </w:rPr>
              <w:t>+ 829.9</w:t>
            </w:r>
          </w:p>
        </w:tc>
      </w:tr>
      <w:tr w:rsidR="00231AE4" w:rsidRPr="00F6205B" w14:paraId="5BB9EC78" w14:textId="77777777" w:rsidTr="00C627A2">
        <w:trPr>
          <w:trHeight w:val="288"/>
          <w:jc w:val="center"/>
        </w:trPr>
        <w:tc>
          <w:tcPr>
            <w:tcW w:w="199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BA80EA3" w14:textId="77777777" w:rsidR="00231AE4" w:rsidRPr="00F6205B" w:rsidRDefault="00231AE4" w:rsidP="004F23CF">
            <w:pPr>
              <w:keepLines/>
              <w:spacing w:after="0"/>
              <w:rPr>
                <w:sz w:val="20"/>
                <w:szCs w:val="20"/>
              </w:rPr>
            </w:pPr>
            <w:r w:rsidRPr="00F6205B">
              <w:rPr>
                <w:sz w:val="20"/>
                <w:szCs w:val="20"/>
              </w:rPr>
              <w:t>75% Uptake</w:t>
            </w:r>
          </w:p>
        </w:tc>
        <w:tc>
          <w:tcPr>
            <w:tcW w:w="921" w:type="dxa"/>
            <w:vMerge/>
            <w:vAlign w:val="center"/>
          </w:tcPr>
          <w:p w14:paraId="79467567" w14:textId="77777777" w:rsidR="00231AE4" w:rsidRPr="00F6205B" w:rsidRDefault="00231AE4" w:rsidP="004F23CF">
            <w:pPr>
              <w:keepLines/>
              <w:spacing w:after="0"/>
              <w:jc w:val="center"/>
              <w:rPr>
                <w:sz w:val="20"/>
                <w:szCs w:val="20"/>
              </w:rPr>
            </w:pPr>
          </w:p>
        </w:tc>
        <w:tc>
          <w:tcPr>
            <w:tcW w:w="900" w:type="dxa"/>
            <w:vMerge/>
            <w:vAlign w:val="center"/>
          </w:tcPr>
          <w:p w14:paraId="1F12E9BB" w14:textId="77777777" w:rsidR="00231AE4" w:rsidRPr="00F6205B" w:rsidRDefault="00231AE4" w:rsidP="004F23CF">
            <w:pPr>
              <w:keepLines/>
              <w:spacing w:after="0"/>
              <w:jc w:val="center"/>
              <w:rPr>
                <w:sz w:val="20"/>
                <w:szCs w:val="20"/>
              </w:rPr>
            </w:pPr>
          </w:p>
        </w:tc>
        <w:tc>
          <w:tcPr>
            <w:tcW w:w="968" w:type="dxa"/>
            <w:tcBorders>
              <w:top w:val="single" w:sz="4" w:space="0" w:color="000000" w:themeColor="text1"/>
              <w:bottom w:val="single" w:sz="4" w:space="0" w:color="000000" w:themeColor="text1"/>
              <w:right w:val="single" w:sz="4" w:space="0" w:color="000000" w:themeColor="text1"/>
            </w:tcBorders>
            <w:vAlign w:val="center"/>
          </w:tcPr>
          <w:p w14:paraId="339D6168" w14:textId="77777777" w:rsidR="00231AE4" w:rsidRPr="00F6205B" w:rsidRDefault="00231AE4" w:rsidP="004F23CF">
            <w:pPr>
              <w:keepLines/>
              <w:spacing w:after="0"/>
              <w:jc w:val="center"/>
              <w:rPr>
                <w:sz w:val="20"/>
                <w:szCs w:val="20"/>
              </w:rPr>
            </w:pPr>
            <w:r w:rsidRPr="00F6205B">
              <w:rPr>
                <w:sz w:val="20"/>
                <w:szCs w:val="20"/>
              </w:rPr>
              <w:t>385.1</w:t>
            </w:r>
          </w:p>
        </w:tc>
        <w:tc>
          <w:tcPr>
            <w:tcW w:w="990" w:type="dxa"/>
            <w:tcBorders>
              <w:top w:val="single" w:sz="4" w:space="0" w:color="000000" w:themeColor="text1"/>
              <w:bottom w:val="single" w:sz="4" w:space="0" w:color="000000" w:themeColor="text1"/>
            </w:tcBorders>
            <w:vAlign w:val="center"/>
          </w:tcPr>
          <w:p w14:paraId="37AEAEA5" w14:textId="77777777" w:rsidR="00231AE4" w:rsidRPr="00F6205B" w:rsidRDefault="00231AE4" w:rsidP="004F23CF">
            <w:pPr>
              <w:keepLines/>
              <w:spacing w:after="0"/>
              <w:jc w:val="center"/>
              <w:rPr>
                <w:sz w:val="20"/>
                <w:szCs w:val="20"/>
              </w:rPr>
            </w:pPr>
            <w:r w:rsidRPr="00F6205B">
              <w:rPr>
                <w:sz w:val="20"/>
                <w:szCs w:val="20"/>
              </w:rPr>
              <w:t>447.7</w:t>
            </w:r>
          </w:p>
        </w:tc>
        <w:tc>
          <w:tcPr>
            <w:tcW w:w="990" w:type="dxa"/>
            <w:tcBorders>
              <w:top w:val="single" w:sz="4" w:space="0" w:color="000000" w:themeColor="text1"/>
              <w:bottom w:val="single" w:sz="4" w:space="0" w:color="000000" w:themeColor="text1"/>
            </w:tcBorders>
            <w:vAlign w:val="center"/>
          </w:tcPr>
          <w:p w14:paraId="436EBDF1" w14:textId="77777777" w:rsidR="00231AE4" w:rsidRPr="00F6205B" w:rsidRDefault="00231AE4" w:rsidP="004F23CF">
            <w:pPr>
              <w:keepLines/>
              <w:spacing w:after="0"/>
              <w:jc w:val="center"/>
              <w:rPr>
                <w:sz w:val="20"/>
                <w:szCs w:val="20"/>
              </w:rPr>
            </w:pPr>
            <w:r w:rsidRPr="00F6205B">
              <w:rPr>
                <w:sz w:val="20"/>
                <w:szCs w:val="20"/>
              </w:rPr>
              <w:t>512.3</w:t>
            </w:r>
          </w:p>
        </w:tc>
        <w:tc>
          <w:tcPr>
            <w:tcW w:w="920" w:type="dxa"/>
            <w:tcBorders>
              <w:top w:val="single" w:sz="4" w:space="0" w:color="000000" w:themeColor="text1"/>
              <w:bottom w:val="single" w:sz="4" w:space="0" w:color="000000" w:themeColor="text1"/>
            </w:tcBorders>
            <w:vAlign w:val="center"/>
          </w:tcPr>
          <w:p w14:paraId="0A79A3C4" w14:textId="77777777" w:rsidR="00231AE4" w:rsidRPr="00F6205B" w:rsidRDefault="00231AE4" w:rsidP="004F23CF">
            <w:pPr>
              <w:keepLines/>
              <w:spacing w:after="0"/>
              <w:jc w:val="center"/>
              <w:rPr>
                <w:sz w:val="20"/>
                <w:szCs w:val="20"/>
              </w:rPr>
            </w:pPr>
            <w:r w:rsidRPr="00F6205B">
              <w:rPr>
                <w:sz w:val="20"/>
                <w:szCs w:val="20"/>
              </w:rPr>
              <w:t>579.1</w:t>
            </w:r>
          </w:p>
        </w:tc>
        <w:tc>
          <w:tcPr>
            <w:tcW w:w="1197" w:type="dxa"/>
            <w:tcBorders>
              <w:top w:val="single" w:sz="4" w:space="0" w:color="000000" w:themeColor="text1"/>
              <w:bottom w:val="single" w:sz="4" w:space="0" w:color="000000" w:themeColor="text1"/>
              <w:right w:val="single" w:sz="4" w:space="0" w:color="auto"/>
            </w:tcBorders>
            <w:vAlign w:val="center"/>
          </w:tcPr>
          <w:p w14:paraId="778C482D" w14:textId="77777777" w:rsidR="00231AE4" w:rsidRPr="00F6205B" w:rsidRDefault="00231AE4" w:rsidP="004F23CF">
            <w:pPr>
              <w:keepLines/>
              <w:spacing w:after="0"/>
              <w:jc w:val="center"/>
              <w:rPr>
                <w:sz w:val="20"/>
                <w:szCs w:val="20"/>
              </w:rPr>
            </w:pPr>
            <w:r w:rsidRPr="00F6205B">
              <w:rPr>
                <w:sz w:val="20"/>
                <w:szCs w:val="20"/>
              </w:rPr>
              <w:t>+ 1,244.9</w:t>
            </w:r>
          </w:p>
        </w:tc>
      </w:tr>
      <w:tr w:rsidR="00231AE4" w:rsidRPr="00F6205B" w14:paraId="512484AD" w14:textId="77777777" w:rsidTr="00C627A2">
        <w:trPr>
          <w:trHeight w:val="288"/>
          <w:jc w:val="center"/>
        </w:trPr>
        <w:tc>
          <w:tcPr>
            <w:tcW w:w="1997" w:type="dxa"/>
            <w:tcBorders>
              <w:top w:val="single" w:sz="4" w:space="0" w:color="000000" w:themeColor="text1"/>
              <w:left w:val="single" w:sz="4" w:space="0" w:color="auto"/>
              <w:bottom w:val="single" w:sz="4" w:space="0" w:color="auto"/>
              <w:right w:val="single" w:sz="4" w:space="0" w:color="000000" w:themeColor="text1"/>
            </w:tcBorders>
            <w:vAlign w:val="center"/>
          </w:tcPr>
          <w:p w14:paraId="06B196D5" w14:textId="77777777" w:rsidR="00231AE4" w:rsidRPr="00F6205B" w:rsidRDefault="00231AE4" w:rsidP="004F23CF">
            <w:pPr>
              <w:keepLines/>
              <w:spacing w:after="0"/>
              <w:rPr>
                <w:sz w:val="20"/>
                <w:szCs w:val="20"/>
              </w:rPr>
            </w:pPr>
            <w:r w:rsidRPr="00F6205B">
              <w:rPr>
                <w:sz w:val="20"/>
                <w:szCs w:val="20"/>
              </w:rPr>
              <w:t>100% Uptake</w:t>
            </w:r>
          </w:p>
        </w:tc>
        <w:tc>
          <w:tcPr>
            <w:tcW w:w="921" w:type="dxa"/>
            <w:vMerge/>
            <w:tcBorders>
              <w:bottom w:val="single" w:sz="4" w:space="0" w:color="auto"/>
            </w:tcBorders>
            <w:vAlign w:val="center"/>
          </w:tcPr>
          <w:p w14:paraId="65F417AF" w14:textId="77777777" w:rsidR="00231AE4" w:rsidRPr="00F6205B" w:rsidRDefault="00231AE4" w:rsidP="004F23CF">
            <w:pPr>
              <w:keepLines/>
              <w:spacing w:after="0"/>
              <w:jc w:val="center"/>
              <w:rPr>
                <w:sz w:val="20"/>
                <w:szCs w:val="20"/>
              </w:rPr>
            </w:pPr>
          </w:p>
        </w:tc>
        <w:tc>
          <w:tcPr>
            <w:tcW w:w="900" w:type="dxa"/>
            <w:vMerge/>
            <w:tcBorders>
              <w:bottom w:val="single" w:sz="4" w:space="0" w:color="auto"/>
            </w:tcBorders>
            <w:vAlign w:val="center"/>
          </w:tcPr>
          <w:p w14:paraId="603D7827" w14:textId="77777777" w:rsidR="00231AE4" w:rsidRPr="00F6205B" w:rsidRDefault="00231AE4" w:rsidP="004F23CF">
            <w:pPr>
              <w:keepLines/>
              <w:spacing w:after="0"/>
              <w:jc w:val="center"/>
              <w:rPr>
                <w:sz w:val="20"/>
                <w:szCs w:val="20"/>
              </w:rPr>
            </w:pPr>
          </w:p>
        </w:tc>
        <w:tc>
          <w:tcPr>
            <w:tcW w:w="968" w:type="dxa"/>
            <w:tcBorders>
              <w:top w:val="single" w:sz="4" w:space="0" w:color="000000" w:themeColor="text1"/>
              <w:bottom w:val="single" w:sz="4" w:space="0" w:color="auto"/>
              <w:right w:val="single" w:sz="4" w:space="0" w:color="000000" w:themeColor="text1"/>
            </w:tcBorders>
            <w:vAlign w:val="center"/>
          </w:tcPr>
          <w:p w14:paraId="3137595E" w14:textId="77777777" w:rsidR="00231AE4" w:rsidRPr="00F6205B" w:rsidRDefault="00231AE4" w:rsidP="004F23CF">
            <w:pPr>
              <w:keepLines/>
              <w:spacing w:after="0"/>
              <w:jc w:val="center"/>
              <w:rPr>
                <w:sz w:val="20"/>
                <w:szCs w:val="20"/>
              </w:rPr>
            </w:pPr>
            <w:r w:rsidRPr="00F6205B">
              <w:rPr>
                <w:sz w:val="20"/>
                <w:szCs w:val="20"/>
              </w:rPr>
              <w:t>403.4</w:t>
            </w:r>
          </w:p>
        </w:tc>
        <w:tc>
          <w:tcPr>
            <w:tcW w:w="990" w:type="dxa"/>
            <w:tcBorders>
              <w:top w:val="single" w:sz="4" w:space="0" w:color="000000" w:themeColor="text1"/>
              <w:bottom w:val="single" w:sz="4" w:space="0" w:color="auto"/>
            </w:tcBorders>
            <w:vAlign w:val="center"/>
          </w:tcPr>
          <w:p w14:paraId="336C45E3" w14:textId="77777777" w:rsidR="00231AE4" w:rsidRPr="00F6205B" w:rsidRDefault="00231AE4" w:rsidP="004F23CF">
            <w:pPr>
              <w:keepLines/>
              <w:spacing w:after="0"/>
              <w:jc w:val="center"/>
              <w:rPr>
                <w:sz w:val="20"/>
                <w:szCs w:val="20"/>
              </w:rPr>
            </w:pPr>
            <w:r w:rsidRPr="00F6205B">
              <w:rPr>
                <w:sz w:val="20"/>
                <w:szCs w:val="20"/>
              </w:rPr>
              <w:t>484.9</w:t>
            </w:r>
          </w:p>
        </w:tc>
        <w:tc>
          <w:tcPr>
            <w:tcW w:w="990" w:type="dxa"/>
            <w:tcBorders>
              <w:top w:val="single" w:sz="4" w:space="0" w:color="000000" w:themeColor="text1"/>
              <w:bottom w:val="single" w:sz="4" w:space="0" w:color="auto"/>
            </w:tcBorders>
            <w:vAlign w:val="center"/>
          </w:tcPr>
          <w:p w14:paraId="5BC1EE07" w14:textId="77777777" w:rsidR="00231AE4" w:rsidRPr="00F6205B" w:rsidRDefault="00231AE4" w:rsidP="004F23CF">
            <w:pPr>
              <w:keepLines/>
              <w:spacing w:after="0"/>
              <w:jc w:val="center"/>
              <w:rPr>
                <w:sz w:val="20"/>
                <w:szCs w:val="20"/>
              </w:rPr>
            </w:pPr>
            <w:r w:rsidRPr="00F6205B">
              <w:rPr>
                <w:sz w:val="20"/>
                <w:szCs w:val="20"/>
              </w:rPr>
              <w:t>569.1</w:t>
            </w:r>
          </w:p>
        </w:tc>
        <w:tc>
          <w:tcPr>
            <w:tcW w:w="920" w:type="dxa"/>
            <w:tcBorders>
              <w:top w:val="single" w:sz="4" w:space="0" w:color="000000" w:themeColor="text1"/>
              <w:bottom w:val="single" w:sz="4" w:space="0" w:color="auto"/>
            </w:tcBorders>
            <w:vAlign w:val="center"/>
          </w:tcPr>
          <w:p w14:paraId="39D57735" w14:textId="77777777" w:rsidR="00231AE4" w:rsidRPr="00F6205B" w:rsidRDefault="00231AE4" w:rsidP="004F23CF">
            <w:pPr>
              <w:keepLines/>
              <w:spacing w:after="0"/>
              <w:jc w:val="center"/>
              <w:rPr>
                <w:sz w:val="20"/>
                <w:szCs w:val="20"/>
              </w:rPr>
            </w:pPr>
            <w:r w:rsidRPr="00F6205B">
              <w:rPr>
                <w:sz w:val="20"/>
                <w:szCs w:val="20"/>
              </w:rPr>
              <w:t>656.2</w:t>
            </w:r>
          </w:p>
        </w:tc>
        <w:tc>
          <w:tcPr>
            <w:tcW w:w="1197" w:type="dxa"/>
            <w:tcBorders>
              <w:top w:val="single" w:sz="4" w:space="0" w:color="000000" w:themeColor="text1"/>
              <w:bottom w:val="single" w:sz="4" w:space="0" w:color="auto"/>
              <w:right w:val="single" w:sz="4" w:space="0" w:color="auto"/>
            </w:tcBorders>
            <w:vAlign w:val="center"/>
          </w:tcPr>
          <w:p w14:paraId="4D4AFEF9" w14:textId="77777777" w:rsidR="00231AE4" w:rsidRPr="00F6205B" w:rsidRDefault="00231AE4" w:rsidP="004F23CF">
            <w:pPr>
              <w:keepLines/>
              <w:spacing w:after="0"/>
              <w:jc w:val="center"/>
              <w:rPr>
                <w:sz w:val="20"/>
                <w:szCs w:val="20"/>
              </w:rPr>
            </w:pPr>
            <w:r w:rsidRPr="00F6205B">
              <w:rPr>
                <w:sz w:val="20"/>
                <w:szCs w:val="20"/>
              </w:rPr>
              <w:t>+ 1,659.9</w:t>
            </w:r>
          </w:p>
        </w:tc>
      </w:tr>
      <w:tr w:rsidR="00DF4D42" w:rsidRPr="00F6205B" w14:paraId="61DD56CE" w14:textId="77777777" w:rsidTr="00DF4D42">
        <w:trPr>
          <w:trHeight w:val="288"/>
          <w:jc w:val="center"/>
        </w:trPr>
        <w:tc>
          <w:tcPr>
            <w:tcW w:w="8883" w:type="dxa"/>
            <w:gridSpan w:val="8"/>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0102C21C" w14:textId="77777777" w:rsidR="00231AE4" w:rsidRPr="00F6205B" w:rsidRDefault="00231AE4" w:rsidP="004F23CF">
            <w:pPr>
              <w:keepLines/>
              <w:spacing w:after="0"/>
              <w:jc w:val="center"/>
              <w:rPr>
                <w:b/>
                <w:color w:val="FFFFFF" w:themeColor="background1"/>
                <w:sz w:val="20"/>
                <w:szCs w:val="20"/>
              </w:rPr>
            </w:pPr>
            <w:r w:rsidRPr="00F6205B">
              <w:rPr>
                <w:b/>
                <w:color w:val="FFFFFF" w:themeColor="background1"/>
                <w:sz w:val="20"/>
                <w:szCs w:val="20"/>
              </w:rPr>
              <w:t>Electricity Consumption Trajectory (million kWh)</w:t>
            </w:r>
          </w:p>
        </w:tc>
      </w:tr>
      <w:tr w:rsidR="00231AE4" w:rsidRPr="00F6205B" w14:paraId="0BB0B1DF" w14:textId="77777777" w:rsidTr="00C627A2">
        <w:trPr>
          <w:trHeight w:val="288"/>
          <w:jc w:val="center"/>
        </w:trPr>
        <w:tc>
          <w:tcPr>
            <w:tcW w:w="1997" w:type="dxa"/>
            <w:tcBorders>
              <w:top w:val="single" w:sz="4" w:space="0" w:color="auto"/>
              <w:left w:val="single" w:sz="4" w:space="0" w:color="auto"/>
              <w:bottom w:val="single" w:sz="4" w:space="0" w:color="000000" w:themeColor="text1"/>
              <w:right w:val="single" w:sz="4" w:space="0" w:color="000000" w:themeColor="text1"/>
            </w:tcBorders>
            <w:vAlign w:val="center"/>
          </w:tcPr>
          <w:p w14:paraId="0358043E" w14:textId="77777777" w:rsidR="00231AE4" w:rsidRPr="00F6205B" w:rsidRDefault="00231AE4" w:rsidP="004F23CF">
            <w:pPr>
              <w:keepLines/>
              <w:spacing w:after="0"/>
              <w:rPr>
                <w:sz w:val="20"/>
                <w:szCs w:val="20"/>
              </w:rPr>
            </w:pPr>
            <w:r w:rsidRPr="00F6205B">
              <w:rPr>
                <w:sz w:val="20"/>
                <w:szCs w:val="20"/>
              </w:rPr>
              <w:t>No fuel switching</w:t>
            </w:r>
          </w:p>
        </w:tc>
        <w:tc>
          <w:tcPr>
            <w:tcW w:w="921" w:type="dxa"/>
            <w:vMerge w:val="restart"/>
            <w:tcBorders>
              <w:top w:val="single" w:sz="4" w:space="0" w:color="auto"/>
            </w:tcBorders>
            <w:vAlign w:val="center"/>
          </w:tcPr>
          <w:p w14:paraId="62A77093" w14:textId="77777777" w:rsidR="00231AE4" w:rsidRPr="00F6205B" w:rsidRDefault="00231AE4" w:rsidP="004F23CF">
            <w:pPr>
              <w:keepLines/>
              <w:spacing w:after="0"/>
              <w:jc w:val="center"/>
              <w:rPr>
                <w:sz w:val="20"/>
                <w:szCs w:val="20"/>
              </w:rPr>
            </w:pPr>
            <w:r w:rsidRPr="00F6205B">
              <w:rPr>
                <w:sz w:val="18"/>
                <w:szCs w:val="20"/>
              </w:rPr>
              <w:t>12,048.2</w:t>
            </w:r>
          </w:p>
        </w:tc>
        <w:tc>
          <w:tcPr>
            <w:tcW w:w="900" w:type="dxa"/>
            <w:vMerge w:val="restart"/>
            <w:tcBorders>
              <w:top w:val="single" w:sz="4" w:space="0" w:color="auto"/>
            </w:tcBorders>
            <w:vAlign w:val="center"/>
          </w:tcPr>
          <w:p w14:paraId="4C969E21" w14:textId="77777777" w:rsidR="00231AE4" w:rsidRPr="00F6205B" w:rsidRDefault="00231AE4" w:rsidP="004F23CF">
            <w:pPr>
              <w:keepLines/>
              <w:spacing w:after="0"/>
              <w:jc w:val="center"/>
              <w:rPr>
                <w:i/>
                <w:sz w:val="20"/>
                <w:szCs w:val="20"/>
              </w:rPr>
            </w:pPr>
            <w:r w:rsidRPr="00F6205B">
              <w:rPr>
                <w:i/>
                <w:sz w:val="20"/>
                <w:szCs w:val="20"/>
              </w:rPr>
              <w:t>1.0%</w:t>
            </w:r>
          </w:p>
        </w:tc>
        <w:tc>
          <w:tcPr>
            <w:tcW w:w="968" w:type="dxa"/>
            <w:tcBorders>
              <w:top w:val="single" w:sz="4" w:space="0" w:color="auto"/>
              <w:bottom w:val="single" w:sz="4" w:space="0" w:color="000000" w:themeColor="text1"/>
              <w:right w:val="single" w:sz="4" w:space="0" w:color="000000" w:themeColor="text1"/>
            </w:tcBorders>
            <w:vAlign w:val="center"/>
          </w:tcPr>
          <w:p w14:paraId="493D32F3" w14:textId="77777777" w:rsidR="00231AE4" w:rsidRPr="00F6205B" w:rsidRDefault="00231AE4" w:rsidP="004F23CF">
            <w:pPr>
              <w:keepLines/>
              <w:spacing w:after="0"/>
              <w:jc w:val="center"/>
              <w:rPr>
                <w:sz w:val="18"/>
                <w:szCs w:val="20"/>
              </w:rPr>
            </w:pPr>
            <w:r w:rsidRPr="00F6205B">
              <w:rPr>
                <w:sz w:val="18"/>
                <w:szCs w:val="20"/>
              </w:rPr>
              <w:t>12,229.5</w:t>
            </w:r>
          </w:p>
        </w:tc>
        <w:tc>
          <w:tcPr>
            <w:tcW w:w="990" w:type="dxa"/>
            <w:tcBorders>
              <w:top w:val="single" w:sz="4" w:space="0" w:color="auto"/>
              <w:bottom w:val="single" w:sz="4" w:space="0" w:color="000000" w:themeColor="text1"/>
            </w:tcBorders>
            <w:vAlign w:val="center"/>
          </w:tcPr>
          <w:p w14:paraId="4BD881BF" w14:textId="77777777" w:rsidR="00231AE4" w:rsidRPr="00F6205B" w:rsidRDefault="00231AE4" w:rsidP="004F23CF">
            <w:pPr>
              <w:keepLines/>
              <w:spacing w:after="0"/>
              <w:jc w:val="center"/>
              <w:rPr>
                <w:sz w:val="18"/>
                <w:szCs w:val="20"/>
              </w:rPr>
            </w:pPr>
            <w:r w:rsidRPr="00F6205B">
              <w:rPr>
                <w:sz w:val="18"/>
                <w:szCs w:val="20"/>
              </w:rPr>
              <w:t>12,537.4</w:t>
            </w:r>
          </w:p>
        </w:tc>
        <w:tc>
          <w:tcPr>
            <w:tcW w:w="990" w:type="dxa"/>
            <w:tcBorders>
              <w:top w:val="single" w:sz="4" w:space="0" w:color="auto"/>
              <w:bottom w:val="single" w:sz="4" w:space="0" w:color="000000" w:themeColor="text1"/>
            </w:tcBorders>
            <w:vAlign w:val="center"/>
          </w:tcPr>
          <w:p w14:paraId="4BF664B0" w14:textId="77777777" w:rsidR="00231AE4" w:rsidRPr="00F6205B" w:rsidRDefault="00231AE4" w:rsidP="004F23CF">
            <w:pPr>
              <w:keepLines/>
              <w:spacing w:after="0"/>
              <w:jc w:val="center"/>
              <w:rPr>
                <w:sz w:val="18"/>
                <w:szCs w:val="20"/>
              </w:rPr>
            </w:pPr>
            <w:r w:rsidRPr="00F6205B">
              <w:rPr>
                <w:sz w:val="18"/>
                <w:szCs w:val="20"/>
              </w:rPr>
              <w:t>12,853.4</w:t>
            </w:r>
          </w:p>
        </w:tc>
        <w:tc>
          <w:tcPr>
            <w:tcW w:w="920" w:type="dxa"/>
            <w:tcBorders>
              <w:top w:val="single" w:sz="4" w:space="0" w:color="auto"/>
              <w:bottom w:val="single" w:sz="4" w:space="0" w:color="000000" w:themeColor="text1"/>
            </w:tcBorders>
            <w:vAlign w:val="center"/>
          </w:tcPr>
          <w:p w14:paraId="468187C8" w14:textId="77777777" w:rsidR="00231AE4" w:rsidRPr="00F6205B" w:rsidRDefault="00231AE4" w:rsidP="004F23CF">
            <w:pPr>
              <w:keepLines/>
              <w:spacing w:after="0"/>
              <w:jc w:val="center"/>
              <w:rPr>
                <w:sz w:val="18"/>
                <w:szCs w:val="20"/>
              </w:rPr>
            </w:pPr>
            <w:r w:rsidRPr="00F6205B">
              <w:rPr>
                <w:sz w:val="18"/>
                <w:szCs w:val="20"/>
              </w:rPr>
              <w:t>13,177.0</w:t>
            </w:r>
          </w:p>
        </w:tc>
        <w:tc>
          <w:tcPr>
            <w:tcW w:w="1197" w:type="dxa"/>
            <w:tcBorders>
              <w:top w:val="single" w:sz="4" w:space="0" w:color="auto"/>
              <w:bottom w:val="single" w:sz="4" w:space="0" w:color="000000" w:themeColor="text1"/>
              <w:right w:val="single" w:sz="4" w:space="0" w:color="auto"/>
            </w:tcBorders>
            <w:vAlign w:val="center"/>
          </w:tcPr>
          <w:p w14:paraId="7242E74F" w14:textId="77777777" w:rsidR="00231AE4" w:rsidRPr="00F6205B" w:rsidRDefault="00231AE4" w:rsidP="004F23CF">
            <w:pPr>
              <w:keepLines/>
              <w:spacing w:after="0"/>
              <w:jc w:val="center"/>
              <w:rPr>
                <w:sz w:val="20"/>
                <w:szCs w:val="20"/>
              </w:rPr>
            </w:pPr>
            <w:r w:rsidRPr="00F6205B">
              <w:rPr>
                <w:sz w:val="20"/>
                <w:szCs w:val="20"/>
              </w:rPr>
              <w:t>-</w:t>
            </w:r>
          </w:p>
        </w:tc>
      </w:tr>
      <w:tr w:rsidR="00231AE4" w:rsidRPr="00F6205B" w14:paraId="1FDE402F" w14:textId="77777777" w:rsidTr="00C627A2">
        <w:trPr>
          <w:trHeight w:val="288"/>
          <w:jc w:val="center"/>
        </w:trPr>
        <w:tc>
          <w:tcPr>
            <w:tcW w:w="199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4A46858" w14:textId="77777777" w:rsidR="00231AE4" w:rsidRPr="00F6205B" w:rsidRDefault="00231AE4" w:rsidP="004F23CF">
            <w:pPr>
              <w:keepLines/>
              <w:spacing w:after="0"/>
              <w:rPr>
                <w:sz w:val="20"/>
                <w:szCs w:val="20"/>
              </w:rPr>
            </w:pPr>
            <w:r w:rsidRPr="00F6205B">
              <w:rPr>
                <w:sz w:val="20"/>
                <w:szCs w:val="20"/>
              </w:rPr>
              <w:t>25% Uptake</w:t>
            </w:r>
          </w:p>
        </w:tc>
        <w:tc>
          <w:tcPr>
            <w:tcW w:w="921" w:type="dxa"/>
            <w:vMerge/>
            <w:vAlign w:val="center"/>
          </w:tcPr>
          <w:p w14:paraId="0243B185" w14:textId="77777777" w:rsidR="00231AE4" w:rsidRPr="00F6205B" w:rsidRDefault="00231AE4" w:rsidP="004F23CF">
            <w:pPr>
              <w:keepLines/>
              <w:spacing w:after="0"/>
              <w:jc w:val="center"/>
              <w:rPr>
                <w:sz w:val="20"/>
                <w:szCs w:val="20"/>
              </w:rPr>
            </w:pPr>
          </w:p>
        </w:tc>
        <w:tc>
          <w:tcPr>
            <w:tcW w:w="900" w:type="dxa"/>
            <w:vMerge/>
            <w:vAlign w:val="center"/>
          </w:tcPr>
          <w:p w14:paraId="79FDDB9B" w14:textId="77777777" w:rsidR="00231AE4" w:rsidRPr="00F6205B" w:rsidRDefault="00231AE4" w:rsidP="004F23CF">
            <w:pPr>
              <w:keepLines/>
              <w:spacing w:after="0"/>
              <w:jc w:val="center"/>
              <w:rPr>
                <w:sz w:val="20"/>
                <w:szCs w:val="20"/>
              </w:rPr>
            </w:pPr>
          </w:p>
        </w:tc>
        <w:tc>
          <w:tcPr>
            <w:tcW w:w="968" w:type="dxa"/>
            <w:tcBorders>
              <w:top w:val="single" w:sz="4" w:space="0" w:color="000000" w:themeColor="text1"/>
              <w:bottom w:val="single" w:sz="4" w:space="0" w:color="000000" w:themeColor="text1"/>
              <w:right w:val="single" w:sz="4" w:space="0" w:color="000000" w:themeColor="text1"/>
            </w:tcBorders>
            <w:vAlign w:val="center"/>
          </w:tcPr>
          <w:p w14:paraId="1ADED488" w14:textId="77777777" w:rsidR="00231AE4" w:rsidRPr="00F6205B" w:rsidRDefault="00231AE4" w:rsidP="004F23CF">
            <w:pPr>
              <w:keepLines/>
              <w:spacing w:after="0"/>
              <w:jc w:val="center"/>
              <w:rPr>
                <w:sz w:val="18"/>
                <w:szCs w:val="20"/>
              </w:rPr>
            </w:pPr>
            <w:r w:rsidRPr="00F6205B">
              <w:rPr>
                <w:sz w:val="18"/>
                <w:szCs w:val="20"/>
              </w:rPr>
              <w:t>12,332.5</w:t>
            </w:r>
          </w:p>
        </w:tc>
        <w:tc>
          <w:tcPr>
            <w:tcW w:w="990" w:type="dxa"/>
            <w:tcBorders>
              <w:top w:val="single" w:sz="4" w:space="0" w:color="000000" w:themeColor="text1"/>
              <w:bottom w:val="single" w:sz="4" w:space="0" w:color="000000" w:themeColor="text1"/>
            </w:tcBorders>
            <w:vAlign w:val="center"/>
          </w:tcPr>
          <w:p w14:paraId="718C1C53" w14:textId="77777777" w:rsidR="00231AE4" w:rsidRPr="00F6205B" w:rsidRDefault="00231AE4" w:rsidP="004F23CF">
            <w:pPr>
              <w:keepLines/>
              <w:spacing w:after="0"/>
              <w:jc w:val="center"/>
              <w:rPr>
                <w:sz w:val="18"/>
                <w:szCs w:val="20"/>
              </w:rPr>
            </w:pPr>
            <w:r w:rsidRPr="00F6205B">
              <w:rPr>
                <w:sz w:val="18"/>
                <w:szCs w:val="20"/>
              </w:rPr>
              <w:t>12,748.4</w:t>
            </w:r>
          </w:p>
        </w:tc>
        <w:tc>
          <w:tcPr>
            <w:tcW w:w="990" w:type="dxa"/>
            <w:tcBorders>
              <w:top w:val="single" w:sz="4" w:space="0" w:color="000000" w:themeColor="text1"/>
              <w:bottom w:val="single" w:sz="4" w:space="0" w:color="000000" w:themeColor="text1"/>
            </w:tcBorders>
            <w:vAlign w:val="center"/>
          </w:tcPr>
          <w:p w14:paraId="2727A1D4" w14:textId="77777777" w:rsidR="00231AE4" w:rsidRPr="00F6205B" w:rsidRDefault="00231AE4" w:rsidP="004F23CF">
            <w:pPr>
              <w:keepLines/>
              <w:spacing w:after="0"/>
              <w:jc w:val="center"/>
              <w:rPr>
                <w:sz w:val="18"/>
                <w:szCs w:val="20"/>
              </w:rPr>
            </w:pPr>
            <w:r w:rsidRPr="00F6205B">
              <w:rPr>
                <w:sz w:val="18"/>
                <w:szCs w:val="20"/>
              </w:rPr>
              <w:t>13,177.8</w:t>
            </w:r>
          </w:p>
        </w:tc>
        <w:tc>
          <w:tcPr>
            <w:tcW w:w="920" w:type="dxa"/>
            <w:tcBorders>
              <w:top w:val="single" w:sz="4" w:space="0" w:color="000000" w:themeColor="text1"/>
              <w:bottom w:val="single" w:sz="4" w:space="0" w:color="000000" w:themeColor="text1"/>
            </w:tcBorders>
            <w:vAlign w:val="center"/>
          </w:tcPr>
          <w:p w14:paraId="3677F74A" w14:textId="77777777" w:rsidR="00231AE4" w:rsidRPr="00F6205B" w:rsidRDefault="00231AE4" w:rsidP="004F23CF">
            <w:pPr>
              <w:keepLines/>
              <w:spacing w:after="0"/>
              <w:jc w:val="center"/>
              <w:rPr>
                <w:sz w:val="18"/>
                <w:szCs w:val="20"/>
              </w:rPr>
            </w:pPr>
            <w:r w:rsidRPr="00F6205B">
              <w:rPr>
                <w:sz w:val="18"/>
                <w:szCs w:val="20"/>
              </w:rPr>
              <w:t>13,620.5</w:t>
            </w:r>
          </w:p>
        </w:tc>
        <w:tc>
          <w:tcPr>
            <w:tcW w:w="1197" w:type="dxa"/>
            <w:tcBorders>
              <w:top w:val="single" w:sz="4" w:space="0" w:color="000000" w:themeColor="text1"/>
              <w:bottom w:val="single" w:sz="4" w:space="0" w:color="000000" w:themeColor="text1"/>
              <w:right w:val="single" w:sz="4" w:space="0" w:color="auto"/>
            </w:tcBorders>
            <w:vAlign w:val="center"/>
          </w:tcPr>
          <w:p w14:paraId="3356B158" w14:textId="77777777" w:rsidR="00231AE4" w:rsidRPr="00F6205B" w:rsidRDefault="00231AE4" w:rsidP="004F23CF">
            <w:pPr>
              <w:keepLines/>
              <w:spacing w:after="0"/>
              <w:jc w:val="center"/>
              <w:rPr>
                <w:sz w:val="20"/>
                <w:szCs w:val="20"/>
              </w:rPr>
            </w:pPr>
            <w:r w:rsidRPr="00F6205B">
              <w:rPr>
                <w:sz w:val="20"/>
                <w:szCs w:val="20"/>
              </w:rPr>
              <w:t>+ 2,368.3</w:t>
            </w:r>
          </w:p>
        </w:tc>
      </w:tr>
      <w:tr w:rsidR="00231AE4" w:rsidRPr="00F6205B" w14:paraId="6113682D" w14:textId="77777777" w:rsidTr="00C627A2">
        <w:trPr>
          <w:trHeight w:val="288"/>
          <w:jc w:val="center"/>
        </w:trPr>
        <w:tc>
          <w:tcPr>
            <w:tcW w:w="199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C50FBEE" w14:textId="77777777" w:rsidR="00231AE4" w:rsidRPr="00F6205B" w:rsidRDefault="00231AE4" w:rsidP="004F23CF">
            <w:pPr>
              <w:keepLines/>
              <w:spacing w:after="0"/>
              <w:rPr>
                <w:sz w:val="20"/>
                <w:szCs w:val="20"/>
              </w:rPr>
            </w:pPr>
            <w:r w:rsidRPr="00F6205B">
              <w:rPr>
                <w:sz w:val="20"/>
                <w:szCs w:val="20"/>
              </w:rPr>
              <w:t>50% Uptake</w:t>
            </w:r>
          </w:p>
        </w:tc>
        <w:tc>
          <w:tcPr>
            <w:tcW w:w="921" w:type="dxa"/>
            <w:vMerge/>
            <w:vAlign w:val="center"/>
          </w:tcPr>
          <w:p w14:paraId="39DD9D6C" w14:textId="77777777" w:rsidR="00231AE4" w:rsidRPr="00F6205B" w:rsidRDefault="00231AE4" w:rsidP="004F23CF">
            <w:pPr>
              <w:keepLines/>
              <w:spacing w:after="0"/>
              <w:jc w:val="center"/>
              <w:rPr>
                <w:sz w:val="20"/>
                <w:szCs w:val="20"/>
              </w:rPr>
            </w:pPr>
          </w:p>
        </w:tc>
        <w:tc>
          <w:tcPr>
            <w:tcW w:w="900" w:type="dxa"/>
            <w:vMerge/>
            <w:vAlign w:val="center"/>
          </w:tcPr>
          <w:p w14:paraId="05ED0869" w14:textId="77777777" w:rsidR="00231AE4" w:rsidRPr="00F6205B" w:rsidRDefault="00231AE4" w:rsidP="004F23CF">
            <w:pPr>
              <w:keepLines/>
              <w:spacing w:after="0"/>
              <w:jc w:val="center"/>
              <w:rPr>
                <w:sz w:val="20"/>
                <w:szCs w:val="20"/>
              </w:rPr>
            </w:pPr>
          </w:p>
        </w:tc>
        <w:tc>
          <w:tcPr>
            <w:tcW w:w="968" w:type="dxa"/>
            <w:tcBorders>
              <w:top w:val="single" w:sz="4" w:space="0" w:color="000000" w:themeColor="text1"/>
              <w:bottom w:val="single" w:sz="4" w:space="0" w:color="000000" w:themeColor="text1"/>
              <w:right w:val="single" w:sz="4" w:space="0" w:color="000000" w:themeColor="text1"/>
            </w:tcBorders>
            <w:vAlign w:val="center"/>
          </w:tcPr>
          <w:p w14:paraId="71686541" w14:textId="77777777" w:rsidR="00231AE4" w:rsidRPr="00F6205B" w:rsidRDefault="00231AE4" w:rsidP="004F23CF">
            <w:pPr>
              <w:keepLines/>
              <w:spacing w:after="0"/>
              <w:jc w:val="center"/>
              <w:rPr>
                <w:sz w:val="18"/>
                <w:szCs w:val="20"/>
              </w:rPr>
            </w:pPr>
            <w:r w:rsidRPr="00F6205B">
              <w:rPr>
                <w:sz w:val="18"/>
                <w:szCs w:val="20"/>
              </w:rPr>
              <w:t>12,435.4</w:t>
            </w:r>
          </w:p>
        </w:tc>
        <w:tc>
          <w:tcPr>
            <w:tcW w:w="990" w:type="dxa"/>
            <w:tcBorders>
              <w:top w:val="single" w:sz="4" w:space="0" w:color="000000" w:themeColor="text1"/>
              <w:bottom w:val="single" w:sz="4" w:space="0" w:color="000000" w:themeColor="text1"/>
            </w:tcBorders>
            <w:vAlign w:val="center"/>
          </w:tcPr>
          <w:p w14:paraId="4D0168E5" w14:textId="77777777" w:rsidR="00231AE4" w:rsidRPr="00F6205B" w:rsidRDefault="00231AE4" w:rsidP="004F23CF">
            <w:pPr>
              <w:keepLines/>
              <w:spacing w:after="0"/>
              <w:jc w:val="center"/>
              <w:rPr>
                <w:sz w:val="18"/>
                <w:szCs w:val="20"/>
              </w:rPr>
            </w:pPr>
            <w:r w:rsidRPr="00F6205B">
              <w:rPr>
                <w:sz w:val="18"/>
                <w:szCs w:val="20"/>
              </w:rPr>
              <w:t>12,959.4</w:t>
            </w:r>
          </w:p>
        </w:tc>
        <w:tc>
          <w:tcPr>
            <w:tcW w:w="990" w:type="dxa"/>
            <w:tcBorders>
              <w:top w:val="single" w:sz="4" w:space="0" w:color="000000" w:themeColor="text1"/>
              <w:bottom w:val="single" w:sz="4" w:space="0" w:color="000000" w:themeColor="text1"/>
            </w:tcBorders>
            <w:vAlign w:val="center"/>
          </w:tcPr>
          <w:p w14:paraId="4A2203D0" w14:textId="77777777" w:rsidR="00231AE4" w:rsidRPr="00F6205B" w:rsidRDefault="00231AE4" w:rsidP="004F23CF">
            <w:pPr>
              <w:keepLines/>
              <w:spacing w:after="0"/>
              <w:jc w:val="center"/>
              <w:rPr>
                <w:sz w:val="18"/>
                <w:szCs w:val="20"/>
              </w:rPr>
            </w:pPr>
            <w:r w:rsidRPr="00F6205B">
              <w:rPr>
                <w:sz w:val="18"/>
                <w:szCs w:val="20"/>
              </w:rPr>
              <w:t>13,502.3</w:t>
            </w:r>
          </w:p>
        </w:tc>
        <w:tc>
          <w:tcPr>
            <w:tcW w:w="920" w:type="dxa"/>
            <w:tcBorders>
              <w:top w:val="single" w:sz="4" w:space="0" w:color="000000" w:themeColor="text1"/>
              <w:bottom w:val="single" w:sz="4" w:space="0" w:color="000000" w:themeColor="text1"/>
            </w:tcBorders>
            <w:vAlign w:val="center"/>
          </w:tcPr>
          <w:p w14:paraId="15F92E9D" w14:textId="77777777" w:rsidR="00231AE4" w:rsidRPr="00F6205B" w:rsidRDefault="00231AE4" w:rsidP="004F23CF">
            <w:pPr>
              <w:keepLines/>
              <w:spacing w:after="0"/>
              <w:jc w:val="center"/>
              <w:rPr>
                <w:sz w:val="18"/>
                <w:szCs w:val="20"/>
              </w:rPr>
            </w:pPr>
            <w:r w:rsidRPr="00F6205B">
              <w:rPr>
                <w:sz w:val="18"/>
                <w:szCs w:val="20"/>
              </w:rPr>
              <w:t>14,064.0</w:t>
            </w:r>
          </w:p>
        </w:tc>
        <w:tc>
          <w:tcPr>
            <w:tcW w:w="1197" w:type="dxa"/>
            <w:tcBorders>
              <w:top w:val="single" w:sz="4" w:space="0" w:color="000000" w:themeColor="text1"/>
              <w:bottom w:val="single" w:sz="4" w:space="0" w:color="000000" w:themeColor="text1"/>
              <w:right w:val="single" w:sz="4" w:space="0" w:color="auto"/>
            </w:tcBorders>
            <w:vAlign w:val="center"/>
          </w:tcPr>
          <w:p w14:paraId="137DEDAB" w14:textId="77777777" w:rsidR="00231AE4" w:rsidRPr="00F6205B" w:rsidRDefault="00231AE4" w:rsidP="004F23CF">
            <w:pPr>
              <w:keepLines/>
              <w:spacing w:after="0"/>
              <w:jc w:val="center"/>
              <w:rPr>
                <w:sz w:val="20"/>
                <w:szCs w:val="20"/>
              </w:rPr>
            </w:pPr>
            <w:r w:rsidRPr="00F6205B">
              <w:rPr>
                <w:sz w:val="20"/>
                <w:szCs w:val="20"/>
              </w:rPr>
              <w:t>+ 4,736.6</w:t>
            </w:r>
          </w:p>
        </w:tc>
      </w:tr>
      <w:tr w:rsidR="00231AE4" w:rsidRPr="00F6205B" w14:paraId="3E6CC022" w14:textId="77777777" w:rsidTr="00C627A2">
        <w:trPr>
          <w:trHeight w:val="288"/>
          <w:jc w:val="center"/>
        </w:trPr>
        <w:tc>
          <w:tcPr>
            <w:tcW w:w="199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09062E2" w14:textId="77777777" w:rsidR="00231AE4" w:rsidRPr="00F6205B" w:rsidRDefault="00231AE4" w:rsidP="004F23CF">
            <w:pPr>
              <w:keepLines/>
              <w:spacing w:after="0"/>
              <w:rPr>
                <w:sz w:val="20"/>
                <w:szCs w:val="20"/>
              </w:rPr>
            </w:pPr>
            <w:r w:rsidRPr="00F6205B">
              <w:rPr>
                <w:sz w:val="20"/>
                <w:szCs w:val="20"/>
              </w:rPr>
              <w:t>75% Uptake</w:t>
            </w:r>
          </w:p>
        </w:tc>
        <w:tc>
          <w:tcPr>
            <w:tcW w:w="921" w:type="dxa"/>
            <w:vMerge/>
            <w:vAlign w:val="center"/>
          </w:tcPr>
          <w:p w14:paraId="7E2E5E73" w14:textId="77777777" w:rsidR="00231AE4" w:rsidRPr="00F6205B" w:rsidRDefault="00231AE4" w:rsidP="004F23CF">
            <w:pPr>
              <w:keepLines/>
              <w:spacing w:after="0"/>
              <w:jc w:val="center"/>
              <w:rPr>
                <w:sz w:val="20"/>
                <w:szCs w:val="20"/>
              </w:rPr>
            </w:pPr>
          </w:p>
        </w:tc>
        <w:tc>
          <w:tcPr>
            <w:tcW w:w="900" w:type="dxa"/>
            <w:vMerge/>
            <w:vAlign w:val="center"/>
          </w:tcPr>
          <w:p w14:paraId="53EA66A0" w14:textId="77777777" w:rsidR="00231AE4" w:rsidRPr="00F6205B" w:rsidRDefault="00231AE4" w:rsidP="004F23CF">
            <w:pPr>
              <w:keepLines/>
              <w:spacing w:after="0"/>
              <w:jc w:val="center"/>
              <w:rPr>
                <w:sz w:val="20"/>
                <w:szCs w:val="20"/>
              </w:rPr>
            </w:pPr>
          </w:p>
        </w:tc>
        <w:tc>
          <w:tcPr>
            <w:tcW w:w="968" w:type="dxa"/>
            <w:tcBorders>
              <w:top w:val="single" w:sz="4" w:space="0" w:color="000000" w:themeColor="text1"/>
              <w:bottom w:val="single" w:sz="4" w:space="0" w:color="000000" w:themeColor="text1"/>
              <w:right w:val="single" w:sz="4" w:space="0" w:color="000000" w:themeColor="text1"/>
            </w:tcBorders>
            <w:vAlign w:val="center"/>
          </w:tcPr>
          <w:p w14:paraId="626FE3E9" w14:textId="77777777" w:rsidR="00231AE4" w:rsidRPr="00F6205B" w:rsidRDefault="00231AE4" w:rsidP="004F23CF">
            <w:pPr>
              <w:keepLines/>
              <w:spacing w:after="0"/>
              <w:jc w:val="center"/>
              <w:rPr>
                <w:sz w:val="18"/>
                <w:szCs w:val="20"/>
              </w:rPr>
            </w:pPr>
            <w:r w:rsidRPr="00F6205B">
              <w:rPr>
                <w:sz w:val="18"/>
                <w:szCs w:val="20"/>
              </w:rPr>
              <w:t>12,538.3</w:t>
            </w:r>
          </w:p>
        </w:tc>
        <w:tc>
          <w:tcPr>
            <w:tcW w:w="990" w:type="dxa"/>
            <w:tcBorders>
              <w:top w:val="single" w:sz="4" w:space="0" w:color="000000" w:themeColor="text1"/>
              <w:bottom w:val="single" w:sz="4" w:space="0" w:color="000000" w:themeColor="text1"/>
            </w:tcBorders>
            <w:vAlign w:val="center"/>
          </w:tcPr>
          <w:p w14:paraId="79874F09" w14:textId="77777777" w:rsidR="00231AE4" w:rsidRPr="00F6205B" w:rsidRDefault="00231AE4" w:rsidP="004F23CF">
            <w:pPr>
              <w:keepLines/>
              <w:spacing w:after="0"/>
              <w:jc w:val="center"/>
              <w:rPr>
                <w:sz w:val="18"/>
                <w:szCs w:val="20"/>
              </w:rPr>
            </w:pPr>
            <w:r w:rsidRPr="00F6205B">
              <w:rPr>
                <w:sz w:val="18"/>
                <w:szCs w:val="20"/>
              </w:rPr>
              <w:t>13,170.4</w:t>
            </w:r>
          </w:p>
        </w:tc>
        <w:tc>
          <w:tcPr>
            <w:tcW w:w="990" w:type="dxa"/>
            <w:tcBorders>
              <w:top w:val="single" w:sz="4" w:space="0" w:color="000000" w:themeColor="text1"/>
              <w:bottom w:val="single" w:sz="4" w:space="0" w:color="000000" w:themeColor="text1"/>
            </w:tcBorders>
            <w:vAlign w:val="center"/>
          </w:tcPr>
          <w:p w14:paraId="56F013F7" w14:textId="77777777" w:rsidR="00231AE4" w:rsidRPr="00F6205B" w:rsidRDefault="00231AE4" w:rsidP="004F23CF">
            <w:pPr>
              <w:keepLines/>
              <w:spacing w:after="0"/>
              <w:jc w:val="center"/>
              <w:rPr>
                <w:sz w:val="18"/>
                <w:szCs w:val="20"/>
              </w:rPr>
            </w:pPr>
            <w:r w:rsidRPr="00F6205B">
              <w:rPr>
                <w:sz w:val="18"/>
                <w:szCs w:val="20"/>
              </w:rPr>
              <w:t>13,826.8</w:t>
            </w:r>
          </w:p>
        </w:tc>
        <w:tc>
          <w:tcPr>
            <w:tcW w:w="920" w:type="dxa"/>
            <w:tcBorders>
              <w:top w:val="single" w:sz="4" w:space="0" w:color="000000" w:themeColor="text1"/>
              <w:bottom w:val="single" w:sz="4" w:space="0" w:color="000000" w:themeColor="text1"/>
            </w:tcBorders>
            <w:vAlign w:val="center"/>
          </w:tcPr>
          <w:p w14:paraId="533AC2C5" w14:textId="77777777" w:rsidR="00231AE4" w:rsidRPr="00F6205B" w:rsidRDefault="00231AE4" w:rsidP="004F23CF">
            <w:pPr>
              <w:keepLines/>
              <w:spacing w:after="0"/>
              <w:jc w:val="center"/>
              <w:rPr>
                <w:sz w:val="18"/>
                <w:szCs w:val="20"/>
              </w:rPr>
            </w:pPr>
            <w:r w:rsidRPr="00F6205B">
              <w:rPr>
                <w:sz w:val="18"/>
                <w:szCs w:val="20"/>
              </w:rPr>
              <w:t>14,507.5</w:t>
            </w:r>
          </w:p>
        </w:tc>
        <w:tc>
          <w:tcPr>
            <w:tcW w:w="1197" w:type="dxa"/>
            <w:tcBorders>
              <w:top w:val="single" w:sz="4" w:space="0" w:color="000000" w:themeColor="text1"/>
              <w:bottom w:val="single" w:sz="4" w:space="0" w:color="000000" w:themeColor="text1"/>
              <w:right w:val="single" w:sz="4" w:space="0" w:color="auto"/>
            </w:tcBorders>
            <w:vAlign w:val="center"/>
          </w:tcPr>
          <w:p w14:paraId="104EE9D1" w14:textId="77777777" w:rsidR="00231AE4" w:rsidRPr="00F6205B" w:rsidRDefault="00231AE4" w:rsidP="004F23CF">
            <w:pPr>
              <w:keepLines/>
              <w:spacing w:after="0"/>
              <w:jc w:val="center"/>
              <w:rPr>
                <w:sz w:val="20"/>
                <w:szCs w:val="20"/>
              </w:rPr>
            </w:pPr>
            <w:r w:rsidRPr="00F6205B">
              <w:rPr>
                <w:sz w:val="20"/>
                <w:szCs w:val="20"/>
              </w:rPr>
              <w:t>+ 7,104.9</w:t>
            </w:r>
          </w:p>
        </w:tc>
      </w:tr>
      <w:tr w:rsidR="00231AE4" w:rsidRPr="00F6205B" w14:paraId="67A811EE" w14:textId="77777777" w:rsidTr="00C627A2">
        <w:trPr>
          <w:trHeight w:val="288"/>
          <w:jc w:val="center"/>
        </w:trPr>
        <w:tc>
          <w:tcPr>
            <w:tcW w:w="1997" w:type="dxa"/>
            <w:tcBorders>
              <w:top w:val="single" w:sz="4" w:space="0" w:color="000000" w:themeColor="text1"/>
              <w:left w:val="single" w:sz="4" w:space="0" w:color="auto"/>
              <w:bottom w:val="single" w:sz="4" w:space="0" w:color="auto"/>
              <w:right w:val="single" w:sz="4" w:space="0" w:color="000000" w:themeColor="text1"/>
            </w:tcBorders>
            <w:vAlign w:val="center"/>
          </w:tcPr>
          <w:p w14:paraId="6D139D95" w14:textId="77777777" w:rsidR="00231AE4" w:rsidRPr="00F6205B" w:rsidRDefault="00231AE4" w:rsidP="004F23CF">
            <w:pPr>
              <w:keepLines/>
              <w:spacing w:after="0"/>
              <w:rPr>
                <w:sz w:val="20"/>
                <w:szCs w:val="20"/>
              </w:rPr>
            </w:pPr>
            <w:r w:rsidRPr="00F6205B">
              <w:rPr>
                <w:sz w:val="20"/>
                <w:szCs w:val="20"/>
              </w:rPr>
              <w:t>100% Uptake</w:t>
            </w:r>
          </w:p>
        </w:tc>
        <w:tc>
          <w:tcPr>
            <w:tcW w:w="921" w:type="dxa"/>
            <w:vMerge/>
            <w:tcBorders>
              <w:bottom w:val="single" w:sz="4" w:space="0" w:color="auto"/>
            </w:tcBorders>
            <w:vAlign w:val="center"/>
          </w:tcPr>
          <w:p w14:paraId="2491570A" w14:textId="77777777" w:rsidR="00231AE4" w:rsidRPr="00F6205B" w:rsidRDefault="00231AE4" w:rsidP="004F23CF">
            <w:pPr>
              <w:keepLines/>
              <w:spacing w:after="0"/>
              <w:jc w:val="center"/>
              <w:rPr>
                <w:sz w:val="20"/>
                <w:szCs w:val="20"/>
              </w:rPr>
            </w:pPr>
          </w:p>
        </w:tc>
        <w:tc>
          <w:tcPr>
            <w:tcW w:w="900" w:type="dxa"/>
            <w:vMerge/>
            <w:tcBorders>
              <w:bottom w:val="single" w:sz="4" w:space="0" w:color="auto"/>
            </w:tcBorders>
            <w:vAlign w:val="center"/>
          </w:tcPr>
          <w:p w14:paraId="76C4E27C" w14:textId="77777777" w:rsidR="00231AE4" w:rsidRPr="00F6205B" w:rsidRDefault="00231AE4" w:rsidP="004F23CF">
            <w:pPr>
              <w:keepLines/>
              <w:spacing w:after="0"/>
              <w:jc w:val="center"/>
              <w:rPr>
                <w:sz w:val="20"/>
                <w:szCs w:val="20"/>
              </w:rPr>
            </w:pPr>
          </w:p>
        </w:tc>
        <w:tc>
          <w:tcPr>
            <w:tcW w:w="968" w:type="dxa"/>
            <w:tcBorders>
              <w:top w:val="single" w:sz="4" w:space="0" w:color="000000" w:themeColor="text1"/>
              <w:bottom w:val="single" w:sz="4" w:space="0" w:color="auto"/>
              <w:right w:val="single" w:sz="4" w:space="0" w:color="000000" w:themeColor="text1"/>
            </w:tcBorders>
            <w:vAlign w:val="center"/>
          </w:tcPr>
          <w:p w14:paraId="7A31B6AA" w14:textId="77777777" w:rsidR="00231AE4" w:rsidRPr="00F6205B" w:rsidRDefault="00231AE4" w:rsidP="004F23CF">
            <w:pPr>
              <w:keepLines/>
              <w:spacing w:after="0"/>
              <w:jc w:val="center"/>
              <w:rPr>
                <w:sz w:val="18"/>
                <w:szCs w:val="20"/>
              </w:rPr>
            </w:pPr>
            <w:r w:rsidRPr="00F6205B">
              <w:rPr>
                <w:sz w:val="18"/>
                <w:szCs w:val="20"/>
              </w:rPr>
              <w:t>12,641.2</w:t>
            </w:r>
          </w:p>
        </w:tc>
        <w:tc>
          <w:tcPr>
            <w:tcW w:w="990" w:type="dxa"/>
            <w:tcBorders>
              <w:top w:val="single" w:sz="4" w:space="0" w:color="000000" w:themeColor="text1"/>
              <w:bottom w:val="single" w:sz="4" w:space="0" w:color="auto"/>
            </w:tcBorders>
            <w:vAlign w:val="center"/>
          </w:tcPr>
          <w:p w14:paraId="60398F44" w14:textId="77777777" w:rsidR="00231AE4" w:rsidRPr="00F6205B" w:rsidRDefault="00231AE4" w:rsidP="004F23CF">
            <w:pPr>
              <w:keepLines/>
              <w:spacing w:after="0"/>
              <w:jc w:val="center"/>
              <w:rPr>
                <w:sz w:val="18"/>
                <w:szCs w:val="20"/>
              </w:rPr>
            </w:pPr>
            <w:r w:rsidRPr="00F6205B">
              <w:rPr>
                <w:sz w:val="18"/>
                <w:szCs w:val="20"/>
              </w:rPr>
              <w:t>13,381.4</w:t>
            </w:r>
          </w:p>
        </w:tc>
        <w:tc>
          <w:tcPr>
            <w:tcW w:w="990" w:type="dxa"/>
            <w:tcBorders>
              <w:top w:val="single" w:sz="4" w:space="0" w:color="000000" w:themeColor="text1"/>
              <w:bottom w:val="single" w:sz="4" w:space="0" w:color="auto"/>
            </w:tcBorders>
            <w:vAlign w:val="center"/>
          </w:tcPr>
          <w:p w14:paraId="1B3A191E" w14:textId="77777777" w:rsidR="00231AE4" w:rsidRPr="00F6205B" w:rsidRDefault="00231AE4" w:rsidP="004F23CF">
            <w:pPr>
              <w:keepLines/>
              <w:spacing w:after="0"/>
              <w:jc w:val="center"/>
              <w:rPr>
                <w:sz w:val="18"/>
                <w:szCs w:val="20"/>
              </w:rPr>
            </w:pPr>
            <w:r w:rsidRPr="00F6205B">
              <w:rPr>
                <w:sz w:val="18"/>
                <w:szCs w:val="20"/>
              </w:rPr>
              <w:t>14,151.3</w:t>
            </w:r>
          </w:p>
        </w:tc>
        <w:tc>
          <w:tcPr>
            <w:tcW w:w="920" w:type="dxa"/>
            <w:tcBorders>
              <w:top w:val="single" w:sz="4" w:space="0" w:color="000000" w:themeColor="text1"/>
              <w:bottom w:val="single" w:sz="4" w:space="0" w:color="auto"/>
            </w:tcBorders>
            <w:vAlign w:val="center"/>
          </w:tcPr>
          <w:p w14:paraId="1EE25F94" w14:textId="77777777" w:rsidR="00231AE4" w:rsidRPr="00F6205B" w:rsidRDefault="00231AE4" w:rsidP="004F23CF">
            <w:pPr>
              <w:keepLines/>
              <w:spacing w:after="0"/>
              <w:jc w:val="center"/>
              <w:rPr>
                <w:sz w:val="18"/>
                <w:szCs w:val="20"/>
              </w:rPr>
            </w:pPr>
            <w:r w:rsidRPr="00F6205B">
              <w:rPr>
                <w:sz w:val="18"/>
                <w:szCs w:val="20"/>
              </w:rPr>
              <w:t>14,951.0</w:t>
            </w:r>
          </w:p>
        </w:tc>
        <w:tc>
          <w:tcPr>
            <w:tcW w:w="1197" w:type="dxa"/>
            <w:tcBorders>
              <w:top w:val="single" w:sz="4" w:space="0" w:color="000000" w:themeColor="text1"/>
              <w:bottom w:val="single" w:sz="4" w:space="0" w:color="auto"/>
              <w:right w:val="single" w:sz="4" w:space="0" w:color="auto"/>
            </w:tcBorders>
            <w:vAlign w:val="center"/>
          </w:tcPr>
          <w:p w14:paraId="6D7975C6" w14:textId="77777777" w:rsidR="00231AE4" w:rsidRPr="00F6205B" w:rsidRDefault="00231AE4" w:rsidP="004F23CF">
            <w:pPr>
              <w:keepLines/>
              <w:spacing w:after="0"/>
              <w:jc w:val="center"/>
              <w:rPr>
                <w:sz w:val="20"/>
                <w:szCs w:val="20"/>
              </w:rPr>
            </w:pPr>
            <w:r w:rsidRPr="00F6205B">
              <w:rPr>
                <w:sz w:val="20"/>
                <w:szCs w:val="20"/>
              </w:rPr>
              <w:t>+ 9,473.2</w:t>
            </w:r>
          </w:p>
        </w:tc>
      </w:tr>
    </w:tbl>
    <w:p w14:paraId="35C4D1F8" w14:textId="77777777" w:rsidR="00231AE4" w:rsidRPr="00F6205B" w:rsidRDefault="00231AE4" w:rsidP="009425B1">
      <w:pPr>
        <w:keepNext/>
        <w:tabs>
          <w:tab w:val="left" w:pos="450"/>
        </w:tabs>
        <w:spacing w:after="0"/>
        <w:rPr>
          <w:sz w:val="18"/>
          <w:szCs w:val="18"/>
        </w:rPr>
      </w:pPr>
      <w:r w:rsidRPr="00F6205B">
        <w:rPr>
          <w:sz w:val="18"/>
          <w:szCs w:val="18"/>
        </w:rPr>
        <w:t>* Total aggregate difference over ten years.</w:t>
      </w:r>
    </w:p>
    <w:p w14:paraId="5D88F3A9" w14:textId="77777777" w:rsidR="00231AE4" w:rsidRPr="00F6205B" w:rsidRDefault="00231AE4" w:rsidP="00954C8D">
      <w:pPr>
        <w:pStyle w:val="Heading4"/>
        <w:keepNext/>
        <w:numPr>
          <w:ilvl w:val="0"/>
          <w:numId w:val="0"/>
        </w:numPr>
        <w:jc w:val="both"/>
      </w:pPr>
      <w:r w:rsidRPr="00F6205B">
        <w:t>Oil and Propane Savings</w:t>
      </w:r>
    </w:p>
    <w:p w14:paraId="69F87282" w14:textId="172AE66E" w:rsidR="00231AE4" w:rsidRPr="00F6205B" w:rsidRDefault="00231AE4" w:rsidP="00231AE4">
      <w:pPr>
        <w:keepNext/>
      </w:pPr>
      <w:r w:rsidRPr="00F6205B">
        <w:t xml:space="preserve">The current growth rate for fuel oil consumption in Connecticut is -2.1% per year. Therefore, as </w:t>
      </w:r>
      <w:r w:rsidR="00954C8D" w:rsidRPr="00F6205B">
        <w:fldChar w:fldCharType="begin"/>
      </w:r>
      <w:r w:rsidR="00954C8D" w:rsidRPr="00F6205B">
        <w:instrText xml:space="preserve"> REF _Ref439332869 \h </w:instrText>
      </w:r>
      <w:r w:rsidR="00F6205B">
        <w:instrText xml:space="preserve"> \* MERGEFORMAT </w:instrText>
      </w:r>
      <w:r w:rsidR="00954C8D" w:rsidRPr="00F6205B">
        <w:fldChar w:fldCharType="separate"/>
      </w:r>
      <w:r w:rsidR="00FA26A9" w:rsidRPr="00F6205B">
        <w:t xml:space="preserve">Figure </w:t>
      </w:r>
      <w:r w:rsidR="00FA26A9">
        <w:rPr>
          <w:noProof/>
        </w:rPr>
        <w:t>28</w:t>
      </w:r>
      <w:r w:rsidR="00954C8D" w:rsidRPr="00F6205B">
        <w:fldChar w:fldCharType="end"/>
      </w:r>
      <w:r w:rsidR="00954C8D" w:rsidRPr="00F6205B">
        <w:t xml:space="preserve"> </w:t>
      </w:r>
      <w:r w:rsidRPr="00F6205B">
        <w:t xml:space="preserve">demonstrates, oil consumption is expected to decrease even in the absence of an effort to convert oil-fired heating equipment to gas. The analysis shows that a fuel switching effort would substantially accelerate the decrease in oil consumption. In the base case scenario—wherein some oil-fired heating equipment is converted to gas and others to heat pumps with an oil-fired backup, and water heating equipment is left as-is—oil </w:t>
      </w:r>
      <w:r w:rsidRPr="00F6205B">
        <w:lastRenderedPageBreak/>
        <w:t xml:space="preserve">consumption could decrease to as little as 23% of the expected </w:t>
      </w:r>
      <w:r w:rsidR="00954C8D" w:rsidRPr="00F6205B">
        <w:t>annual consumption level by 2025</w:t>
      </w:r>
      <w:r w:rsidRPr="00F6205B">
        <w:t xml:space="preserve"> (if a 100% conversion rate is reached).</w:t>
      </w:r>
    </w:p>
    <w:p w14:paraId="7B4DD671" w14:textId="33BB3BA7" w:rsidR="00231AE4" w:rsidRPr="00F6205B" w:rsidRDefault="00231AE4" w:rsidP="004F23CF">
      <w:pPr>
        <w:pStyle w:val="Caption"/>
      </w:pPr>
      <w:bookmarkStart w:id="406" w:name="_Ref369615798"/>
      <w:bookmarkStart w:id="407" w:name="_Ref439332869"/>
      <w:bookmarkStart w:id="408" w:name="_Toc373318456"/>
      <w:bookmarkStart w:id="409" w:name="_Toc391887414"/>
      <w:bookmarkStart w:id="410" w:name="_Toc439931821"/>
      <w:r w:rsidRPr="00F6205B">
        <w:t>Figure</w:t>
      </w:r>
      <w:bookmarkEnd w:id="406"/>
      <w:r w:rsidR="004F23CF" w:rsidRPr="00F6205B">
        <w:t xml:space="preserve"> </w:t>
      </w:r>
      <w:fldSimple w:instr=" SEQ Figure \* ARABIC ">
        <w:r w:rsidR="00FA26A9">
          <w:rPr>
            <w:noProof/>
          </w:rPr>
          <w:t>28</w:t>
        </w:r>
      </w:fldSimple>
      <w:bookmarkEnd w:id="407"/>
      <w:r w:rsidRPr="00F6205B">
        <w:t xml:space="preserve">: </w:t>
      </w:r>
      <w:r w:rsidR="00501AE4">
        <w:t>Fuel Switching—</w:t>
      </w:r>
      <w:r w:rsidRPr="00F6205B">
        <w:t>Change in Fuel Oil Consumption Under the Base Case Scenario</w:t>
      </w:r>
      <w:bookmarkEnd w:id="408"/>
      <w:bookmarkEnd w:id="409"/>
      <w:bookmarkEnd w:id="410"/>
    </w:p>
    <w:p w14:paraId="567797B1" w14:textId="4D99CEF7" w:rsidR="00346A82" w:rsidRPr="00F6205B" w:rsidRDefault="00346A82" w:rsidP="00346A82">
      <w:pPr>
        <w:pStyle w:val="Caption"/>
        <w:spacing w:before="0" w:after="120"/>
        <w:rPr>
          <w:b w:val="0"/>
          <w:bCs w:val="0"/>
          <w:sz w:val="18"/>
        </w:rPr>
      </w:pPr>
      <w:r w:rsidRPr="00F6205B">
        <w:rPr>
          <w:b w:val="0"/>
          <w:bCs w:val="0"/>
          <w:sz w:val="18"/>
        </w:rPr>
        <w:t>Base: all single-family homes (population-weighted)</w:t>
      </w:r>
    </w:p>
    <w:p w14:paraId="7428987F" w14:textId="77777777" w:rsidR="00231AE4" w:rsidRPr="00F6205B" w:rsidRDefault="00231AE4" w:rsidP="00231AE4">
      <w:pPr>
        <w:keepNext/>
        <w:spacing w:after="0"/>
        <w:jc w:val="center"/>
      </w:pPr>
      <w:r w:rsidRPr="00F6205B">
        <w:rPr>
          <w:noProof/>
          <w:lang w:bidi="ar-SA"/>
        </w:rPr>
        <w:drawing>
          <wp:inline distT="0" distB="0" distL="0" distR="0" wp14:anchorId="0F108A91" wp14:editId="77C330DB">
            <wp:extent cx="4867955" cy="2819794"/>
            <wp:effectExtent l="0" t="0" r="889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Base Case.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867955" cy="2819794"/>
                    </a:xfrm>
                    <a:prstGeom prst="rect">
                      <a:avLst/>
                    </a:prstGeom>
                  </pic:spPr>
                </pic:pic>
              </a:graphicData>
            </a:graphic>
          </wp:inline>
        </w:drawing>
      </w:r>
    </w:p>
    <w:p w14:paraId="05E3515C" w14:textId="77777777" w:rsidR="00231AE4" w:rsidRPr="00F6205B" w:rsidRDefault="00231AE4" w:rsidP="00231AE4"/>
    <w:p w14:paraId="7CB4E8D8" w14:textId="348EA788" w:rsidR="00231AE4" w:rsidRPr="00F6205B" w:rsidRDefault="00231AE4" w:rsidP="00231AE4">
      <w:pPr>
        <w:keepNext/>
      </w:pPr>
      <w:r w:rsidRPr="00F6205B">
        <w:t xml:space="preserve">Currently, propane use in Connecticut is expected to increase by 0.4% per year. The analysis shows that fuel switching would reverse this trend even with a 25% conversion rate. In the next decade, annual propane consumption could potentially decline to 41% of the expected annual consumption level if a 100% conversion rate is reached. If the </w:t>
      </w:r>
      <w:r w:rsidRPr="00F6205B">
        <w:lastRenderedPageBreak/>
        <w:t>conversion rate only reaches 25%, then annual consumption would decrease by 15% relative to the expected annual consumption at year ten (</w:t>
      </w:r>
      <w:r w:rsidR="00954C8D" w:rsidRPr="00F6205B">
        <w:fldChar w:fldCharType="begin"/>
      </w:r>
      <w:r w:rsidR="00954C8D" w:rsidRPr="00F6205B">
        <w:instrText xml:space="preserve"> REF _Ref439332878 \h </w:instrText>
      </w:r>
      <w:r w:rsidR="00F6205B">
        <w:instrText xml:space="preserve"> \* MERGEFORMAT </w:instrText>
      </w:r>
      <w:r w:rsidR="00954C8D" w:rsidRPr="00F6205B">
        <w:fldChar w:fldCharType="separate"/>
      </w:r>
      <w:r w:rsidR="00FA26A9" w:rsidRPr="00F6205B">
        <w:t xml:space="preserve">Figure </w:t>
      </w:r>
      <w:r w:rsidR="00FA26A9">
        <w:rPr>
          <w:noProof/>
        </w:rPr>
        <w:t>29</w:t>
      </w:r>
      <w:r w:rsidR="00954C8D" w:rsidRPr="00F6205B">
        <w:fldChar w:fldCharType="end"/>
      </w:r>
      <w:r w:rsidRPr="00F6205B">
        <w:t>).</w:t>
      </w:r>
    </w:p>
    <w:p w14:paraId="4355B00A" w14:textId="2771624B" w:rsidR="00231AE4" w:rsidRPr="00F6205B" w:rsidRDefault="00231AE4" w:rsidP="004F23CF">
      <w:pPr>
        <w:pStyle w:val="Caption"/>
      </w:pPr>
      <w:bookmarkStart w:id="411" w:name="_Ref370120105"/>
      <w:bookmarkStart w:id="412" w:name="_Ref439332878"/>
      <w:bookmarkStart w:id="413" w:name="_Toc373318457"/>
      <w:bookmarkStart w:id="414" w:name="_Toc391887415"/>
      <w:bookmarkStart w:id="415" w:name="_Toc439931822"/>
      <w:r w:rsidRPr="00F6205B">
        <w:t>Figure</w:t>
      </w:r>
      <w:bookmarkEnd w:id="411"/>
      <w:r w:rsidR="004F23CF" w:rsidRPr="00F6205B">
        <w:t xml:space="preserve"> </w:t>
      </w:r>
      <w:fldSimple w:instr=" SEQ Figure \* ARABIC ">
        <w:r w:rsidR="00FA26A9">
          <w:rPr>
            <w:noProof/>
          </w:rPr>
          <w:t>29</w:t>
        </w:r>
      </w:fldSimple>
      <w:bookmarkEnd w:id="412"/>
      <w:r w:rsidRPr="00F6205B">
        <w:t xml:space="preserve">: </w:t>
      </w:r>
      <w:r w:rsidR="00501AE4">
        <w:t>Fuel Switching—</w:t>
      </w:r>
      <w:r w:rsidRPr="00F6205B">
        <w:t>Change in Propane Consumption Under the Base Case Scenario</w:t>
      </w:r>
      <w:bookmarkEnd w:id="413"/>
      <w:bookmarkEnd w:id="414"/>
      <w:bookmarkEnd w:id="415"/>
    </w:p>
    <w:p w14:paraId="5C670413" w14:textId="37E011A8" w:rsidR="00346A82" w:rsidRPr="00F6205B" w:rsidRDefault="00346A82" w:rsidP="00346A82">
      <w:pPr>
        <w:pStyle w:val="Caption"/>
        <w:spacing w:before="0" w:after="120"/>
        <w:rPr>
          <w:b w:val="0"/>
          <w:bCs w:val="0"/>
          <w:sz w:val="18"/>
        </w:rPr>
      </w:pPr>
      <w:r w:rsidRPr="00F6205B">
        <w:rPr>
          <w:b w:val="0"/>
          <w:bCs w:val="0"/>
          <w:sz w:val="18"/>
        </w:rPr>
        <w:t>Base: all single-family homes (population-weighted)</w:t>
      </w:r>
    </w:p>
    <w:p w14:paraId="494F35FE" w14:textId="77777777" w:rsidR="00231AE4" w:rsidRPr="00F6205B" w:rsidRDefault="00231AE4" w:rsidP="00231AE4">
      <w:pPr>
        <w:keepNext/>
        <w:spacing w:after="0"/>
        <w:jc w:val="center"/>
      </w:pPr>
      <w:r w:rsidRPr="00F6205B">
        <w:rPr>
          <w:noProof/>
          <w:lang w:bidi="ar-SA"/>
        </w:rPr>
        <w:drawing>
          <wp:inline distT="0" distB="0" distL="0" distR="0" wp14:anchorId="162DF2A8" wp14:editId="163634F3">
            <wp:extent cx="4867955" cy="2838846"/>
            <wp:effectExtent l="0" t="0" r="889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ane Base Case.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867955" cy="2838846"/>
                    </a:xfrm>
                    <a:prstGeom prst="rect">
                      <a:avLst/>
                    </a:prstGeom>
                  </pic:spPr>
                </pic:pic>
              </a:graphicData>
            </a:graphic>
          </wp:inline>
        </w:drawing>
      </w:r>
    </w:p>
    <w:p w14:paraId="1759BE52" w14:textId="77777777" w:rsidR="00231AE4" w:rsidRPr="00F6205B" w:rsidRDefault="00231AE4" w:rsidP="00231AE4"/>
    <w:p w14:paraId="68E71D6A" w14:textId="77777777" w:rsidR="00231AE4" w:rsidRPr="00F6205B" w:rsidRDefault="00231AE4" w:rsidP="00954C8D">
      <w:pPr>
        <w:pStyle w:val="Heading4"/>
        <w:keepNext/>
        <w:numPr>
          <w:ilvl w:val="0"/>
          <w:numId w:val="0"/>
        </w:numPr>
        <w:jc w:val="both"/>
      </w:pPr>
      <w:r w:rsidRPr="00F6205B">
        <w:t>Increased Natural Gas and Electricity Consumption</w:t>
      </w:r>
    </w:p>
    <w:p w14:paraId="05604C3E" w14:textId="3BFA6015" w:rsidR="00231AE4" w:rsidRPr="00F6205B" w:rsidRDefault="00231AE4" w:rsidP="00231AE4">
      <w:pPr>
        <w:keepNext/>
      </w:pPr>
      <w:r w:rsidRPr="00F6205B">
        <w:t>Natural gas use could potentially increase 89% relative to expected annual consumption ten years from now if a 100% conversion rate is reached (</w:t>
      </w:r>
      <w:r w:rsidR="00954C8D" w:rsidRPr="00F6205B">
        <w:fldChar w:fldCharType="begin"/>
      </w:r>
      <w:r w:rsidR="00954C8D" w:rsidRPr="00F6205B">
        <w:instrText xml:space="preserve"> REF _Ref439324629 \h </w:instrText>
      </w:r>
      <w:r w:rsidR="00F6205B">
        <w:instrText xml:space="preserve"> \* MERGEFORMAT </w:instrText>
      </w:r>
      <w:r w:rsidR="00954C8D" w:rsidRPr="00F6205B">
        <w:fldChar w:fldCharType="separate"/>
      </w:r>
      <w:r w:rsidR="00FA26A9" w:rsidRPr="00F6205B">
        <w:t xml:space="preserve">Figure </w:t>
      </w:r>
      <w:r w:rsidR="00FA26A9">
        <w:rPr>
          <w:noProof/>
        </w:rPr>
        <w:t>30</w:t>
      </w:r>
      <w:r w:rsidR="00954C8D" w:rsidRPr="00F6205B">
        <w:fldChar w:fldCharType="end"/>
      </w:r>
      <w:r w:rsidRPr="00F6205B">
        <w:t xml:space="preserve">). At a 25% conversion </w:t>
      </w:r>
      <w:r w:rsidRPr="00F6205B">
        <w:lastRenderedPageBreak/>
        <w:t>rate, natural gas use would increase 22% relative to expected annual consumption ten years from now.</w:t>
      </w:r>
    </w:p>
    <w:p w14:paraId="5A59AD1B" w14:textId="25EEF65E" w:rsidR="00231AE4" w:rsidRPr="00F6205B" w:rsidRDefault="00231AE4" w:rsidP="004F23CF">
      <w:pPr>
        <w:pStyle w:val="Caption"/>
      </w:pPr>
      <w:bookmarkStart w:id="416" w:name="_Ref370120121"/>
      <w:bookmarkStart w:id="417" w:name="_Ref439324629"/>
      <w:bookmarkStart w:id="418" w:name="_Toc373318458"/>
      <w:bookmarkStart w:id="419" w:name="_Toc391887416"/>
      <w:bookmarkStart w:id="420" w:name="_Toc439931823"/>
      <w:r w:rsidRPr="00F6205B">
        <w:t>Figure</w:t>
      </w:r>
      <w:bookmarkEnd w:id="416"/>
      <w:r w:rsidR="004F23CF" w:rsidRPr="00F6205B">
        <w:t xml:space="preserve"> </w:t>
      </w:r>
      <w:fldSimple w:instr=" SEQ Figure \* ARABIC ">
        <w:r w:rsidR="00FA26A9">
          <w:rPr>
            <w:noProof/>
          </w:rPr>
          <w:t>30</w:t>
        </w:r>
      </w:fldSimple>
      <w:bookmarkEnd w:id="417"/>
      <w:r w:rsidRPr="00F6205B">
        <w:t xml:space="preserve">: </w:t>
      </w:r>
      <w:r w:rsidR="00501AE4">
        <w:t>Fuel Switching—</w:t>
      </w:r>
      <w:r w:rsidRPr="00F6205B">
        <w:t>Change in Natural Gas Consumption Under the Base Case Scenario</w:t>
      </w:r>
      <w:bookmarkEnd w:id="418"/>
      <w:bookmarkEnd w:id="419"/>
      <w:bookmarkEnd w:id="420"/>
    </w:p>
    <w:p w14:paraId="1295A7A9" w14:textId="089D122A" w:rsidR="00346A82" w:rsidRPr="00F6205B" w:rsidRDefault="00346A82" w:rsidP="00346A82">
      <w:pPr>
        <w:pStyle w:val="Caption"/>
        <w:spacing w:before="0" w:after="120"/>
        <w:rPr>
          <w:b w:val="0"/>
          <w:bCs w:val="0"/>
          <w:sz w:val="18"/>
        </w:rPr>
      </w:pPr>
      <w:r w:rsidRPr="00F6205B">
        <w:rPr>
          <w:b w:val="0"/>
          <w:bCs w:val="0"/>
          <w:sz w:val="18"/>
        </w:rPr>
        <w:t>Base: all single-family homes (population-weighted)</w:t>
      </w:r>
    </w:p>
    <w:p w14:paraId="3D52C2B2" w14:textId="77777777" w:rsidR="00231AE4" w:rsidRPr="00F6205B" w:rsidRDefault="00231AE4" w:rsidP="00231AE4">
      <w:pPr>
        <w:keepNext/>
        <w:spacing w:after="0"/>
        <w:jc w:val="center"/>
      </w:pPr>
      <w:r w:rsidRPr="00F6205B">
        <w:rPr>
          <w:noProof/>
          <w:lang w:bidi="ar-SA"/>
        </w:rPr>
        <w:drawing>
          <wp:inline distT="0" distB="0" distL="0" distR="0" wp14:anchorId="7D6671CC" wp14:editId="389A1DA1">
            <wp:extent cx="4887007" cy="2829320"/>
            <wp:effectExtent l="0" t="0" r="889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 Gas Base Case.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887007" cy="2829320"/>
                    </a:xfrm>
                    <a:prstGeom prst="rect">
                      <a:avLst/>
                    </a:prstGeom>
                  </pic:spPr>
                </pic:pic>
              </a:graphicData>
            </a:graphic>
          </wp:inline>
        </w:drawing>
      </w:r>
    </w:p>
    <w:p w14:paraId="2B03F0FF" w14:textId="77777777" w:rsidR="00231AE4" w:rsidRPr="00F6205B" w:rsidRDefault="00231AE4" w:rsidP="00231AE4"/>
    <w:p w14:paraId="5141214E" w14:textId="77777777" w:rsidR="00231AE4" w:rsidRPr="00F6205B" w:rsidRDefault="00231AE4" w:rsidP="00231AE4">
      <w:pPr>
        <w:keepNext/>
      </w:pPr>
      <w:r w:rsidRPr="00F6205B">
        <w:t>Under the base case scenario, increases in electric consumption are a result of the addition of ductless mini-splits in the place of oil- or propane-fired heating equipment, and thus occur primarily at the space heating end use. There are also small decreases in electricity use for water heating (due to the conversion of some water heaters at Group A sites from electric resistance to gas) and cooling (due to more efficient ductless mini-splits replacing existing cooling equipment) in the base case scenario.</w:t>
      </w:r>
    </w:p>
    <w:p w14:paraId="4AA78FCB" w14:textId="02975F82" w:rsidR="00231AE4" w:rsidRPr="00F6205B" w:rsidRDefault="00231AE4" w:rsidP="00231AE4">
      <w:pPr>
        <w:keepNext/>
      </w:pPr>
      <w:r w:rsidRPr="00F6205B">
        <w:t xml:space="preserve">At a 100% conversion rate, annual consumption of electricity could increase 13% relative to expected consumption ten years from now. If the conversion rate only reaches 25%, </w:t>
      </w:r>
      <w:r w:rsidRPr="00F6205B">
        <w:lastRenderedPageBreak/>
        <w:t>electric consumption would increase 3% relative to expected consumption ten years from now (</w:t>
      </w:r>
      <w:r w:rsidR="00954C8D" w:rsidRPr="00F6205B">
        <w:fldChar w:fldCharType="begin"/>
      </w:r>
      <w:r w:rsidR="00954C8D" w:rsidRPr="00F6205B">
        <w:instrText xml:space="preserve"> REF _Ref439332913 \h </w:instrText>
      </w:r>
      <w:r w:rsidR="00F6205B">
        <w:instrText xml:space="preserve"> \* MERGEFORMAT </w:instrText>
      </w:r>
      <w:r w:rsidR="00954C8D" w:rsidRPr="00F6205B">
        <w:fldChar w:fldCharType="separate"/>
      </w:r>
      <w:r w:rsidR="00FA26A9" w:rsidRPr="00F6205B">
        <w:t xml:space="preserve">Figure </w:t>
      </w:r>
      <w:r w:rsidR="00FA26A9">
        <w:rPr>
          <w:noProof/>
        </w:rPr>
        <w:t>31</w:t>
      </w:r>
      <w:r w:rsidR="00954C8D" w:rsidRPr="00F6205B">
        <w:fldChar w:fldCharType="end"/>
      </w:r>
      <w:r w:rsidRPr="00F6205B">
        <w:t xml:space="preserve">). </w:t>
      </w:r>
    </w:p>
    <w:p w14:paraId="19442C26" w14:textId="317CD9C9" w:rsidR="00231AE4" w:rsidRPr="00F6205B" w:rsidRDefault="00231AE4" w:rsidP="004F23CF">
      <w:pPr>
        <w:pStyle w:val="Caption"/>
      </w:pPr>
      <w:bookmarkStart w:id="421" w:name="_Ref370120343"/>
      <w:bookmarkStart w:id="422" w:name="_Ref439332913"/>
      <w:bookmarkStart w:id="423" w:name="_Toc373318459"/>
      <w:bookmarkStart w:id="424" w:name="_Toc391887417"/>
      <w:bookmarkStart w:id="425" w:name="_Toc439931824"/>
      <w:r w:rsidRPr="00F6205B">
        <w:t>Figure</w:t>
      </w:r>
      <w:bookmarkEnd w:id="421"/>
      <w:r w:rsidR="004F23CF" w:rsidRPr="00F6205B">
        <w:t xml:space="preserve"> </w:t>
      </w:r>
      <w:fldSimple w:instr=" SEQ Figure \* ARABIC ">
        <w:r w:rsidR="00FA26A9">
          <w:rPr>
            <w:noProof/>
          </w:rPr>
          <w:t>31</w:t>
        </w:r>
      </w:fldSimple>
      <w:bookmarkEnd w:id="422"/>
      <w:r w:rsidRPr="00F6205B">
        <w:t xml:space="preserve">: </w:t>
      </w:r>
      <w:r w:rsidR="00501AE4">
        <w:t>Fuel Switching—</w:t>
      </w:r>
      <w:r w:rsidRPr="00F6205B">
        <w:t>Change in Electricity Consumption Under the Base Case Scenario</w:t>
      </w:r>
      <w:bookmarkEnd w:id="423"/>
      <w:bookmarkEnd w:id="424"/>
      <w:bookmarkEnd w:id="425"/>
    </w:p>
    <w:p w14:paraId="047A65EE" w14:textId="7340E902" w:rsidR="00346A82" w:rsidRPr="00F6205B" w:rsidRDefault="00346A82" w:rsidP="00346A82">
      <w:pPr>
        <w:pStyle w:val="Caption"/>
        <w:spacing w:before="0" w:after="120"/>
        <w:rPr>
          <w:b w:val="0"/>
          <w:bCs w:val="0"/>
          <w:sz w:val="18"/>
        </w:rPr>
      </w:pPr>
      <w:r w:rsidRPr="00F6205B">
        <w:rPr>
          <w:b w:val="0"/>
          <w:bCs w:val="0"/>
          <w:sz w:val="18"/>
        </w:rPr>
        <w:t>Base: all single-family homes (population-weighted)</w:t>
      </w:r>
    </w:p>
    <w:p w14:paraId="675E79A1" w14:textId="77777777" w:rsidR="00231AE4" w:rsidRPr="00F6205B" w:rsidRDefault="00231AE4" w:rsidP="00231AE4">
      <w:pPr>
        <w:keepNext/>
        <w:spacing w:after="0"/>
        <w:jc w:val="center"/>
      </w:pPr>
      <w:r w:rsidRPr="00F6205B">
        <w:rPr>
          <w:noProof/>
          <w:lang w:bidi="ar-SA"/>
        </w:rPr>
        <w:drawing>
          <wp:inline distT="0" distB="0" distL="0" distR="0" wp14:anchorId="566C1DB5" wp14:editId="0B6F6AAE">
            <wp:extent cx="4887007" cy="2838846"/>
            <wp:effectExtent l="0" t="0" r="889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icity Base Case.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887007" cy="2838846"/>
                    </a:xfrm>
                    <a:prstGeom prst="rect">
                      <a:avLst/>
                    </a:prstGeom>
                  </pic:spPr>
                </pic:pic>
              </a:graphicData>
            </a:graphic>
          </wp:inline>
        </w:drawing>
      </w:r>
    </w:p>
    <w:p w14:paraId="2E6D0ECC" w14:textId="77777777" w:rsidR="00231AE4" w:rsidRPr="00F6205B" w:rsidRDefault="00231AE4" w:rsidP="00231AE4">
      <w:pPr>
        <w:spacing w:after="200"/>
      </w:pPr>
    </w:p>
    <w:p w14:paraId="28DD84DF" w14:textId="77777777" w:rsidR="00231AE4" w:rsidRPr="00F6205B" w:rsidRDefault="00231AE4" w:rsidP="00954C8D">
      <w:pPr>
        <w:pStyle w:val="Heading3"/>
        <w:numPr>
          <w:ilvl w:val="0"/>
          <w:numId w:val="0"/>
        </w:numPr>
        <w:jc w:val="both"/>
      </w:pPr>
      <w:bookmarkStart w:id="426" w:name="_Toc373322748"/>
      <w:bookmarkStart w:id="427" w:name="_Toc391887326"/>
      <w:bookmarkStart w:id="428" w:name="_Toc439939415"/>
      <w:r w:rsidRPr="00F6205B">
        <w:t>Upgrade Case Scenario (Program Incentive Impact)</w:t>
      </w:r>
      <w:bookmarkEnd w:id="426"/>
      <w:bookmarkEnd w:id="427"/>
      <w:bookmarkEnd w:id="428"/>
    </w:p>
    <w:p w14:paraId="553F33E8" w14:textId="0914E6D3" w:rsidR="00231AE4" w:rsidRPr="00F6205B" w:rsidRDefault="00231AE4" w:rsidP="00231AE4">
      <w:pPr>
        <w:pStyle w:val="ListParagraph"/>
        <w:ind w:left="0"/>
        <w:contextualSpacing w:val="0"/>
      </w:pPr>
      <w:r w:rsidRPr="00F6205B">
        <w:t>This section details the results of upgrade case scenario fuel switching. Fuel switching group features are described in detail in</w:t>
      </w:r>
      <w:r w:rsidR="00954C8D" w:rsidRPr="00F6205B">
        <w:t xml:space="preserve"> </w:t>
      </w:r>
      <w:r w:rsidR="00954C8D" w:rsidRPr="00F6205B">
        <w:fldChar w:fldCharType="begin"/>
      </w:r>
      <w:r w:rsidR="00954C8D" w:rsidRPr="00F6205B">
        <w:instrText xml:space="preserve"> REF _Ref439332933 \h </w:instrText>
      </w:r>
      <w:r w:rsidR="00F6205B">
        <w:instrText xml:space="preserve"> \* MERGEFORMAT </w:instrText>
      </w:r>
      <w:r w:rsidR="00954C8D" w:rsidRPr="00F6205B">
        <w:fldChar w:fldCharType="separate"/>
      </w:r>
      <w:r w:rsidR="00FA26A9" w:rsidRPr="00F6205B">
        <w:t xml:space="preserve">Table </w:t>
      </w:r>
      <w:r w:rsidR="00FA26A9">
        <w:rPr>
          <w:noProof/>
        </w:rPr>
        <w:t>39</w:t>
      </w:r>
      <w:r w:rsidR="00954C8D" w:rsidRPr="00F6205B">
        <w:fldChar w:fldCharType="end"/>
      </w:r>
      <w:r w:rsidRPr="00F6205B">
        <w:t>.</w:t>
      </w:r>
    </w:p>
    <w:p w14:paraId="74B71D66" w14:textId="3FD067ED" w:rsidR="00231AE4" w:rsidRPr="00F6205B" w:rsidRDefault="00380843" w:rsidP="00231AE4">
      <w:pPr>
        <w:keepNext/>
      </w:pPr>
      <w:r>
        <w:fldChar w:fldCharType="begin"/>
      </w:r>
      <w:r>
        <w:instrText xml:space="preserve"> REF _Ref439332933 \h </w:instrText>
      </w:r>
      <w:r>
        <w:fldChar w:fldCharType="separate"/>
      </w:r>
      <w:r w:rsidRPr="00F6205B">
        <w:t xml:space="preserve">Table </w:t>
      </w:r>
      <w:r>
        <w:rPr>
          <w:noProof/>
        </w:rPr>
        <w:t>39</w:t>
      </w:r>
      <w:r>
        <w:fldChar w:fldCharType="end"/>
      </w:r>
      <w:r>
        <w:t xml:space="preserve"> </w:t>
      </w:r>
      <w:r w:rsidR="00231AE4" w:rsidRPr="00F6205B">
        <w:t>details the impact of fuel switching under the upgrade case scenario for the various conversion rates. Under this scenario, consumers in the state could potentially (i.e. with a 100% conversion rate) save more than 2 billion gallons of oil, more than 140 million gallons of propane, more than 1.5 billion ccf of natural gas, and nearly 8.5 billion kilowatt-</w:t>
      </w:r>
      <w:r w:rsidR="00231AE4" w:rsidRPr="00F6205B">
        <w:lastRenderedPageBreak/>
        <w:t>hours of electricity in total over the next decade, relative to a scenario where fuel switching does not occur.</w:t>
      </w:r>
    </w:p>
    <w:p w14:paraId="2FEFD541" w14:textId="4AA6C0E5" w:rsidR="00231AE4" w:rsidRPr="00F6205B" w:rsidRDefault="00231AE4" w:rsidP="004F23CF">
      <w:pPr>
        <w:pStyle w:val="Caption"/>
      </w:pPr>
      <w:bookmarkStart w:id="429" w:name="_Ref369608777"/>
      <w:bookmarkStart w:id="430" w:name="_Ref439332933"/>
      <w:bookmarkStart w:id="431" w:name="_Toc373324134"/>
      <w:bookmarkStart w:id="432" w:name="_Toc391887375"/>
      <w:bookmarkStart w:id="433" w:name="_Toc439931870"/>
      <w:r w:rsidRPr="00F6205B">
        <w:t>Table</w:t>
      </w:r>
      <w:bookmarkEnd w:id="429"/>
      <w:r w:rsidR="004F23CF" w:rsidRPr="00F6205B">
        <w:t xml:space="preserve"> </w:t>
      </w:r>
      <w:fldSimple w:instr=" SEQ Table \* ARABIC ">
        <w:r w:rsidR="00FA26A9">
          <w:rPr>
            <w:noProof/>
          </w:rPr>
          <w:t>39</w:t>
        </w:r>
      </w:fldSimple>
      <w:bookmarkEnd w:id="430"/>
      <w:r w:rsidRPr="00F6205B">
        <w:t xml:space="preserve">: </w:t>
      </w:r>
      <w:r w:rsidR="00501AE4">
        <w:t>Fuel Switching—</w:t>
      </w:r>
      <w:r w:rsidRPr="00F6205B">
        <w:t>Annual Consumption Trajectories – Upgrade Case Scenario</w:t>
      </w:r>
      <w:bookmarkEnd w:id="431"/>
      <w:bookmarkEnd w:id="432"/>
      <w:bookmarkEnd w:id="433"/>
    </w:p>
    <w:p w14:paraId="654568D4" w14:textId="77777777" w:rsidR="00346A82" w:rsidRPr="00F6205B" w:rsidRDefault="00346A82" w:rsidP="00346A82">
      <w:pPr>
        <w:pStyle w:val="Caption"/>
        <w:spacing w:before="0" w:after="120"/>
        <w:rPr>
          <w:b w:val="0"/>
          <w:bCs w:val="0"/>
          <w:sz w:val="18"/>
        </w:rPr>
      </w:pPr>
      <w:r w:rsidRPr="00F6205B">
        <w:rPr>
          <w:b w:val="0"/>
          <w:bCs w:val="0"/>
          <w:sz w:val="18"/>
        </w:rPr>
        <w:t>Base: all single-family homes (population-weighted)</w:t>
      </w:r>
    </w:p>
    <w:tbl>
      <w:tblPr>
        <w:tblStyle w:val="TableGrid"/>
        <w:tblW w:w="8946"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1997"/>
        <w:gridCol w:w="921"/>
        <w:gridCol w:w="900"/>
        <w:gridCol w:w="968"/>
        <w:gridCol w:w="990"/>
        <w:gridCol w:w="990"/>
        <w:gridCol w:w="920"/>
        <w:gridCol w:w="1260"/>
      </w:tblGrid>
      <w:tr w:rsidR="00231AE4" w:rsidRPr="00F6205B" w14:paraId="5E443FAD" w14:textId="77777777" w:rsidTr="00D8337B">
        <w:trPr>
          <w:trHeight w:val="288"/>
          <w:jc w:val="center"/>
        </w:trPr>
        <w:tc>
          <w:tcPr>
            <w:tcW w:w="1997" w:type="dxa"/>
            <w:vMerge w:val="restart"/>
            <w:tcBorders>
              <w:top w:val="single" w:sz="4" w:space="0" w:color="auto"/>
              <w:left w:val="single" w:sz="4" w:space="0" w:color="auto"/>
              <w:right w:val="single" w:sz="4" w:space="0" w:color="000000" w:themeColor="text1"/>
            </w:tcBorders>
            <w:shd w:val="clear" w:color="auto" w:fill="0B4D2C" w:themeFill="background2" w:themeFillShade="BF"/>
            <w:vAlign w:val="center"/>
          </w:tcPr>
          <w:p w14:paraId="6B9CC830" w14:textId="77777777" w:rsidR="00231AE4" w:rsidRPr="00F6205B" w:rsidRDefault="00231AE4" w:rsidP="004F23CF">
            <w:pPr>
              <w:keepNext/>
              <w:keepLines/>
              <w:spacing w:after="0"/>
              <w:rPr>
                <w:b/>
                <w:sz w:val="20"/>
                <w:szCs w:val="20"/>
              </w:rPr>
            </w:pPr>
            <w:r w:rsidRPr="00F6205B">
              <w:rPr>
                <w:b/>
                <w:sz w:val="20"/>
                <w:szCs w:val="20"/>
              </w:rPr>
              <w:t>Conversion Rate</w:t>
            </w:r>
          </w:p>
        </w:tc>
        <w:tc>
          <w:tcPr>
            <w:tcW w:w="5689" w:type="dxa"/>
            <w:gridSpan w:val="6"/>
            <w:tcBorders>
              <w:top w:val="single" w:sz="4" w:space="0" w:color="auto"/>
              <w:bottom w:val="single" w:sz="4" w:space="0" w:color="000000" w:themeColor="text1"/>
            </w:tcBorders>
            <w:shd w:val="clear" w:color="auto" w:fill="0B4D2C" w:themeFill="background2" w:themeFillShade="BF"/>
            <w:vAlign w:val="center"/>
          </w:tcPr>
          <w:p w14:paraId="78B8D8E3" w14:textId="77777777" w:rsidR="00231AE4" w:rsidRPr="00F6205B" w:rsidRDefault="00231AE4" w:rsidP="004F23CF">
            <w:pPr>
              <w:keepNext/>
              <w:keepLines/>
              <w:spacing w:after="0"/>
              <w:jc w:val="center"/>
              <w:rPr>
                <w:b/>
                <w:sz w:val="20"/>
                <w:szCs w:val="20"/>
              </w:rPr>
            </w:pPr>
            <w:r w:rsidRPr="00F6205B">
              <w:rPr>
                <w:b/>
                <w:sz w:val="20"/>
                <w:szCs w:val="20"/>
              </w:rPr>
              <w:t>Annual Consumption</w:t>
            </w:r>
          </w:p>
        </w:tc>
        <w:tc>
          <w:tcPr>
            <w:tcW w:w="1260" w:type="dxa"/>
            <w:vMerge w:val="restart"/>
            <w:tcBorders>
              <w:top w:val="single" w:sz="4" w:space="0" w:color="auto"/>
              <w:right w:val="single" w:sz="4" w:space="0" w:color="auto"/>
            </w:tcBorders>
            <w:shd w:val="clear" w:color="auto" w:fill="0B4D2C" w:themeFill="background2" w:themeFillShade="BF"/>
            <w:vAlign w:val="center"/>
          </w:tcPr>
          <w:p w14:paraId="66657B9E" w14:textId="77777777" w:rsidR="00231AE4" w:rsidRPr="00F6205B" w:rsidRDefault="00231AE4" w:rsidP="004F23CF">
            <w:pPr>
              <w:keepNext/>
              <w:keepLines/>
              <w:spacing w:after="0"/>
              <w:jc w:val="center"/>
              <w:rPr>
                <w:b/>
                <w:sz w:val="20"/>
                <w:szCs w:val="20"/>
              </w:rPr>
            </w:pPr>
            <w:r w:rsidRPr="00F6205B">
              <w:rPr>
                <w:b/>
                <w:sz w:val="20"/>
                <w:szCs w:val="20"/>
              </w:rPr>
              <w:t>Difference in 10-Year Totals</w:t>
            </w:r>
            <w:r w:rsidRPr="00F6205B">
              <w:rPr>
                <w:b/>
                <w:sz w:val="20"/>
                <w:szCs w:val="20"/>
                <w:vertAlign w:val="superscript"/>
              </w:rPr>
              <w:t>*</w:t>
            </w:r>
          </w:p>
        </w:tc>
      </w:tr>
      <w:tr w:rsidR="00231AE4" w:rsidRPr="00F6205B" w14:paraId="6E436CAA" w14:textId="77777777" w:rsidTr="00D8337B">
        <w:trPr>
          <w:trHeight w:val="288"/>
          <w:jc w:val="center"/>
        </w:trPr>
        <w:tc>
          <w:tcPr>
            <w:tcW w:w="1997" w:type="dxa"/>
            <w:vMerge/>
            <w:tcBorders>
              <w:left w:val="single" w:sz="4" w:space="0" w:color="auto"/>
              <w:bottom w:val="single" w:sz="4" w:space="0" w:color="auto"/>
              <w:right w:val="single" w:sz="4" w:space="0" w:color="000000" w:themeColor="text1"/>
            </w:tcBorders>
            <w:vAlign w:val="center"/>
          </w:tcPr>
          <w:p w14:paraId="7B4BC389" w14:textId="77777777" w:rsidR="00231AE4" w:rsidRPr="00F6205B" w:rsidRDefault="00231AE4" w:rsidP="004F23CF">
            <w:pPr>
              <w:keepNext/>
              <w:keepLines/>
              <w:spacing w:after="0"/>
              <w:rPr>
                <w:b/>
                <w:sz w:val="20"/>
                <w:szCs w:val="20"/>
              </w:rPr>
            </w:pPr>
          </w:p>
        </w:tc>
        <w:tc>
          <w:tcPr>
            <w:tcW w:w="921" w:type="dxa"/>
            <w:tcBorders>
              <w:top w:val="single" w:sz="4" w:space="0" w:color="000000" w:themeColor="text1"/>
              <w:bottom w:val="single" w:sz="4" w:space="0" w:color="auto"/>
            </w:tcBorders>
            <w:shd w:val="clear" w:color="auto" w:fill="0B4D2C" w:themeFill="background2" w:themeFillShade="BF"/>
            <w:vAlign w:val="center"/>
          </w:tcPr>
          <w:p w14:paraId="249949FE" w14:textId="77777777" w:rsidR="00231AE4" w:rsidRPr="00F6205B" w:rsidRDefault="00231AE4" w:rsidP="004F23CF">
            <w:pPr>
              <w:keepNext/>
              <w:keepLines/>
              <w:spacing w:after="0"/>
              <w:jc w:val="center"/>
              <w:rPr>
                <w:b/>
                <w:sz w:val="18"/>
                <w:szCs w:val="20"/>
              </w:rPr>
            </w:pPr>
            <w:r w:rsidRPr="00F6205B">
              <w:rPr>
                <w:b/>
                <w:sz w:val="18"/>
                <w:szCs w:val="20"/>
              </w:rPr>
              <w:t>Current</w:t>
            </w:r>
          </w:p>
        </w:tc>
        <w:tc>
          <w:tcPr>
            <w:tcW w:w="900" w:type="dxa"/>
            <w:tcBorders>
              <w:top w:val="single" w:sz="4" w:space="0" w:color="000000" w:themeColor="text1"/>
              <w:bottom w:val="single" w:sz="4" w:space="0" w:color="auto"/>
            </w:tcBorders>
            <w:shd w:val="clear" w:color="auto" w:fill="0B4D2C" w:themeFill="background2" w:themeFillShade="BF"/>
            <w:vAlign w:val="center"/>
          </w:tcPr>
          <w:p w14:paraId="27B86C6B" w14:textId="77777777" w:rsidR="00231AE4" w:rsidRPr="00F6205B" w:rsidRDefault="00231AE4" w:rsidP="004F23CF">
            <w:pPr>
              <w:keepNext/>
              <w:keepLines/>
              <w:spacing w:after="0"/>
              <w:jc w:val="center"/>
              <w:rPr>
                <w:b/>
                <w:sz w:val="18"/>
                <w:szCs w:val="20"/>
              </w:rPr>
            </w:pPr>
            <w:r w:rsidRPr="00F6205B">
              <w:rPr>
                <w:b/>
                <w:sz w:val="18"/>
                <w:szCs w:val="20"/>
              </w:rPr>
              <w:t>Growth Rate</w:t>
            </w:r>
          </w:p>
        </w:tc>
        <w:tc>
          <w:tcPr>
            <w:tcW w:w="968" w:type="dxa"/>
            <w:tcBorders>
              <w:top w:val="single" w:sz="4" w:space="0" w:color="000000" w:themeColor="text1"/>
              <w:bottom w:val="single" w:sz="4" w:space="0" w:color="auto"/>
              <w:right w:val="single" w:sz="4" w:space="0" w:color="000000" w:themeColor="text1"/>
            </w:tcBorders>
            <w:shd w:val="clear" w:color="auto" w:fill="0B4D2C" w:themeFill="background2" w:themeFillShade="BF"/>
            <w:vAlign w:val="center"/>
          </w:tcPr>
          <w:p w14:paraId="692401DC" w14:textId="77777777" w:rsidR="00231AE4" w:rsidRPr="00F6205B" w:rsidRDefault="00231AE4" w:rsidP="004F23CF">
            <w:pPr>
              <w:keepNext/>
              <w:keepLines/>
              <w:spacing w:after="0"/>
              <w:jc w:val="center"/>
              <w:rPr>
                <w:b/>
                <w:sz w:val="20"/>
                <w:szCs w:val="20"/>
              </w:rPr>
            </w:pPr>
            <w:r w:rsidRPr="00F6205B">
              <w:rPr>
                <w:b/>
                <w:sz w:val="20"/>
                <w:szCs w:val="20"/>
              </w:rPr>
              <w:t>2.5 Years</w:t>
            </w:r>
          </w:p>
        </w:tc>
        <w:tc>
          <w:tcPr>
            <w:tcW w:w="990" w:type="dxa"/>
            <w:tcBorders>
              <w:top w:val="single" w:sz="4" w:space="0" w:color="000000" w:themeColor="text1"/>
              <w:bottom w:val="single" w:sz="4" w:space="0" w:color="auto"/>
            </w:tcBorders>
            <w:shd w:val="clear" w:color="auto" w:fill="0B4D2C" w:themeFill="background2" w:themeFillShade="BF"/>
            <w:vAlign w:val="center"/>
          </w:tcPr>
          <w:p w14:paraId="25684F95" w14:textId="77777777" w:rsidR="00231AE4" w:rsidRPr="00F6205B" w:rsidRDefault="00231AE4" w:rsidP="004F23CF">
            <w:pPr>
              <w:keepNext/>
              <w:keepLines/>
              <w:spacing w:after="0"/>
              <w:jc w:val="center"/>
              <w:rPr>
                <w:b/>
                <w:sz w:val="20"/>
                <w:szCs w:val="20"/>
              </w:rPr>
            </w:pPr>
            <w:r w:rsidRPr="00F6205B">
              <w:rPr>
                <w:b/>
                <w:sz w:val="20"/>
                <w:szCs w:val="20"/>
              </w:rPr>
              <w:t>5.0 Years</w:t>
            </w:r>
          </w:p>
        </w:tc>
        <w:tc>
          <w:tcPr>
            <w:tcW w:w="990" w:type="dxa"/>
            <w:tcBorders>
              <w:top w:val="single" w:sz="4" w:space="0" w:color="000000" w:themeColor="text1"/>
              <w:bottom w:val="single" w:sz="4" w:space="0" w:color="auto"/>
            </w:tcBorders>
            <w:shd w:val="clear" w:color="auto" w:fill="0B4D2C" w:themeFill="background2" w:themeFillShade="BF"/>
            <w:vAlign w:val="center"/>
          </w:tcPr>
          <w:p w14:paraId="2DC1C7DE" w14:textId="77777777" w:rsidR="00231AE4" w:rsidRPr="00F6205B" w:rsidRDefault="00231AE4" w:rsidP="004F23CF">
            <w:pPr>
              <w:keepNext/>
              <w:keepLines/>
              <w:spacing w:after="0"/>
              <w:jc w:val="center"/>
              <w:rPr>
                <w:b/>
                <w:sz w:val="20"/>
                <w:szCs w:val="20"/>
              </w:rPr>
            </w:pPr>
            <w:r w:rsidRPr="00F6205B">
              <w:rPr>
                <w:b/>
                <w:sz w:val="20"/>
                <w:szCs w:val="20"/>
              </w:rPr>
              <w:t>7.5 Years</w:t>
            </w:r>
          </w:p>
        </w:tc>
        <w:tc>
          <w:tcPr>
            <w:tcW w:w="920" w:type="dxa"/>
            <w:tcBorders>
              <w:top w:val="single" w:sz="4" w:space="0" w:color="000000" w:themeColor="text1"/>
              <w:bottom w:val="single" w:sz="4" w:space="0" w:color="auto"/>
            </w:tcBorders>
            <w:shd w:val="clear" w:color="auto" w:fill="0B4D2C" w:themeFill="background2" w:themeFillShade="BF"/>
            <w:vAlign w:val="center"/>
          </w:tcPr>
          <w:p w14:paraId="7E1D6716" w14:textId="77777777" w:rsidR="00231AE4" w:rsidRPr="00F6205B" w:rsidRDefault="00231AE4" w:rsidP="004F23CF">
            <w:pPr>
              <w:keepNext/>
              <w:keepLines/>
              <w:spacing w:after="0"/>
              <w:jc w:val="center"/>
              <w:rPr>
                <w:b/>
                <w:sz w:val="20"/>
                <w:szCs w:val="20"/>
              </w:rPr>
            </w:pPr>
            <w:r w:rsidRPr="00F6205B">
              <w:rPr>
                <w:b/>
                <w:sz w:val="20"/>
                <w:szCs w:val="20"/>
              </w:rPr>
              <w:t>10 Years</w:t>
            </w:r>
          </w:p>
        </w:tc>
        <w:tc>
          <w:tcPr>
            <w:tcW w:w="1260" w:type="dxa"/>
            <w:vMerge/>
            <w:tcBorders>
              <w:bottom w:val="single" w:sz="4" w:space="0" w:color="auto"/>
              <w:right w:val="single" w:sz="4" w:space="0" w:color="auto"/>
            </w:tcBorders>
            <w:vAlign w:val="center"/>
          </w:tcPr>
          <w:p w14:paraId="4908B638" w14:textId="77777777" w:rsidR="00231AE4" w:rsidRPr="00F6205B" w:rsidRDefault="00231AE4" w:rsidP="004F23CF">
            <w:pPr>
              <w:keepNext/>
              <w:keepLines/>
              <w:spacing w:after="0"/>
              <w:jc w:val="center"/>
              <w:rPr>
                <w:b/>
                <w:sz w:val="20"/>
                <w:szCs w:val="20"/>
              </w:rPr>
            </w:pPr>
          </w:p>
        </w:tc>
      </w:tr>
      <w:tr w:rsidR="00231AE4" w:rsidRPr="00F6205B" w14:paraId="1A5AA0E0" w14:textId="77777777" w:rsidTr="00D8337B">
        <w:trPr>
          <w:trHeight w:val="288"/>
          <w:jc w:val="center"/>
        </w:trPr>
        <w:tc>
          <w:tcPr>
            <w:tcW w:w="8946" w:type="dxa"/>
            <w:gridSpan w:val="8"/>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2BACAC4C" w14:textId="77777777" w:rsidR="00231AE4" w:rsidRPr="00F6205B" w:rsidRDefault="00231AE4" w:rsidP="004F23CF">
            <w:pPr>
              <w:keepNext/>
              <w:keepLines/>
              <w:spacing w:after="0"/>
              <w:jc w:val="center"/>
              <w:rPr>
                <w:b/>
                <w:color w:val="FFFFFF" w:themeColor="background1"/>
                <w:sz w:val="20"/>
                <w:szCs w:val="20"/>
              </w:rPr>
            </w:pPr>
            <w:r w:rsidRPr="00F6205B">
              <w:rPr>
                <w:b/>
                <w:color w:val="FFFFFF" w:themeColor="background1"/>
                <w:sz w:val="20"/>
                <w:szCs w:val="20"/>
              </w:rPr>
              <w:t>Fuel Oil Consumption (million gallons)</w:t>
            </w:r>
          </w:p>
        </w:tc>
      </w:tr>
      <w:tr w:rsidR="00231AE4" w:rsidRPr="00F6205B" w14:paraId="221A2DF8" w14:textId="77777777" w:rsidTr="00ED1A4B">
        <w:trPr>
          <w:trHeight w:val="288"/>
          <w:jc w:val="center"/>
        </w:trPr>
        <w:tc>
          <w:tcPr>
            <w:tcW w:w="1997" w:type="dxa"/>
            <w:tcBorders>
              <w:top w:val="single" w:sz="4" w:space="0" w:color="auto"/>
              <w:left w:val="single" w:sz="4" w:space="0" w:color="auto"/>
              <w:bottom w:val="single" w:sz="4" w:space="0" w:color="000000" w:themeColor="text1"/>
              <w:right w:val="single" w:sz="4" w:space="0" w:color="000000" w:themeColor="text1"/>
            </w:tcBorders>
            <w:vAlign w:val="center"/>
          </w:tcPr>
          <w:p w14:paraId="21DA6CDF" w14:textId="77777777" w:rsidR="00231AE4" w:rsidRPr="00F6205B" w:rsidRDefault="00231AE4" w:rsidP="004F23CF">
            <w:pPr>
              <w:keepNext/>
              <w:keepLines/>
              <w:spacing w:after="0"/>
              <w:rPr>
                <w:sz w:val="20"/>
                <w:szCs w:val="20"/>
              </w:rPr>
            </w:pPr>
            <w:r w:rsidRPr="00F6205B">
              <w:rPr>
                <w:sz w:val="20"/>
                <w:szCs w:val="20"/>
              </w:rPr>
              <w:t>No fuel switching</w:t>
            </w:r>
          </w:p>
        </w:tc>
        <w:tc>
          <w:tcPr>
            <w:tcW w:w="921" w:type="dxa"/>
            <w:vMerge w:val="restart"/>
            <w:tcBorders>
              <w:top w:val="single" w:sz="4" w:space="0" w:color="auto"/>
            </w:tcBorders>
            <w:vAlign w:val="center"/>
          </w:tcPr>
          <w:p w14:paraId="538F6307" w14:textId="77777777" w:rsidR="00231AE4" w:rsidRPr="00F6205B" w:rsidRDefault="00231AE4" w:rsidP="004F23CF">
            <w:pPr>
              <w:keepNext/>
              <w:keepLines/>
              <w:spacing w:after="0"/>
              <w:jc w:val="center"/>
              <w:rPr>
                <w:sz w:val="20"/>
                <w:szCs w:val="20"/>
              </w:rPr>
            </w:pPr>
            <w:r w:rsidRPr="00F6205B">
              <w:rPr>
                <w:sz w:val="20"/>
                <w:szCs w:val="20"/>
              </w:rPr>
              <w:t>527.6</w:t>
            </w:r>
          </w:p>
        </w:tc>
        <w:tc>
          <w:tcPr>
            <w:tcW w:w="900" w:type="dxa"/>
            <w:vMerge w:val="restart"/>
            <w:tcBorders>
              <w:top w:val="single" w:sz="4" w:space="0" w:color="auto"/>
            </w:tcBorders>
            <w:vAlign w:val="center"/>
          </w:tcPr>
          <w:p w14:paraId="3ED6F057" w14:textId="77777777" w:rsidR="00231AE4" w:rsidRPr="00F6205B" w:rsidRDefault="00231AE4" w:rsidP="004F23CF">
            <w:pPr>
              <w:keepNext/>
              <w:keepLines/>
              <w:spacing w:after="0"/>
              <w:jc w:val="center"/>
              <w:rPr>
                <w:i/>
                <w:sz w:val="20"/>
                <w:szCs w:val="20"/>
              </w:rPr>
            </w:pPr>
            <w:r w:rsidRPr="00F6205B">
              <w:rPr>
                <w:i/>
                <w:sz w:val="20"/>
                <w:szCs w:val="20"/>
              </w:rPr>
              <w:t>-2.1%</w:t>
            </w:r>
          </w:p>
        </w:tc>
        <w:tc>
          <w:tcPr>
            <w:tcW w:w="968" w:type="dxa"/>
            <w:tcBorders>
              <w:top w:val="single" w:sz="4" w:space="0" w:color="auto"/>
              <w:bottom w:val="single" w:sz="4" w:space="0" w:color="000000" w:themeColor="text1"/>
              <w:right w:val="single" w:sz="4" w:space="0" w:color="000000" w:themeColor="text1"/>
            </w:tcBorders>
            <w:vAlign w:val="center"/>
          </w:tcPr>
          <w:p w14:paraId="56CF098E" w14:textId="77777777" w:rsidR="00231AE4" w:rsidRPr="00F6205B" w:rsidRDefault="00231AE4" w:rsidP="004F23CF">
            <w:pPr>
              <w:keepNext/>
              <w:keepLines/>
              <w:spacing w:after="0"/>
              <w:jc w:val="center"/>
              <w:rPr>
                <w:sz w:val="20"/>
                <w:szCs w:val="20"/>
              </w:rPr>
            </w:pPr>
            <w:r w:rsidRPr="00F6205B">
              <w:rPr>
                <w:sz w:val="20"/>
                <w:szCs w:val="20"/>
              </w:rPr>
              <w:t>511.1</w:t>
            </w:r>
          </w:p>
        </w:tc>
        <w:tc>
          <w:tcPr>
            <w:tcW w:w="990" w:type="dxa"/>
            <w:tcBorders>
              <w:top w:val="single" w:sz="4" w:space="0" w:color="auto"/>
              <w:bottom w:val="single" w:sz="4" w:space="0" w:color="000000" w:themeColor="text1"/>
            </w:tcBorders>
            <w:vAlign w:val="center"/>
          </w:tcPr>
          <w:p w14:paraId="5FAE5F28" w14:textId="77777777" w:rsidR="00231AE4" w:rsidRPr="00F6205B" w:rsidRDefault="00231AE4" w:rsidP="004F23CF">
            <w:pPr>
              <w:keepNext/>
              <w:keepLines/>
              <w:spacing w:after="0"/>
              <w:jc w:val="center"/>
              <w:rPr>
                <w:sz w:val="20"/>
                <w:szCs w:val="20"/>
              </w:rPr>
            </w:pPr>
            <w:r w:rsidRPr="00F6205B">
              <w:rPr>
                <w:sz w:val="20"/>
                <w:szCs w:val="20"/>
              </w:rPr>
              <w:t>484.7</w:t>
            </w:r>
          </w:p>
        </w:tc>
        <w:tc>
          <w:tcPr>
            <w:tcW w:w="990" w:type="dxa"/>
            <w:tcBorders>
              <w:top w:val="single" w:sz="4" w:space="0" w:color="auto"/>
              <w:bottom w:val="single" w:sz="4" w:space="0" w:color="000000" w:themeColor="text1"/>
            </w:tcBorders>
            <w:vAlign w:val="center"/>
          </w:tcPr>
          <w:p w14:paraId="3F8561D1" w14:textId="77777777" w:rsidR="00231AE4" w:rsidRPr="00F6205B" w:rsidRDefault="00231AE4" w:rsidP="004F23CF">
            <w:pPr>
              <w:keepNext/>
              <w:keepLines/>
              <w:spacing w:after="0"/>
              <w:jc w:val="center"/>
              <w:rPr>
                <w:sz w:val="20"/>
                <w:szCs w:val="20"/>
              </w:rPr>
            </w:pPr>
            <w:r w:rsidRPr="00F6205B">
              <w:rPr>
                <w:sz w:val="20"/>
                <w:szCs w:val="20"/>
              </w:rPr>
              <w:t>459.7</w:t>
            </w:r>
          </w:p>
        </w:tc>
        <w:tc>
          <w:tcPr>
            <w:tcW w:w="920" w:type="dxa"/>
            <w:tcBorders>
              <w:top w:val="single" w:sz="4" w:space="0" w:color="auto"/>
              <w:bottom w:val="single" w:sz="4" w:space="0" w:color="000000" w:themeColor="text1"/>
            </w:tcBorders>
            <w:vAlign w:val="center"/>
          </w:tcPr>
          <w:p w14:paraId="7B06520F" w14:textId="77777777" w:rsidR="00231AE4" w:rsidRPr="00F6205B" w:rsidRDefault="00231AE4" w:rsidP="004F23CF">
            <w:pPr>
              <w:keepNext/>
              <w:keepLines/>
              <w:spacing w:after="0"/>
              <w:jc w:val="center"/>
              <w:rPr>
                <w:sz w:val="20"/>
                <w:szCs w:val="20"/>
              </w:rPr>
            </w:pPr>
            <w:r w:rsidRPr="00F6205B">
              <w:rPr>
                <w:sz w:val="20"/>
                <w:szCs w:val="20"/>
              </w:rPr>
              <w:t>435.9</w:t>
            </w:r>
          </w:p>
        </w:tc>
        <w:tc>
          <w:tcPr>
            <w:tcW w:w="1260" w:type="dxa"/>
            <w:tcBorders>
              <w:top w:val="single" w:sz="4" w:space="0" w:color="auto"/>
              <w:bottom w:val="single" w:sz="4" w:space="0" w:color="000000" w:themeColor="text1"/>
              <w:right w:val="single" w:sz="4" w:space="0" w:color="auto"/>
            </w:tcBorders>
            <w:vAlign w:val="center"/>
          </w:tcPr>
          <w:p w14:paraId="3C870010" w14:textId="77777777" w:rsidR="00231AE4" w:rsidRPr="00F6205B" w:rsidRDefault="00231AE4" w:rsidP="004F23CF">
            <w:pPr>
              <w:keepNext/>
              <w:keepLines/>
              <w:spacing w:after="0"/>
              <w:jc w:val="center"/>
              <w:rPr>
                <w:sz w:val="20"/>
                <w:szCs w:val="20"/>
              </w:rPr>
            </w:pPr>
            <w:r w:rsidRPr="00F6205B">
              <w:rPr>
                <w:sz w:val="20"/>
                <w:szCs w:val="20"/>
              </w:rPr>
              <w:t>-</w:t>
            </w:r>
          </w:p>
        </w:tc>
      </w:tr>
      <w:tr w:rsidR="00231AE4" w:rsidRPr="00F6205B" w14:paraId="04872807" w14:textId="77777777" w:rsidTr="00ED1A4B">
        <w:trPr>
          <w:trHeight w:val="288"/>
          <w:jc w:val="center"/>
        </w:trPr>
        <w:tc>
          <w:tcPr>
            <w:tcW w:w="199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16259DC" w14:textId="77777777" w:rsidR="00231AE4" w:rsidRPr="00F6205B" w:rsidRDefault="00231AE4" w:rsidP="004F23CF">
            <w:pPr>
              <w:keepNext/>
              <w:keepLines/>
              <w:spacing w:after="0"/>
              <w:rPr>
                <w:sz w:val="20"/>
                <w:szCs w:val="20"/>
              </w:rPr>
            </w:pPr>
            <w:r w:rsidRPr="00F6205B">
              <w:rPr>
                <w:sz w:val="20"/>
                <w:szCs w:val="20"/>
              </w:rPr>
              <w:t>25% Uptake</w:t>
            </w:r>
          </w:p>
        </w:tc>
        <w:tc>
          <w:tcPr>
            <w:tcW w:w="921" w:type="dxa"/>
            <w:vMerge/>
            <w:vAlign w:val="center"/>
          </w:tcPr>
          <w:p w14:paraId="151E33CD" w14:textId="77777777" w:rsidR="00231AE4" w:rsidRPr="00F6205B" w:rsidRDefault="00231AE4" w:rsidP="004F23CF">
            <w:pPr>
              <w:keepNext/>
              <w:keepLines/>
              <w:spacing w:after="0"/>
              <w:jc w:val="center"/>
              <w:rPr>
                <w:sz w:val="20"/>
                <w:szCs w:val="20"/>
              </w:rPr>
            </w:pPr>
          </w:p>
        </w:tc>
        <w:tc>
          <w:tcPr>
            <w:tcW w:w="900" w:type="dxa"/>
            <w:vMerge/>
            <w:vAlign w:val="center"/>
          </w:tcPr>
          <w:p w14:paraId="42B60202" w14:textId="77777777" w:rsidR="00231AE4" w:rsidRPr="00F6205B" w:rsidRDefault="00231AE4" w:rsidP="004F23CF">
            <w:pPr>
              <w:keepNext/>
              <w:keepLines/>
              <w:spacing w:after="0"/>
              <w:jc w:val="center"/>
              <w:rPr>
                <w:sz w:val="20"/>
                <w:szCs w:val="20"/>
              </w:rPr>
            </w:pPr>
          </w:p>
        </w:tc>
        <w:tc>
          <w:tcPr>
            <w:tcW w:w="968" w:type="dxa"/>
            <w:tcBorders>
              <w:top w:val="single" w:sz="4" w:space="0" w:color="000000" w:themeColor="text1"/>
              <w:bottom w:val="single" w:sz="4" w:space="0" w:color="000000" w:themeColor="text1"/>
              <w:right w:val="single" w:sz="4" w:space="0" w:color="000000" w:themeColor="text1"/>
            </w:tcBorders>
            <w:vAlign w:val="center"/>
          </w:tcPr>
          <w:p w14:paraId="5B77EBF4" w14:textId="77777777" w:rsidR="00231AE4" w:rsidRPr="00F6205B" w:rsidRDefault="00231AE4" w:rsidP="004F23CF">
            <w:pPr>
              <w:keepNext/>
              <w:keepLines/>
              <w:spacing w:after="0"/>
              <w:jc w:val="center"/>
              <w:rPr>
                <w:sz w:val="20"/>
                <w:szCs w:val="20"/>
              </w:rPr>
            </w:pPr>
            <w:r w:rsidRPr="00F6205B">
              <w:rPr>
                <w:sz w:val="20"/>
                <w:szCs w:val="20"/>
              </w:rPr>
              <w:t>484.3</w:t>
            </w:r>
          </w:p>
        </w:tc>
        <w:tc>
          <w:tcPr>
            <w:tcW w:w="990" w:type="dxa"/>
            <w:tcBorders>
              <w:top w:val="single" w:sz="4" w:space="0" w:color="000000" w:themeColor="text1"/>
              <w:bottom w:val="single" w:sz="4" w:space="0" w:color="000000" w:themeColor="text1"/>
            </w:tcBorders>
            <w:vAlign w:val="center"/>
          </w:tcPr>
          <w:p w14:paraId="22A3D8B1" w14:textId="77777777" w:rsidR="00231AE4" w:rsidRPr="00F6205B" w:rsidRDefault="00231AE4" w:rsidP="004F23CF">
            <w:pPr>
              <w:keepNext/>
              <w:keepLines/>
              <w:spacing w:after="0"/>
              <w:jc w:val="center"/>
              <w:rPr>
                <w:sz w:val="20"/>
                <w:szCs w:val="20"/>
              </w:rPr>
            </w:pPr>
            <w:r w:rsidRPr="00F6205B">
              <w:rPr>
                <w:sz w:val="20"/>
                <w:szCs w:val="20"/>
              </w:rPr>
              <w:t>433.8</w:t>
            </w:r>
          </w:p>
        </w:tc>
        <w:tc>
          <w:tcPr>
            <w:tcW w:w="990" w:type="dxa"/>
            <w:tcBorders>
              <w:top w:val="single" w:sz="4" w:space="0" w:color="000000" w:themeColor="text1"/>
              <w:bottom w:val="single" w:sz="4" w:space="0" w:color="000000" w:themeColor="text1"/>
            </w:tcBorders>
            <w:vAlign w:val="center"/>
          </w:tcPr>
          <w:p w14:paraId="02BCCB1B" w14:textId="77777777" w:rsidR="00231AE4" w:rsidRPr="00F6205B" w:rsidRDefault="00231AE4" w:rsidP="004F23CF">
            <w:pPr>
              <w:keepNext/>
              <w:keepLines/>
              <w:spacing w:after="0"/>
              <w:jc w:val="center"/>
              <w:rPr>
                <w:sz w:val="20"/>
                <w:szCs w:val="20"/>
              </w:rPr>
            </w:pPr>
            <w:r w:rsidRPr="00F6205B">
              <w:rPr>
                <w:sz w:val="20"/>
                <w:szCs w:val="20"/>
              </w:rPr>
              <w:t>387.3</w:t>
            </w:r>
          </w:p>
        </w:tc>
        <w:tc>
          <w:tcPr>
            <w:tcW w:w="920" w:type="dxa"/>
            <w:tcBorders>
              <w:top w:val="single" w:sz="4" w:space="0" w:color="000000" w:themeColor="text1"/>
              <w:bottom w:val="single" w:sz="4" w:space="0" w:color="000000" w:themeColor="text1"/>
            </w:tcBorders>
            <w:vAlign w:val="center"/>
          </w:tcPr>
          <w:p w14:paraId="1FC88541" w14:textId="77777777" w:rsidR="00231AE4" w:rsidRPr="00F6205B" w:rsidRDefault="00231AE4" w:rsidP="004F23CF">
            <w:pPr>
              <w:keepNext/>
              <w:keepLines/>
              <w:spacing w:after="0"/>
              <w:jc w:val="center"/>
              <w:rPr>
                <w:sz w:val="20"/>
                <w:szCs w:val="20"/>
              </w:rPr>
            </w:pPr>
            <w:r w:rsidRPr="00F6205B">
              <w:rPr>
                <w:sz w:val="20"/>
                <w:szCs w:val="20"/>
              </w:rPr>
              <w:t>344.4</w:t>
            </w:r>
          </w:p>
        </w:tc>
        <w:tc>
          <w:tcPr>
            <w:tcW w:w="1260" w:type="dxa"/>
            <w:tcBorders>
              <w:top w:val="single" w:sz="4" w:space="0" w:color="000000" w:themeColor="text1"/>
              <w:bottom w:val="single" w:sz="4" w:space="0" w:color="000000" w:themeColor="text1"/>
              <w:right w:val="single" w:sz="4" w:space="0" w:color="auto"/>
            </w:tcBorders>
            <w:vAlign w:val="center"/>
          </w:tcPr>
          <w:p w14:paraId="6AACDC2A" w14:textId="77777777" w:rsidR="00231AE4" w:rsidRPr="00F6205B" w:rsidRDefault="00231AE4" w:rsidP="004F23CF">
            <w:pPr>
              <w:keepNext/>
              <w:keepLines/>
              <w:spacing w:after="0"/>
              <w:jc w:val="center"/>
              <w:rPr>
                <w:sz w:val="20"/>
                <w:szCs w:val="20"/>
              </w:rPr>
            </w:pPr>
            <w:r w:rsidRPr="00F6205B">
              <w:rPr>
                <w:sz w:val="20"/>
                <w:szCs w:val="20"/>
              </w:rPr>
              <w:t>- 537.2</w:t>
            </w:r>
          </w:p>
        </w:tc>
      </w:tr>
      <w:tr w:rsidR="00231AE4" w:rsidRPr="00F6205B" w14:paraId="12C5EF5D" w14:textId="77777777" w:rsidTr="00ED1A4B">
        <w:trPr>
          <w:trHeight w:val="288"/>
          <w:jc w:val="center"/>
        </w:trPr>
        <w:tc>
          <w:tcPr>
            <w:tcW w:w="199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017562E" w14:textId="77777777" w:rsidR="00231AE4" w:rsidRPr="00F6205B" w:rsidRDefault="00231AE4" w:rsidP="004F23CF">
            <w:pPr>
              <w:keepNext/>
              <w:keepLines/>
              <w:spacing w:after="0"/>
              <w:rPr>
                <w:sz w:val="20"/>
                <w:szCs w:val="20"/>
              </w:rPr>
            </w:pPr>
            <w:r w:rsidRPr="00F6205B">
              <w:rPr>
                <w:sz w:val="20"/>
                <w:szCs w:val="20"/>
              </w:rPr>
              <w:t>50% Uptake</w:t>
            </w:r>
          </w:p>
        </w:tc>
        <w:tc>
          <w:tcPr>
            <w:tcW w:w="921" w:type="dxa"/>
            <w:vMerge/>
            <w:vAlign w:val="center"/>
          </w:tcPr>
          <w:p w14:paraId="2A52010C" w14:textId="77777777" w:rsidR="00231AE4" w:rsidRPr="00F6205B" w:rsidRDefault="00231AE4" w:rsidP="004F23CF">
            <w:pPr>
              <w:keepNext/>
              <w:keepLines/>
              <w:spacing w:after="0"/>
              <w:jc w:val="center"/>
              <w:rPr>
                <w:sz w:val="20"/>
                <w:szCs w:val="20"/>
              </w:rPr>
            </w:pPr>
          </w:p>
        </w:tc>
        <w:tc>
          <w:tcPr>
            <w:tcW w:w="900" w:type="dxa"/>
            <w:vMerge/>
            <w:vAlign w:val="center"/>
          </w:tcPr>
          <w:p w14:paraId="26FEF723" w14:textId="77777777" w:rsidR="00231AE4" w:rsidRPr="00F6205B" w:rsidRDefault="00231AE4" w:rsidP="004F23CF">
            <w:pPr>
              <w:keepNext/>
              <w:keepLines/>
              <w:spacing w:after="0"/>
              <w:jc w:val="center"/>
              <w:rPr>
                <w:sz w:val="20"/>
                <w:szCs w:val="20"/>
              </w:rPr>
            </w:pPr>
          </w:p>
        </w:tc>
        <w:tc>
          <w:tcPr>
            <w:tcW w:w="968" w:type="dxa"/>
            <w:tcBorders>
              <w:top w:val="single" w:sz="4" w:space="0" w:color="000000" w:themeColor="text1"/>
              <w:bottom w:val="single" w:sz="4" w:space="0" w:color="000000" w:themeColor="text1"/>
              <w:right w:val="single" w:sz="4" w:space="0" w:color="000000" w:themeColor="text1"/>
            </w:tcBorders>
            <w:vAlign w:val="center"/>
          </w:tcPr>
          <w:p w14:paraId="1E5BC206" w14:textId="77777777" w:rsidR="00231AE4" w:rsidRPr="00F6205B" w:rsidRDefault="00231AE4" w:rsidP="004F23CF">
            <w:pPr>
              <w:keepNext/>
              <w:keepLines/>
              <w:spacing w:after="0"/>
              <w:jc w:val="center"/>
              <w:rPr>
                <w:sz w:val="20"/>
                <w:szCs w:val="20"/>
              </w:rPr>
            </w:pPr>
            <w:r w:rsidRPr="00F6205B">
              <w:rPr>
                <w:sz w:val="20"/>
                <w:szCs w:val="20"/>
              </w:rPr>
              <w:t>457.5</w:t>
            </w:r>
          </w:p>
        </w:tc>
        <w:tc>
          <w:tcPr>
            <w:tcW w:w="990" w:type="dxa"/>
            <w:tcBorders>
              <w:top w:val="single" w:sz="4" w:space="0" w:color="000000" w:themeColor="text1"/>
              <w:bottom w:val="single" w:sz="4" w:space="0" w:color="000000" w:themeColor="text1"/>
            </w:tcBorders>
            <w:vAlign w:val="center"/>
          </w:tcPr>
          <w:p w14:paraId="412F1E85" w14:textId="77777777" w:rsidR="00231AE4" w:rsidRPr="00F6205B" w:rsidRDefault="00231AE4" w:rsidP="004F23CF">
            <w:pPr>
              <w:keepNext/>
              <w:keepLines/>
              <w:spacing w:after="0"/>
              <w:jc w:val="center"/>
              <w:rPr>
                <w:sz w:val="20"/>
                <w:szCs w:val="20"/>
              </w:rPr>
            </w:pPr>
            <w:r w:rsidRPr="00F6205B">
              <w:rPr>
                <w:sz w:val="20"/>
                <w:szCs w:val="20"/>
              </w:rPr>
              <w:t>382.9</w:t>
            </w:r>
          </w:p>
        </w:tc>
        <w:tc>
          <w:tcPr>
            <w:tcW w:w="990" w:type="dxa"/>
            <w:tcBorders>
              <w:top w:val="single" w:sz="4" w:space="0" w:color="000000" w:themeColor="text1"/>
              <w:bottom w:val="single" w:sz="4" w:space="0" w:color="000000" w:themeColor="text1"/>
            </w:tcBorders>
            <w:vAlign w:val="center"/>
          </w:tcPr>
          <w:p w14:paraId="47B2B2F3" w14:textId="77777777" w:rsidR="00231AE4" w:rsidRPr="00F6205B" w:rsidRDefault="00231AE4" w:rsidP="004F23CF">
            <w:pPr>
              <w:keepNext/>
              <w:keepLines/>
              <w:spacing w:after="0"/>
              <w:jc w:val="center"/>
              <w:rPr>
                <w:sz w:val="20"/>
                <w:szCs w:val="20"/>
              </w:rPr>
            </w:pPr>
            <w:r w:rsidRPr="00F6205B">
              <w:rPr>
                <w:sz w:val="20"/>
                <w:szCs w:val="20"/>
              </w:rPr>
              <w:t>314.9</w:t>
            </w:r>
          </w:p>
        </w:tc>
        <w:tc>
          <w:tcPr>
            <w:tcW w:w="920" w:type="dxa"/>
            <w:tcBorders>
              <w:top w:val="single" w:sz="4" w:space="0" w:color="000000" w:themeColor="text1"/>
              <w:bottom w:val="single" w:sz="4" w:space="0" w:color="000000" w:themeColor="text1"/>
            </w:tcBorders>
            <w:vAlign w:val="center"/>
          </w:tcPr>
          <w:p w14:paraId="2D87FDED" w14:textId="77777777" w:rsidR="00231AE4" w:rsidRPr="00F6205B" w:rsidRDefault="00231AE4" w:rsidP="004F23CF">
            <w:pPr>
              <w:keepNext/>
              <w:keepLines/>
              <w:spacing w:after="0"/>
              <w:jc w:val="center"/>
              <w:rPr>
                <w:sz w:val="20"/>
                <w:szCs w:val="20"/>
              </w:rPr>
            </w:pPr>
            <w:r w:rsidRPr="00F6205B">
              <w:rPr>
                <w:sz w:val="20"/>
                <w:szCs w:val="20"/>
              </w:rPr>
              <w:t>252.8</w:t>
            </w:r>
          </w:p>
        </w:tc>
        <w:tc>
          <w:tcPr>
            <w:tcW w:w="1260" w:type="dxa"/>
            <w:tcBorders>
              <w:top w:val="single" w:sz="4" w:space="0" w:color="000000" w:themeColor="text1"/>
              <w:bottom w:val="single" w:sz="4" w:space="0" w:color="000000" w:themeColor="text1"/>
              <w:right w:val="single" w:sz="4" w:space="0" w:color="auto"/>
            </w:tcBorders>
            <w:vAlign w:val="center"/>
          </w:tcPr>
          <w:p w14:paraId="55254B48" w14:textId="77777777" w:rsidR="00231AE4" w:rsidRPr="00F6205B" w:rsidRDefault="00231AE4" w:rsidP="004F23CF">
            <w:pPr>
              <w:keepNext/>
              <w:keepLines/>
              <w:spacing w:after="0"/>
              <w:jc w:val="center"/>
              <w:rPr>
                <w:sz w:val="20"/>
                <w:szCs w:val="20"/>
              </w:rPr>
            </w:pPr>
            <w:r w:rsidRPr="00F6205B">
              <w:rPr>
                <w:sz w:val="20"/>
                <w:szCs w:val="20"/>
              </w:rPr>
              <w:t>- 1,074.3</w:t>
            </w:r>
          </w:p>
        </w:tc>
      </w:tr>
      <w:tr w:rsidR="00231AE4" w:rsidRPr="00F6205B" w14:paraId="3B655DA1" w14:textId="77777777" w:rsidTr="00ED1A4B">
        <w:trPr>
          <w:trHeight w:val="288"/>
          <w:jc w:val="center"/>
        </w:trPr>
        <w:tc>
          <w:tcPr>
            <w:tcW w:w="199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E7C6CF8" w14:textId="77777777" w:rsidR="00231AE4" w:rsidRPr="00F6205B" w:rsidRDefault="00231AE4" w:rsidP="004F23CF">
            <w:pPr>
              <w:keepNext/>
              <w:keepLines/>
              <w:spacing w:after="0"/>
              <w:rPr>
                <w:sz w:val="20"/>
                <w:szCs w:val="20"/>
              </w:rPr>
            </w:pPr>
            <w:r w:rsidRPr="00F6205B">
              <w:rPr>
                <w:sz w:val="20"/>
                <w:szCs w:val="20"/>
              </w:rPr>
              <w:t>75% Uptake</w:t>
            </w:r>
          </w:p>
        </w:tc>
        <w:tc>
          <w:tcPr>
            <w:tcW w:w="921" w:type="dxa"/>
            <w:vMerge/>
            <w:vAlign w:val="center"/>
          </w:tcPr>
          <w:p w14:paraId="166D4A0D" w14:textId="77777777" w:rsidR="00231AE4" w:rsidRPr="00F6205B" w:rsidRDefault="00231AE4" w:rsidP="004F23CF">
            <w:pPr>
              <w:keepNext/>
              <w:keepLines/>
              <w:spacing w:after="0"/>
              <w:jc w:val="center"/>
              <w:rPr>
                <w:sz w:val="20"/>
                <w:szCs w:val="20"/>
              </w:rPr>
            </w:pPr>
          </w:p>
        </w:tc>
        <w:tc>
          <w:tcPr>
            <w:tcW w:w="900" w:type="dxa"/>
            <w:vMerge/>
            <w:vAlign w:val="center"/>
          </w:tcPr>
          <w:p w14:paraId="79BE9409" w14:textId="77777777" w:rsidR="00231AE4" w:rsidRPr="00F6205B" w:rsidRDefault="00231AE4" w:rsidP="004F23CF">
            <w:pPr>
              <w:keepNext/>
              <w:keepLines/>
              <w:spacing w:after="0"/>
              <w:jc w:val="center"/>
              <w:rPr>
                <w:sz w:val="20"/>
                <w:szCs w:val="20"/>
              </w:rPr>
            </w:pPr>
          </w:p>
        </w:tc>
        <w:tc>
          <w:tcPr>
            <w:tcW w:w="968" w:type="dxa"/>
            <w:tcBorders>
              <w:top w:val="single" w:sz="4" w:space="0" w:color="000000" w:themeColor="text1"/>
              <w:bottom w:val="single" w:sz="4" w:space="0" w:color="000000" w:themeColor="text1"/>
              <w:right w:val="single" w:sz="4" w:space="0" w:color="000000" w:themeColor="text1"/>
            </w:tcBorders>
            <w:vAlign w:val="center"/>
          </w:tcPr>
          <w:p w14:paraId="1F4209C5" w14:textId="77777777" w:rsidR="00231AE4" w:rsidRPr="00F6205B" w:rsidRDefault="00231AE4" w:rsidP="004F23CF">
            <w:pPr>
              <w:keepNext/>
              <w:keepLines/>
              <w:spacing w:after="0"/>
              <w:jc w:val="center"/>
              <w:rPr>
                <w:sz w:val="20"/>
                <w:szCs w:val="20"/>
              </w:rPr>
            </w:pPr>
            <w:r w:rsidRPr="00F6205B">
              <w:rPr>
                <w:sz w:val="20"/>
                <w:szCs w:val="20"/>
              </w:rPr>
              <w:t>430.6</w:t>
            </w:r>
          </w:p>
        </w:tc>
        <w:tc>
          <w:tcPr>
            <w:tcW w:w="990" w:type="dxa"/>
            <w:tcBorders>
              <w:top w:val="single" w:sz="4" w:space="0" w:color="000000" w:themeColor="text1"/>
              <w:bottom w:val="single" w:sz="4" w:space="0" w:color="000000" w:themeColor="text1"/>
            </w:tcBorders>
            <w:vAlign w:val="center"/>
          </w:tcPr>
          <w:p w14:paraId="437D7EA4" w14:textId="77777777" w:rsidR="00231AE4" w:rsidRPr="00F6205B" w:rsidRDefault="00231AE4" w:rsidP="004F23CF">
            <w:pPr>
              <w:keepNext/>
              <w:keepLines/>
              <w:spacing w:after="0"/>
              <w:jc w:val="center"/>
              <w:rPr>
                <w:sz w:val="20"/>
                <w:szCs w:val="20"/>
              </w:rPr>
            </w:pPr>
            <w:r w:rsidRPr="00F6205B">
              <w:rPr>
                <w:sz w:val="20"/>
                <w:szCs w:val="20"/>
              </w:rPr>
              <w:t>332.0</w:t>
            </w:r>
          </w:p>
        </w:tc>
        <w:tc>
          <w:tcPr>
            <w:tcW w:w="990" w:type="dxa"/>
            <w:tcBorders>
              <w:top w:val="single" w:sz="4" w:space="0" w:color="000000" w:themeColor="text1"/>
              <w:bottom w:val="single" w:sz="4" w:space="0" w:color="000000" w:themeColor="text1"/>
            </w:tcBorders>
            <w:vAlign w:val="center"/>
          </w:tcPr>
          <w:p w14:paraId="40703CA2" w14:textId="77777777" w:rsidR="00231AE4" w:rsidRPr="00F6205B" w:rsidRDefault="00231AE4" w:rsidP="004F23CF">
            <w:pPr>
              <w:keepNext/>
              <w:keepLines/>
              <w:spacing w:after="0"/>
              <w:jc w:val="center"/>
              <w:rPr>
                <w:sz w:val="20"/>
                <w:szCs w:val="20"/>
              </w:rPr>
            </w:pPr>
            <w:r w:rsidRPr="00F6205B">
              <w:rPr>
                <w:sz w:val="20"/>
                <w:szCs w:val="20"/>
              </w:rPr>
              <w:t>242.5</w:t>
            </w:r>
          </w:p>
        </w:tc>
        <w:tc>
          <w:tcPr>
            <w:tcW w:w="920" w:type="dxa"/>
            <w:tcBorders>
              <w:top w:val="single" w:sz="4" w:space="0" w:color="000000" w:themeColor="text1"/>
              <w:bottom w:val="single" w:sz="4" w:space="0" w:color="000000" w:themeColor="text1"/>
            </w:tcBorders>
            <w:vAlign w:val="center"/>
          </w:tcPr>
          <w:p w14:paraId="2CD2F1A3" w14:textId="77777777" w:rsidR="00231AE4" w:rsidRPr="00F6205B" w:rsidRDefault="00231AE4" w:rsidP="004F23CF">
            <w:pPr>
              <w:keepNext/>
              <w:keepLines/>
              <w:spacing w:after="0"/>
              <w:jc w:val="center"/>
              <w:rPr>
                <w:sz w:val="20"/>
                <w:szCs w:val="20"/>
              </w:rPr>
            </w:pPr>
            <w:r w:rsidRPr="00F6205B">
              <w:rPr>
                <w:sz w:val="20"/>
                <w:szCs w:val="20"/>
              </w:rPr>
              <w:t>161.3</w:t>
            </w:r>
          </w:p>
        </w:tc>
        <w:tc>
          <w:tcPr>
            <w:tcW w:w="1260" w:type="dxa"/>
            <w:tcBorders>
              <w:top w:val="single" w:sz="4" w:space="0" w:color="000000" w:themeColor="text1"/>
              <w:bottom w:val="single" w:sz="4" w:space="0" w:color="000000" w:themeColor="text1"/>
              <w:right w:val="single" w:sz="4" w:space="0" w:color="auto"/>
            </w:tcBorders>
            <w:vAlign w:val="center"/>
          </w:tcPr>
          <w:p w14:paraId="338CCB70" w14:textId="77777777" w:rsidR="00231AE4" w:rsidRPr="00F6205B" w:rsidRDefault="00231AE4" w:rsidP="004F23CF">
            <w:pPr>
              <w:keepNext/>
              <w:keepLines/>
              <w:spacing w:after="0"/>
              <w:jc w:val="center"/>
              <w:rPr>
                <w:sz w:val="20"/>
                <w:szCs w:val="20"/>
              </w:rPr>
            </w:pPr>
            <w:r w:rsidRPr="00F6205B">
              <w:rPr>
                <w:sz w:val="20"/>
                <w:szCs w:val="20"/>
              </w:rPr>
              <w:t>- 1,611.5</w:t>
            </w:r>
          </w:p>
        </w:tc>
      </w:tr>
      <w:tr w:rsidR="00231AE4" w:rsidRPr="00F6205B" w14:paraId="7CEE92DE" w14:textId="77777777" w:rsidTr="00ED1A4B">
        <w:trPr>
          <w:trHeight w:val="288"/>
          <w:jc w:val="center"/>
        </w:trPr>
        <w:tc>
          <w:tcPr>
            <w:tcW w:w="1997" w:type="dxa"/>
            <w:tcBorders>
              <w:top w:val="single" w:sz="4" w:space="0" w:color="000000" w:themeColor="text1"/>
              <w:left w:val="single" w:sz="4" w:space="0" w:color="auto"/>
              <w:bottom w:val="single" w:sz="4" w:space="0" w:color="auto"/>
              <w:right w:val="single" w:sz="4" w:space="0" w:color="000000" w:themeColor="text1"/>
            </w:tcBorders>
            <w:vAlign w:val="center"/>
          </w:tcPr>
          <w:p w14:paraId="3AC5D071" w14:textId="77777777" w:rsidR="00231AE4" w:rsidRPr="00F6205B" w:rsidRDefault="00231AE4" w:rsidP="004F23CF">
            <w:pPr>
              <w:keepNext/>
              <w:keepLines/>
              <w:spacing w:after="0"/>
              <w:rPr>
                <w:sz w:val="20"/>
                <w:szCs w:val="20"/>
              </w:rPr>
            </w:pPr>
            <w:r w:rsidRPr="00F6205B">
              <w:rPr>
                <w:sz w:val="20"/>
                <w:szCs w:val="20"/>
              </w:rPr>
              <w:t>100% Uptake</w:t>
            </w:r>
          </w:p>
        </w:tc>
        <w:tc>
          <w:tcPr>
            <w:tcW w:w="921" w:type="dxa"/>
            <w:vMerge/>
            <w:tcBorders>
              <w:bottom w:val="single" w:sz="4" w:space="0" w:color="auto"/>
            </w:tcBorders>
            <w:vAlign w:val="center"/>
          </w:tcPr>
          <w:p w14:paraId="51DA488E" w14:textId="77777777" w:rsidR="00231AE4" w:rsidRPr="00F6205B" w:rsidRDefault="00231AE4" w:rsidP="004F23CF">
            <w:pPr>
              <w:keepNext/>
              <w:keepLines/>
              <w:spacing w:after="0"/>
              <w:jc w:val="center"/>
              <w:rPr>
                <w:sz w:val="20"/>
                <w:szCs w:val="20"/>
              </w:rPr>
            </w:pPr>
          </w:p>
        </w:tc>
        <w:tc>
          <w:tcPr>
            <w:tcW w:w="900" w:type="dxa"/>
            <w:vMerge/>
            <w:tcBorders>
              <w:bottom w:val="single" w:sz="4" w:space="0" w:color="auto"/>
            </w:tcBorders>
            <w:vAlign w:val="center"/>
          </w:tcPr>
          <w:p w14:paraId="3E1E50B2" w14:textId="77777777" w:rsidR="00231AE4" w:rsidRPr="00F6205B" w:rsidRDefault="00231AE4" w:rsidP="004F23CF">
            <w:pPr>
              <w:keepNext/>
              <w:keepLines/>
              <w:spacing w:after="0"/>
              <w:jc w:val="center"/>
              <w:rPr>
                <w:sz w:val="20"/>
                <w:szCs w:val="20"/>
              </w:rPr>
            </w:pPr>
          </w:p>
        </w:tc>
        <w:tc>
          <w:tcPr>
            <w:tcW w:w="968" w:type="dxa"/>
            <w:tcBorders>
              <w:top w:val="single" w:sz="4" w:space="0" w:color="000000" w:themeColor="text1"/>
              <w:bottom w:val="single" w:sz="4" w:space="0" w:color="auto"/>
              <w:right w:val="single" w:sz="4" w:space="0" w:color="000000" w:themeColor="text1"/>
            </w:tcBorders>
            <w:vAlign w:val="center"/>
          </w:tcPr>
          <w:p w14:paraId="2C0A7FBA" w14:textId="77777777" w:rsidR="00231AE4" w:rsidRPr="00F6205B" w:rsidRDefault="00231AE4" w:rsidP="004F23CF">
            <w:pPr>
              <w:keepNext/>
              <w:keepLines/>
              <w:spacing w:after="0"/>
              <w:jc w:val="center"/>
              <w:rPr>
                <w:sz w:val="20"/>
                <w:szCs w:val="20"/>
              </w:rPr>
            </w:pPr>
            <w:r w:rsidRPr="00F6205B">
              <w:rPr>
                <w:sz w:val="20"/>
                <w:szCs w:val="20"/>
              </w:rPr>
              <w:t>403.8</w:t>
            </w:r>
          </w:p>
        </w:tc>
        <w:tc>
          <w:tcPr>
            <w:tcW w:w="990" w:type="dxa"/>
            <w:tcBorders>
              <w:top w:val="single" w:sz="4" w:space="0" w:color="000000" w:themeColor="text1"/>
              <w:bottom w:val="single" w:sz="4" w:space="0" w:color="auto"/>
            </w:tcBorders>
            <w:vAlign w:val="center"/>
          </w:tcPr>
          <w:p w14:paraId="29D2CBDA" w14:textId="77777777" w:rsidR="00231AE4" w:rsidRPr="00F6205B" w:rsidRDefault="00231AE4" w:rsidP="004F23CF">
            <w:pPr>
              <w:keepNext/>
              <w:keepLines/>
              <w:spacing w:after="0"/>
              <w:jc w:val="center"/>
              <w:rPr>
                <w:sz w:val="20"/>
                <w:szCs w:val="20"/>
              </w:rPr>
            </w:pPr>
            <w:r w:rsidRPr="00F6205B">
              <w:rPr>
                <w:sz w:val="20"/>
                <w:szCs w:val="20"/>
              </w:rPr>
              <w:t>281.2</w:t>
            </w:r>
          </w:p>
        </w:tc>
        <w:tc>
          <w:tcPr>
            <w:tcW w:w="990" w:type="dxa"/>
            <w:tcBorders>
              <w:top w:val="single" w:sz="4" w:space="0" w:color="000000" w:themeColor="text1"/>
              <w:bottom w:val="single" w:sz="4" w:space="0" w:color="auto"/>
            </w:tcBorders>
            <w:vAlign w:val="center"/>
          </w:tcPr>
          <w:p w14:paraId="16E33666" w14:textId="77777777" w:rsidR="00231AE4" w:rsidRPr="00F6205B" w:rsidRDefault="00231AE4" w:rsidP="004F23CF">
            <w:pPr>
              <w:keepNext/>
              <w:keepLines/>
              <w:spacing w:after="0"/>
              <w:jc w:val="center"/>
              <w:rPr>
                <w:sz w:val="20"/>
                <w:szCs w:val="20"/>
              </w:rPr>
            </w:pPr>
            <w:r w:rsidRPr="00F6205B">
              <w:rPr>
                <w:sz w:val="20"/>
                <w:szCs w:val="20"/>
              </w:rPr>
              <w:t>170.1</w:t>
            </w:r>
          </w:p>
        </w:tc>
        <w:tc>
          <w:tcPr>
            <w:tcW w:w="920" w:type="dxa"/>
            <w:tcBorders>
              <w:top w:val="single" w:sz="4" w:space="0" w:color="000000" w:themeColor="text1"/>
              <w:bottom w:val="single" w:sz="4" w:space="0" w:color="auto"/>
            </w:tcBorders>
            <w:vAlign w:val="center"/>
          </w:tcPr>
          <w:p w14:paraId="25AAB67B" w14:textId="77777777" w:rsidR="00231AE4" w:rsidRPr="00F6205B" w:rsidRDefault="00231AE4" w:rsidP="004F23CF">
            <w:pPr>
              <w:keepNext/>
              <w:keepLines/>
              <w:spacing w:after="0"/>
              <w:jc w:val="center"/>
              <w:rPr>
                <w:sz w:val="20"/>
                <w:szCs w:val="20"/>
              </w:rPr>
            </w:pPr>
            <w:r w:rsidRPr="00F6205B">
              <w:rPr>
                <w:sz w:val="20"/>
                <w:szCs w:val="20"/>
              </w:rPr>
              <w:t>69.8</w:t>
            </w:r>
          </w:p>
        </w:tc>
        <w:tc>
          <w:tcPr>
            <w:tcW w:w="1260" w:type="dxa"/>
            <w:tcBorders>
              <w:top w:val="single" w:sz="4" w:space="0" w:color="000000" w:themeColor="text1"/>
              <w:bottom w:val="single" w:sz="4" w:space="0" w:color="auto"/>
              <w:right w:val="single" w:sz="4" w:space="0" w:color="auto"/>
            </w:tcBorders>
            <w:vAlign w:val="center"/>
          </w:tcPr>
          <w:p w14:paraId="212754D7" w14:textId="77777777" w:rsidR="00231AE4" w:rsidRPr="00F6205B" w:rsidRDefault="00231AE4" w:rsidP="004F23CF">
            <w:pPr>
              <w:keepNext/>
              <w:keepLines/>
              <w:spacing w:after="0"/>
              <w:jc w:val="center"/>
              <w:rPr>
                <w:sz w:val="20"/>
                <w:szCs w:val="20"/>
              </w:rPr>
            </w:pPr>
            <w:r w:rsidRPr="00F6205B">
              <w:rPr>
                <w:sz w:val="20"/>
                <w:szCs w:val="20"/>
              </w:rPr>
              <w:t>- 2,148.6</w:t>
            </w:r>
          </w:p>
        </w:tc>
      </w:tr>
      <w:tr w:rsidR="00231AE4" w:rsidRPr="00F6205B" w14:paraId="0222FC72" w14:textId="77777777" w:rsidTr="00D8337B">
        <w:trPr>
          <w:trHeight w:val="288"/>
          <w:jc w:val="center"/>
        </w:trPr>
        <w:tc>
          <w:tcPr>
            <w:tcW w:w="8946" w:type="dxa"/>
            <w:gridSpan w:val="8"/>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67855BE3" w14:textId="77777777" w:rsidR="00231AE4" w:rsidRPr="00F6205B" w:rsidRDefault="00231AE4" w:rsidP="004F23CF">
            <w:pPr>
              <w:keepNext/>
              <w:keepLines/>
              <w:spacing w:after="0"/>
              <w:jc w:val="center"/>
              <w:rPr>
                <w:b/>
                <w:color w:val="FFFFFF" w:themeColor="background1"/>
                <w:sz w:val="20"/>
                <w:szCs w:val="20"/>
              </w:rPr>
            </w:pPr>
            <w:r w:rsidRPr="00F6205B">
              <w:rPr>
                <w:b/>
                <w:color w:val="FFFFFF" w:themeColor="background1"/>
                <w:sz w:val="20"/>
                <w:szCs w:val="20"/>
              </w:rPr>
              <w:t>Propane Consumption (million gallons)</w:t>
            </w:r>
          </w:p>
        </w:tc>
      </w:tr>
      <w:tr w:rsidR="00231AE4" w:rsidRPr="00F6205B" w14:paraId="42CB1EFF" w14:textId="77777777" w:rsidTr="00ED1A4B">
        <w:trPr>
          <w:trHeight w:val="288"/>
          <w:jc w:val="center"/>
        </w:trPr>
        <w:tc>
          <w:tcPr>
            <w:tcW w:w="1997" w:type="dxa"/>
            <w:tcBorders>
              <w:top w:val="single" w:sz="4" w:space="0" w:color="auto"/>
              <w:left w:val="single" w:sz="4" w:space="0" w:color="auto"/>
              <w:bottom w:val="single" w:sz="4" w:space="0" w:color="000000" w:themeColor="text1"/>
              <w:right w:val="single" w:sz="4" w:space="0" w:color="000000" w:themeColor="text1"/>
            </w:tcBorders>
            <w:vAlign w:val="center"/>
          </w:tcPr>
          <w:p w14:paraId="133B40E3" w14:textId="77777777" w:rsidR="00231AE4" w:rsidRPr="00F6205B" w:rsidRDefault="00231AE4" w:rsidP="004F23CF">
            <w:pPr>
              <w:keepNext/>
              <w:keepLines/>
              <w:spacing w:after="0"/>
              <w:rPr>
                <w:sz w:val="20"/>
                <w:szCs w:val="20"/>
              </w:rPr>
            </w:pPr>
            <w:r w:rsidRPr="00F6205B">
              <w:rPr>
                <w:sz w:val="20"/>
                <w:szCs w:val="20"/>
              </w:rPr>
              <w:t>No fuel switching</w:t>
            </w:r>
          </w:p>
        </w:tc>
        <w:tc>
          <w:tcPr>
            <w:tcW w:w="921" w:type="dxa"/>
            <w:vMerge w:val="restart"/>
            <w:tcBorders>
              <w:top w:val="single" w:sz="4" w:space="0" w:color="auto"/>
            </w:tcBorders>
            <w:vAlign w:val="center"/>
          </w:tcPr>
          <w:p w14:paraId="63350308" w14:textId="77777777" w:rsidR="00231AE4" w:rsidRPr="00F6205B" w:rsidRDefault="00231AE4" w:rsidP="004F23CF">
            <w:pPr>
              <w:keepNext/>
              <w:keepLines/>
              <w:spacing w:after="0"/>
              <w:jc w:val="center"/>
              <w:rPr>
                <w:sz w:val="20"/>
                <w:szCs w:val="20"/>
              </w:rPr>
            </w:pPr>
            <w:r w:rsidRPr="00F6205B">
              <w:rPr>
                <w:sz w:val="20"/>
                <w:szCs w:val="20"/>
              </w:rPr>
              <w:t>34.4</w:t>
            </w:r>
          </w:p>
        </w:tc>
        <w:tc>
          <w:tcPr>
            <w:tcW w:w="900" w:type="dxa"/>
            <w:vMerge w:val="restart"/>
            <w:tcBorders>
              <w:top w:val="single" w:sz="4" w:space="0" w:color="auto"/>
            </w:tcBorders>
            <w:vAlign w:val="center"/>
          </w:tcPr>
          <w:p w14:paraId="03C22E17" w14:textId="77777777" w:rsidR="00231AE4" w:rsidRPr="00F6205B" w:rsidRDefault="00231AE4" w:rsidP="004F23CF">
            <w:pPr>
              <w:keepNext/>
              <w:keepLines/>
              <w:spacing w:after="0"/>
              <w:jc w:val="center"/>
              <w:rPr>
                <w:i/>
                <w:sz w:val="20"/>
                <w:szCs w:val="20"/>
              </w:rPr>
            </w:pPr>
            <w:r w:rsidRPr="00F6205B">
              <w:rPr>
                <w:i/>
                <w:sz w:val="20"/>
                <w:szCs w:val="20"/>
              </w:rPr>
              <w:t>0.4%</w:t>
            </w:r>
          </w:p>
        </w:tc>
        <w:tc>
          <w:tcPr>
            <w:tcW w:w="968" w:type="dxa"/>
            <w:tcBorders>
              <w:top w:val="single" w:sz="4" w:space="0" w:color="auto"/>
              <w:bottom w:val="single" w:sz="4" w:space="0" w:color="000000" w:themeColor="text1"/>
              <w:right w:val="single" w:sz="4" w:space="0" w:color="000000" w:themeColor="text1"/>
            </w:tcBorders>
            <w:vAlign w:val="center"/>
          </w:tcPr>
          <w:p w14:paraId="4B6ED636" w14:textId="77777777" w:rsidR="00231AE4" w:rsidRPr="00F6205B" w:rsidRDefault="00231AE4" w:rsidP="004F23CF">
            <w:pPr>
              <w:keepNext/>
              <w:keepLines/>
              <w:spacing w:after="0"/>
              <w:jc w:val="center"/>
              <w:rPr>
                <w:sz w:val="20"/>
                <w:szCs w:val="20"/>
              </w:rPr>
            </w:pPr>
            <w:r w:rsidRPr="00F6205B">
              <w:rPr>
                <w:sz w:val="20"/>
                <w:szCs w:val="20"/>
              </w:rPr>
              <w:t>34.6</w:t>
            </w:r>
          </w:p>
        </w:tc>
        <w:tc>
          <w:tcPr>
            <w:tcW w:w="990" w:type="dxa"/>
            <w:tcBorders>
              <w:top w:val="single" w:sz="4" w:space="0" w:color="auto"/>
              <w:bottom w:val="single" w:sz="4" w:space="0" w:color="000000" w:themeColor="text1"/>
            </w:tcBorders>
            <w:vAlign w:val="center"/>
          </w:tcPr>
          <w:p w14:paraId="761CB5BF" w14:textId="77777777" w:rsidR="00231AE4" w:rsidRPr="00F6205B" w:rsidRDefault="00231AE4" w:rsidP="004F23CF">
            <w:pPr>
              <w:keepNext/>
              <w:keepLines/>
              <w:spacing w:after="0"/>
              <w:jc w:val="center"/>
              <w:rPr>
                <w:sz w:val="20"/>
                <w:szCs w:val="20"/>
              </w:rPr>
            </w:pPr>
            <w:r w:rsidRPr="00F6205B">
              <w:rPr>
                <w:sz w:val="20"/>
                <w:szCs w:val="20"/>
              </w:rPr>
              <w:t>35.0</w:t>
            </w:r>
          </w:p>
        </w:tc>
        <w:tc>
          <w:tcPr>
            <w:tcW w:w="990" w:type="dxa"/>
            <w:tcBorders>
              <w:top w:val="single" w:sz="4" w:space="0" w:color="auto"/>
              <w:bottom w:val="single" w:sz="4" w:space="0" w:color="000000" w:themeColor="text1"/>
            </w:tcBorders>
            <w:vAlign w:val="center"/>
          </w:tcPr>
          <w:p w14:paraId="46756250" w14:textId="77777777" w:rsidR="00231AE4" w:rsidRPr="00F6205B" w:rsidRDefault="00231AE4" w:rsidP="004F23CF">
            <w:pPr>
              <w:keepNext/>
              <w:keepLines/>
              <w:spacing w:after="0"/>
              <w:jc w:val="center"/>
              <w:rPr>
                <w:sz w:val="20"/>
                <w:szCs w:val="20"/>
              </w:rPr>
            </w:pPr>
            <w:r w:rsidRPr="00F6205B">
              <w:rPr>
                <w:sz w:val="20"/>
                <w:szCs w:val="20"/>
              </w:rPr>
              <w:t>35.3</w:t>
            </w:r>
          </w:p>
        </w:tc>
        <w:tc>
          <w:tcPr>
            <w:tcW w:w="920" w:type="dxa"/>
            <w:tcBorders>
              <w:top w:val="single" w:sz="4" w:space="0" w:color="auto"/>
              <w:bottom w:val="single" w:sz="4" w:space="0" w:color="000000" w:themeColor="text1"/>
            </w:tcBorders>
            <w:vAlign w:val="center"/>
          </w:tcPr>
          <w:p w14:paraId="20496FB4" w14:textId="77777777" w:rsidR="00231AE4" w:rsidRPr="00F6205B" w:rsidRDefault="00231AE4" w:rsidP="004F23CF">
            <w:pPr>
              <w:keepNext/>
              <w:keepLines/>
              <w:spacing w:after="0"/>
              <w:jc w:val="center"/>
              <w:rPr>
                <w:sz w:val="20"/>
                <w:szCs w:val="20"/>
              </w:rPr>
            </w:pPr>
            <w:r w:rsidRPr="00F6205B">
              <w:rPr>
                <w:sz w:val="20"/>
                <w:szCs w:val="20"/>
              </w:rPr>
              <w:t>35.7</w:t>
            </w:r>
          </w:p>
        </w:tc>
        <w:tc>
          <w:tcPr>
            <w:tcW w:w="1260" w:type="dxa"/>
            <w:tcBorders>
              <w:top w:val="single" w:sz="4" w:space="0" w:color="auto"/>
              <w:bottom w:val="single" w:sz="4" w:space="0" w:color="000000" w:themeColor="text1"/>
              <w:right w:val="single" w:sz="4" w:space="0" w:color="auto"/>
            </w:tcBorders>
            <w:vAlign w:val="center"/>
          </w:tcPr>
          <w:p w14:paraId="3C4F21A9" w14:textId="77777777" w:rsidR="00231AE4" w:rsidRPr="00F6205B" w:rsidRDefault="00231AE4" w:rsidP="004F23CF">
            <w:pPr>
              <w:keepNext/>
              <w:keepLines/>
              <w:spacing w:after="0"/>
              <w:jc w:val="center"/>
              <w:rPr>
                <w:sz w:val="20"/>
                <w:szCs w:val="20"/>
              </w:rPr>
            </w:pPr>
            <w:r w:rsidRPr="00F6205B">
              <w:rPr>
                <w:sz w:val="20"/>
                <w:szCs w:val="20"/>
              </w:rPr>
              <w:t>-</w:t>
            </w:r>
          </w:p>
        </w:tc>
      </w:tr>
      <w:tr w:rsidR="00231AE4" w:rsidRPr="00F6205B" w14:paraId="31762E8E" w14:textId="77777777" w:rsidTr="00ED1A4B">
        <w:trPr>
          <w:trHeight w:val="288"/>
          <w:jc w:val="center"/>
        </w:trPr>
        <w:tc>
          <w:tcPr>
            <w:tcW w:w="199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570E4DF" w14:textId="77777777" w:rsidR="00231AE4" w:rsidRPr="00F6205B" w:rsidRDefault="00231AE4" w:rsidP="004F23CF">
            <w:pPr>
              <w:keepNext/>
              <w:keepLines/>
              <w:spacing w:after="0"/>
              <w:rPr>
                <w:sz w:val="20"/>
                <w:szCs w:val="20"/>
              </w:rPr>
            </w:pPr>
            <w:r w:rsidRPr="00F6205B">
              <w:rPr>
                <w:sz w:val="20"/>
                <w:szCs w:val="20"/>
              </w:rPr>
              <w:t>25% Uptake</w:t>
            </w:r>
          </w:p>
        </w:tc>
        <w:tc>
          <w:tcPr>
            <w:tcW w:w="921" w:type="dxa"/>
            <w:vMerge/>
            <w:vAlign w:val="center"/>
          </w:tcPr>
          <w:p w14:paraId="5708F662" w14:textId="77777777" w:rsidR="00231AE4" w:rsidRPr="00F6205B" w:rsidRDefault="00231AE4" w:rsidP="004F23CF">
            <w:pPr>
              <w:keepNext/>
              <w:keepLines/>
              <w:spacing w:after="0"/>
              <w:jc w:val="center"/>
              <w:rPr>
                <w:sz w:val="20"/>
                <w:szCs w:val="20"/>
              </w:rPr>
            </w:pPr>
          </w:p>
        </w:tc>
        <w:tc>
          <w:tcPr>
            <w:tcW w:w="900" w:type="dxa"/>
            <w:vMerge/>
            <w:vAlign w:val="center"/>
          </w:tcPr>
          <w:p w14:paraId="0DE0F05C" w14:textId="77777777" w:rsidR="00231AE4" w:rsidRPr="00F6205B" w:rsidRDefault="00231AE4" w:rsidP="004F23CF">
            <w:pPr>
              <w:keepNext/>
              <w:keepLines/>
              <w:spacing w:after="0"/>
              <w:jc w:val="center"/>
              <w:rPr>
                <w:sz w:val="20"/>
                <w:szCs w:val="20"/>
              </w:rPr>
            </w:pPr>
          </w:p>
        </w:tc>
        <w:tc>
          <w:tcPr>
            <w:tcW w:w="968" w:type="dxa"/>
            <w:tcBorders>
              <w:top w:val="single" w:sz="4" w:space="0" w:color="000000" w:themeColor="text1"/>
              <w:bottom w:val="single" w:sz="4" w:space="0" w:color="000000" w:themeColor="text1"/>
              <w:right w:val="single" w:sz="4" w:space="0" w:color="000000" w:themeColor="text1"/>
            </w:tcBorders>
            <w:vAlign w:val="center"/>
          </w:tcPr>
          <w:p w14:paraId="0971BC56" w14:textId="77777777" w:rsidR="00231AE4" w:rsidRPr="00F6205B" w:rsidRDefault="00231AE4" w:rsidP="004F23CF">
            <w:pPr>
              <w:keepNext/>
              <w:keepLines/>
              <w:spacing w:after="0"/>
              <w:jc w:val="center"/>
              <w:rPr>
                <w:sz w:val="20"/>
                <w:szCs w:val="20"/>
              </w:rPr>
            </w:pPr>
            <w:r w:rsidRPr="00F6205B">
              <w:rPr>
                <w:sz w:val="20"/>
                <w:szCs w:val="20"/>
              </w:rPr>
              <w:t>33.0</w:t>
            </w:r>
          </w:p>
        </w:tc>
        <w:tc>
          <w:tcPr>
            <w:tcW w:w="990" w:type="dxa"/>
            <w:tcBorders>
              <w:top w:val="single" w:sz="4" w:space="0" w:color="000000" w:themeColor="text1"/>
              <w:bottom w:val="single" w:sz="4" w:space="0" w:color="000000" w:themeColor="text1"/>
            </w:tcBorders>
            <w:vAlign w:val="center"/>
          </w:tcPr>
          <w:p w14:paraId="6B52EA95" w14:textId="77777777" w:rsidR="00231AE4" w:rsidRPr="00F6205B" w:rsidRDefault="00231AE4" w:rsidP="004F23CF">
            <w:pPr>
              <w:keepNext/>
              <w:keepLines/>
              <w:spacing w:after="0"/>
              <w:jc w:val="center"/>
              <w:rPr>
                <w:sz w:val="20"/>
                <w:szCs w:val="20"/>
              </w:rPr>
            </w:pPr>
            <w:r w:rsidRPr="00F6205B">
              <w:rPr>
                <w:sz w:val="20"/>
                <w:szCs w:val="20"/>
              </w:rPr>
              <w:t>31.8</w:t>
            </w:r>
          </w:p>
        </w:tc>
        <w:tc>
          <w:tcPr>
            <w:tcW w:w="990" w:type="dxa"/>
            <w:tcBorders>
              <w:top w:val="single" w:sz="4" w:space="0" w:color="000000" w:themeColor="text1"/>
              <w:bottom w:val="single" w:sz="4" w:space="0" w:color="000000" w:themeColor="text1"/>
            </w:tcBorders>
            <w:vAlign w:val="center"/>
          </w:tcPr>
          <w:p w14:paraId="66FE50EF" w14:textId="77777777" w:rsidR="00231AE4" w:rsidRPr="00F6205B" w:rsidRDefault="00231AE4" w:rsidP="004F23CF">
            <w:pPr>
              <w:keepNext/>
              <w:keepLines/>
              <w:spacing w:after="0"/>
              <w:jc w:val="center"/>
              <w:rPr>
                <w:sz w:val="20"/>
                <w:szCs w:val="20"/>
              </w:rPr>
            </w:pPr>
            <w:r w:rsidRPr="00F6205B">
              <w:rPr>
                <w:sz w:val="20"/>
                <w:szCs w:val="20"/>
              </w:rPr>
              <w:t>30.5</w:t>
            </w:r>
          </w:p>
        </w:tc>
        <w:tc>
          <w:tcPr>
            <w:tcW w:w="920" w:type="dxa"/>
            <w:tcBorders>
              <w:top w:val="single" w:sz="4" w:space="0" w:color="000000" w:themeColor="text1"/>
              <w:bottom w:val="single" w:sz="4" w:space="0" w:color="000000" w:themeColor="text1"/>
            </w:tcBorders>
            <w:vAlign w:val="center"/>
          </w:tcPr>
          <w:p w14:paraId="4573D5F0" w14:textId="77777777" w:rsidR="00231AE4" w:rsidRPr="00F6205B" w:rsidRDefault="00231AE4" w:rsidP="004F23CF">
            <w:pPr>
              <w:keepNext/>
              <w:keepLines/>
              <w:spacing w:after="0"/>
              <w:jc w:val="center"/>
              <w:rPr>
                <w:sz w:val="20"/>
                <w:szCs w:val="20"/>
              </w:rPr>
            </w:pPr>
            <w:r w:rsidRPr="00F6205B">
              <w:rPr>
                <w:sz w:val="20"/>
                <w:szCs w:val="20"/>
              </w:rPr>
              <w:t>29.2</w:t>
            </w:r>
          </w:p>
        </w:tc>
        <w:tc>
          <w:tcPr>
            <w:tcW w:w="1260" w:type="dxa"/>
            <w:tcBorders>
              <w:top w:val="single" w:sz="4" w:space="0" w:color="000000" w:themeColor="text1"/>
              <w:bottom w:val="single" w:sz="4" w:space="0" w:color="000000" w:themeColor="text1"/>
              <w:right w:val="single" w:sz="4" w:space="0" w:color="auto"/>
            </w:tcBorders>
            <w:vAlign w:val="center"/>
          </w:tcPr>
          <w:p w14:paraId="07E32E5C" w14:textId="77777777" w:rsidR="00231AE4" w:rsidRPr="00F6205B" w:rsidRDefault="00231AE4" w:rsidP="004F23CF">
            <w:pPr>
              <w:keepNext/>
              <w:keepLines/>
              <w:spacing w:after="0"/>
              <w:jc w:val="center"/>
              <w:rPr>
                <w:sz w:val="20"/>
                <w:szCs w:val="20"/>
              </w:rPr>
            </w:pPr>
            <w:r w:rsidRPr="00F6205B">
              <w:rPr>
                <w:sz w:val="20"/>
                <w:szCs w:val="20"/>
              </w:rPr>
              <w:t>- 35.2</w:t>
            </w:r>
          </w:p>
        </w:tc>
      </w:tr>
      <w:tr w:rsidR="00231AE4" w:rsidRPr="00F6205B" w14:paraId="0D0891A1" w14:textId="77777777" w:rsidTr="00ED1A4B">
        <w:trPr>
          <w:trHeight w:val="288"/>
          <w:jc w:val="center"/>
        </w:trPr>
        <w:tc>
          <w:tcPr>
            <w:tcW w:w="199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DE4BABB" w14:textId="77777777" w:rsidR="00231AE4" w:rsidRPr="00F6205B" w:rsidRDefault="00231AE4" w:rsidP="004F23CF">
            <w:pPr>
              <w:keepNext/>
              <w:keepLines/>
              <w:spacing w:after="0"/>
              <w:rPr>
                <w:sz w:val="20"/>
                <w:szCs w:val="20"/>
              </w:rPr>
            </w:pPr>
            <w:r w:rsidRPr="00F6205B">
              <w:rPr>
                <w:sz w:val="20"/>
                <w:szCs w:val="20"/>
              </w:rPr>
              <w:t>50% Uptake</w:t>
            </w:r>
          </w:p>
        </w:tc>
        <w:tc>
          <w:tcPr>
            <w:tcW w:w="921" w:type="dxa"/>
            <w:vMerge/>
            <w:vAlign w:val="center"/>
          </w:tcPr>
          <w:p w14:paraId="6ADC53CD" w14:textId="77777777" w:rsidR="00231AE4" w:rsidRPr="00F6205B" w:rsidRDefault="00231AE4" w:rsidP="004F23CF">
            <w:pPr>
              <w:keepNext/>
              <w:keepLines/>
              <w:spacing w:after="0"/>
              <w:jc w:val="center"/>
              <w:rPr>
                <w:sz w:val="20"/>
                <w:szCs w:val="20"/>
              </w:rPr>
            </w:pPr>
          </w:p>
        </w:tc>
        <w:tc>
          <w:tcPr>
            <w:tcW w:w="900" w:type="dxa"/>
            <w:vMerge/>
            <w:vAlign w:val="center"/>
          </w:tcPr>
          <w:p w14:paraId="2187BE56" w14:textId="77777777" w:rsidR="00231AE4" w:rsidRPr="00F6205B" w:rsidRDefault="00231AE4" w:rsidP="004F23CF">
            <w:pPr>
              <w:keepNext/>
              <w:keepLines/>
              <w:spacing w:after="0"/>
              <w:jc w:val="center"/>
              <w:rPr>
                <w:sz w:val="20"/>
                <w:szCs w:val="20"/>
              </w:rPr>
            </w:pPr>
          </w:p>
        </w:tc>
        <w:tc>
          <w:tcPr>
            <w:tcW w:w="968" w:type="dxa"/>
            <w:tcBorders>
              <w:top w:val="single" w:sz="4" w:space="0" w:color="000000" w:themeColor="text1"/>
              <w:bottom w:val="single" w:sz="4" w:space="0" w:color="000000" w:themeColor="text1"/>
              <w:right w:val="single" w:sz="4" w:space="0" w:color="000000" w:themeColor="text1"/>
            </w:tcBorders>
            <w:vAlign w:val="center"/>
          </w:tcPr>
          <w:p w14:paraId="6F9D9B37" w14:textId="77777777" w:rsidR="00231AE4" w:rsidRPr="00F6205B" w:rsidRDefault="00231AE4" w:rsidP="004F23CF">
            <w:pPr>
              <w:keepNext/>
              <w:keepLines/>
              <w:spacing w:after="0"/>
              <w:jc w:val="center"/>
              <w:rPr>
                <w:sz w:val="20"/>
                <w:szCs w:val="20"/>
              </w:rPr>
            </w:pPr>
            <w:r w:rsidRPr="00F6205B">
              <w:rPr>
                <w:sz w:val="20"/>
                <w:szCs w:val="20"/>
              </w:rPr>
              <w:t>31.5</w:t>
            </w:r>
          </w:p>
        </w:tc>
        <w:tc>
          <w:tcPr>
            <w:tcW w:w="990" w:type="dxa"/>
            <w:tcBorders>
              <w:top w:val="single" w:sz="4" w:space="0" w:color="000000" w:themeColor="text1"/>
              <w:bottom w:val="single" w:sz="4" w:space="0" w:color="000000" w:themeColor="text1"/>
            </w:tcBorders>
            <w:vAlign w:val="center"/>
          </w:tcPr>
          <w:p w14:paraId="0C58931B" w14:textId="77777777" w:rsidR="00231AE4" w:rsidRPr="00F6205B" w:rsidRDefault="00231AE4" w:rsidP="004F23CF">
            <w:pPr>
              <w:keepNext/>
              <w:keepLines/>
              <w:spacing w:after="0"/>
              <w:jc w:val="center"/>
              <w:rPr>
                <w:sz w:val="20"/>
                <w:szCs w:val="20"/>
              </w:rPr>
            </w:pPr>
            <w:r w:rsidRPr="00F6205B">
              <w:rPr>
                <w:sz w:val="20"/>
                <w:szCs w:val="20"/>
              </w:rPr>
              <w:t>28.6</w:t>
            </w:r>
          </w:p>
        </w:tc>
        <w:tc>
          <w:tcPr>
            <w:tcW w:w="990" w:type="dxa"/>
            <w:tcBorders>
              <w:top w:val="single" w:sz="4" w:space="0" w:color="000000" w:themeColor="text1"/>
              <w:bottom w:val="single" w:sz="4" w:space="0" w:color="000000" w:themeColor="text1"/>
            </w:tcBorders>
            <w:vAlign w:val="center"/>
          </w:tcPr>
          <w:p w14:paraId="3D102BAE" w14:textId="77777777" w:rsidR="00231AE4" w:rsidRPr="00F6205B" w:rsidRDefault="00231AE4" w:rsidP="004F23CF">
            <w:pPr>
              <w:keepNext/>
              <w:keepLines/>
              <w:spacing w:after="0"/>
              <w:jc w:val="center"/>
              <w:rPr>
                <w:sz w:val="20"/>
                <w:szCs w:val="20"/>
              </w:rPr>
            </w:pPr>
            <w:r w:rsidRPr="00F6205B">
              <w:rPr>
                <w:sz w:val="20"/>
                <w:szCs w:val="20"/>
              </w:rPr>
              <w:t>25.7</w:t>
            </w:r>
          </w:p>
        </w:tc>
        <w:tc>
          <w:tcPr>
            <w:tcW w:w="920" w:type="dxa"/>
            <w:tcBorders>
              <w:top w:val="single" w:sz="4" w:space="0" w:color="000000" w:themeColor="text1"/>
              <w:bottom w:val="single" w:sz="4" w:space="0" w:color="000000" w:themeColor="text1"/>
            </w:tcBorders>
            <w:vAlign w:val="center"/>
          </w:tcPr>
          <w:p w14:paraId="306886E2" w14:textId="77777777" w:rsidR="00231AE4" w:rsidRPr="00F6205B" w:rsidRDefault="00231AE4" w:rsidP="004F23CF">
            <w:pPr>
              <w:keepNext/>
              <w:keepLines/>
              <w:spacing w:after="0"/>
              <w:jc w:val="center"/>
              <w:rPr>
                <w:sz w:val="20"/>
                <w:szCs w:val="20"/>
              </w:rPr>
            </w:pPr>
            <w:r w:rsidRPr="00F6205B">
              <w:rPr>
                <w:sz w:val="20"/>
                <w:szCs w:val="20"/>
              </w:rPr>
              <w:t>22.7</w:t>
            </w:r>
          </w:p>
        </w:tc>
        <w:tc>
          <w:tcPr>
            <w:tcW w:w="1260" w:type="dxa"/>
            <w:tcBorders>
              <w:top w:val="single" w:sz="4" w:space="0" w:color="000000" w:themeColor="text1"/>
              <w:bottom w:val="single" w:sz="4" w:space="0" w:color="000000" w:themeColor="text1"/>
              <w:right w:val="single" w:sz="4" w:space="0" w:color="auto"/>
            </w:tcBorders>
            <w:vAlign w:val="center"/>
          </w:tcPr>
          <w:p w14:paraId="350B4952" w14:textId="77777777" w:rsidR="00231AE4" w:rsidRPr="00F6205B" w:rsidRDefault="00231AE4" w:rsidP="004F23CF">
            <w:pPr>
              <w:keepNext/>
              <w:keepLines/>
              <w:spacing w:after="0"/>
              <w:jc w:val="center"/>
              <w:rPr>
                <w:sz w:val="20"/>
                <w:szCs w:val="20"/>
              </w:rPr>
            </w:pPr>
            <w:r w:rsidRPr="00F6205B">
              <w:rPr>
                <w:sz w:val="20"/>
                <w:szCs w:val="20"/>
              </w:rPr>
              <w:t>- 70.4</w:t>
            </w:r>
          </w:p>
        </w:tc>
      </w:tr>
      <w:tr w:rsidR="00231AE4" w:rsidRPr="00F6205B" w14:paraId="1C19E11F" w14:textId="77777777" w:rsidTr="00ED1A4B">
        <w:trPr>
          <w:trHeight w:val="288"/>
          <w:jc w:val="center"/>
        </w:trPr>
        <w:tc>
          <w:tcPr>
            <w:tcW w:w="199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CC781DE" w14:textId="77777777" w:rsidR="00231AE4" w:rsidRPr="00F6205B" w:rsidRDefault="00231AE4" w:rsidP="004F23CF">
            <w:pPr>
              <w:keepNext/>
              <w:keepLines/>
              <w:spacing w:after="0"/>
              <w:rPr>
                <w:sz w:val="20"/>
                <w:szCs w:val="20"/>
              </w:rPr>
            </w:pPr>
            <w:r w:rsidRPr="00F6205B">
              <w:rPr>
                <w:sz w:val="20"/>
                <w:szCs w:val="20"/>
              </w:rPr>
              <w:t>75% Uptake</w:t>
            </w:r>
          </w:p>
        </w:tc>
        <w:tc>
          <w:tcPr>
            <w:tcW w:w="921" w:type="dxa"/>
            <w:vMerge/>
            <w:vAlign w:val="center"/>
          </w:tcPr>
          <w:p w14:paraId="2CCDD3DA" w14:textId="77777777" w:rsidR="00231AE4" w:rsidRPr="00F6205B" w:rsidRDefault="00231AE4" w:rsidP="004F23CF">
            <w:pPr>
              <w:keepNext/>
              <w:keepLines/>
              <w:spacing w:after="0"/>
              <w:jc w:val="center"/>
              <w:rPr>
                <w:sz w:val="20"/>
                <w:szCs w:val="20"/>
              </w:rPr>
            </w:pPr>
          </w:p>
        </w:tc>
        <w:tc>
          <w:tcPr>
            <w:tcW w:w="900" w:type="dxa"/>
            <w:vMerge/>
            <w:vAlign w:val="center"/>
          </w:tcPr>
          <w:p w14:paraId="6F45207E" w14:textId="77777777" w:rsidR="00231AE4" w:rsidRPr="00F6205B" w:rsidRDefault="00231AE4" w:rsidP="004F23CF">
            <w:pPr>
              <w:keepNext/>
              <w:keepLines/>
              <w:spacing w:after="0"/>
              <w:jc w:val="center"/>
              <w:rPr>
                <w:sz w:val="20"/>
                <w:szCs w:val="20"/>
              </w:rPr>
            </w:pPr>
          </w:p>
        </w:tc>
        <w:tc>
          <w:tcPr>
            <w:tcW w:w="968" w:type="dxa"/>
            <w:tcBorders>
              <w:top w:val="single" w:sz="4" w:space="0" w:color="000000" w:themeColor="text1"/>
              <w:bottom w:val="single" w:sz="4" w:space="0" w:color="000000" w:themeColor="text1"/>
              <w:right w:val="single" w:sz="4" w:space="0" w:color="000000" w:themeColor="text1"/>
            </w:tcBorders>
            <w:vAlign w:val="center"/>
          </w:tcPr>
          <w:p w14:paraId="49FC7ADB" w14:textId="77777777" w:rsidR="00231AE4" w:rsidRPr="00F6205B" w:rsidRDefault="00231AE4" w:rsidP="004F23CF">
            <w:pPr>
              <w:keepNext/>
              <w:keepLines/>
              <w:spacing w:after="0"/>
              <w:jc w:val="center"/>
              <w:rPr>
                <w:sz w:val="20"/>
                <w:szCs w:val="20"/>
              </w:rPr>
            </w:pPr>
            <w:r w:rsidRPr="00F6205B">
              <w:rPr>
                <w:sz w:val="20"/>
                <w:szCs w:val="20"/>
              </w:rPr>
              <w:t>29.9</w:t>
            </w:r>
          </w:p>
        </w:tc>
        <w:tc>
          <w:tcPr>
            <w:tcW w:w="990" w:type="dxa"/>
            <w:tcBorders>
              <w:top w:val="single" w:sz="4" w:space="0" w:color="000000" w:themeColor="text1"/>
              <w:bottom w:val="single" w:sz="4" w:space="0" w:color="000000" w:themeColor="text1"/>
            </w:tcBorders>
            <w:vAlign w:val="center"/>
          </w:tcPr>
          <w:p w14:paraId="760211C6" w14:textId="77777777" w:rsidR="00231AE4" w:rsidRPr="00F6205B" w:rsidRDefault="00231AE4" w:rsidP="004F23CF">
            <w:pPr>
              <w:keepNext/>
              <w:keepLines/>
              <w:spacing w:after="0"/>
              <w:jc w:val="center"/>
              <w:rPr>
                <w:sz w:val="20"/>
                <w:szCs w:val="20"/>
              </w:rPr>
            </w:pPr>
            <w:r w:rsidRPr="00F6205B">
              <w:rPr>
                <w:sz w:val="20"/>
                <w:szCs w:val="20"/>
              </w:rPr>
              <w:t>25.2</w:t>
            </w:r>
          </w:p>
        </w:tc>
        <w:tc>
          <w:tcPr>
            <w:tcW w:w="990" w:type="dxa"/>
            <w:tcBorders>
              <w:top w:val="single" w:sz="4" w:space="0" w:color="000000" w:themeColor="text1"/>
              <w:bottom w:val="single" w:sz="4" w:space="0" w:color="000000" w:themeColor="text1"/>
            </w:tcBorders>
            <w:vAlign w:val="center"/>
          </w:tcPr>
          <w:p w14:paraId="4870E08D" w14:textId="77777777" w:rsidR="00231AE4" w:rsidRPr="00F6205B" w:rsidRDefault="00231AE4" w:rsidP="004F23CF">
            <w:pPr>
              <w:keepNext/>
              <w:keepLines/>
              <w:spacing w:after="0"/>
              <w:jc w:val="center"/>
              <w:rPr>
                <w:sz w:val="20"/>
                <w:szCs w:val="20"/>
              </w:rPr>
            </w:pPr>
            <w:r w:rsidRPr="00F6205B">
              <w:rPr>
                <w:sz w:val="20"/>
                <w:szCs w:val="20"/>
              </w:rPr>
              <w:t>20.9</w:t>
            </w:r>
          </w:p>
        </w:tc>
        <w:tc>
          <w:tcPr>
            <w:tcW w:w="920" w:type="dxa"/>
            <w:tcBorders>
              <w:top w:val="single" w:sz="4" w:space="0" w:color="000000" w:themeColor="text1"/>
              <w:bottom w:val="single" w:sz="4" w:space="0" w:color="000000" w:themeColor="text1"/>
            </w:tcBorders>
            <w:vAlign w:val="center"/>
          </w:tcPr>
          <w:p w14:paraId="2D63525F" w14:textId="77777777" w:rsidR="00231AE4" w:rsidRPr="00F6205B" w:rsidRDefault="00231AE4" w:rsidP="004F23CF">
            <w:pPr>
              <w:keepNext/>
              <w:keepLines/>
              <w:spacing w:after="0"/>
              <w:jc w:val="center"/>
              <w:rPr>
                <w:sz w:val="20"/>
                <w:szCs w:val="20"/>
              </w:rPr>
            </w:pPr>
            <w:r w:rsidRPr="00F6205B">
              <w:rPr>
                <w:sz w:val="20"/>
                <w:szCs w:val="20"/>
              </w:rPr>
              <w:t>16.2</w:t>
            </w:r>
          </w:p>
        </w:tc>
        <w:tc>
          <w:tcPr>
            <w:tcW w:w="1260" w:type="dxa"/>
            <w:tcBorders>
              <w:top w:val="single" w:sz="4" w:space="0" w:color="000000" w:themeColor="text1"/>
              <w:bottom w:val="single" w:sz="4" w:space="0" w:color="000000" w:themeColor="text1"/>
              <w:right w:val="single" w:sz="4" w:space="0" w:color="auto"/>
            </w:tcBorders>
            <w:vAlign w:val="center"/>
          </w:tcPr>
          <w:p w14:paraId="565BD57C" w14:textId="77777777" w:rsidR="00231AE4" w:rsidRPr="00F6205B" w:rsidRDefault="00231AE4" w:rsidP="004F23CF">
            <w:pPr>
              <w:keepNext/>
              <w:keepLines/>
              <w:spacing w:after="0"/>
              <w:jc w:val="center"/>
              <w:rPr>
                <w:sz w:val="20"/>
                <w:szCs w:val="20"/>
              </w:rPr>
            </w:pPr>
            <w:r w:rsidRPr="00F6205B">
              <w:rPr>
                <w:sz w:val="20"/>
                <w:szCs w:val="20"/>
              </w:rPr>
              <w:t>- 105.6</w:t>
            </w:r>
          </w:p>
        </w:tc>
      </w:tr>
      <w:tr w:rsidR="00231AE4" w:rsidRPr="00F6205B" w14:paraId="5C432B3A" w14:textId="77777777" w:rsidTr="00ED1A4B">
        <w:trPr>
          <w:trHeight w:val="288"/>
          <w:jc w:val="center"/>
        </w:trPr>
        <w:tc>
          <w:tcPr>
            <w:tcW w:w="1997" w:type="dxa"/>
            <w:tcBorders>
              <w:top w:val="single" w:sz="4" w:space="0" w:color="000000" w:themeColor="text1"/>
              <w:left w:val="single" w:sz="4" w:space="0" w:color="auto"/>
              <w:bottom w:val="single" w:sz="4" w:space="0" w:color="auto"/>
              <w:right w:val="single" w:sz="4" w:space="0" w:color="000000" w:themeColor="text1"/>
            </w:tcBorders>
            <w:vAlign w:val="center"/>
          </w:tcPr>
          <w:p w14:paraId="27DE2B65" w14:textId="77777777" w:rsidR="00231AE4" w:rsidRPr="00F6205B" w:rsidRDefault="00231AE4" w:rsidP="004F23CF">
            <w:pPr>
              <w:keepNext/>
              <w:keepLines/>
              <w:spacing w:after="0"/>
              <w:rPr>
                <w:sz w:val="20"/>
                <w:szCs w:val="20"/>
              </w:rPr>
            </w:pPr>
            <w:r w:rsidRPr="00F6205B">
              <w:rPr>
                <w:sz w:val="20"/>
                <w:szCs w:val="20"/>
              </w:rPr>
              <w:t>100% Uptake</w:t>
            </w:r>
          </w:p>
        </w:tc>
        <w:tc>
          <w:tcPr>
            <w:tcW w:w="921" w:type="dxa"/>
            <w:vMerge/>
            <w:tcBorders>
              <w:bottom w:val="single" w:sz="4" w:space="0" w:color="auto"/>
            </w:tcBorders>
            <w:vAlign w:val="center"/>
          </w:tcPr>
          <w:p w14:paraId="11337FF6" w14:textId="77777777" w:rsidR="00231AE4" w:rsidRPr="00F6205B" w:rsidRDefault="00231AE4" w:rsidP="004F23CF">
            <w:pPr>
              <w:keepNext/>
              <w:keepLines/>
              <w:spacing w:after="0"/>
              <w:jc w:val="center"/>
              <w:rPr>
                <w:sz w:val="20"/>
                <w:szCs w:val="20"/>
              </w:rPr>
            </w:pPr>
          </w:p>
        </w:tc>
        <w:tc>
          <w:tcPr>
            <w:tcW w:w="900" w:type="dxa"/>
            <w:vMerge/>
            <w:tcBorders>
              <w:bottom w:val="single" w:sz="4" w:space="0" w:color="auto"/>
            </w:tcBorders>
            <w:vAlign w:val="center"/>
          </w:tcPr>
          <w:p w14:paraId="7FC0B1AB" w14:textId="77777777" w:rsidR="00231AE4" w:rsidRPr="00F6205B" w:rsidRDefault="00231AE4" w:rsidP="004F23CF">
            <w:pPr>
              <w:keepNext/>
              <w:keepLines/>
              <w:spacing w:after="0"/>
              <w:jc w:val="center"/>
              <w:rPr>
                <w:sz w:val="20"/>
                <w:szCs w:val="20"/>
              </w:rPr>
            </w:pPr>
          </w:p>
        </w:tc>
        <w:tc>
          <w:tcPr>
            <w:tcW w:w="968" w:type="dxa"/>
            <w:tcBorders>
              <w:top w:val="single" w:sz="4" w:space="0" w:color="000000" w:themeColor="text1"/>
              <w:bottom w:val="single" w:sz="4" w:space="0" w:color="auto"/>
              <w:right w:val="single" w:sz="4" w:space="0" w:color="000000" w:themeColor="text1"/>
            </w:tcBorders>
            <w:vAlign w:val="center"/>
          </w:tcPr>
          <w:p w14:paraId="1E6CDAE5" w14:textId="77777777" w:rsidR="00231AE4" w:rsidRPr="00F6205B" w:rsidRDefault="00231AE4" w:rsidP="004F23CF">
            <w:pPr>
              <w:keepNext/>
              <w:keepLines/>
              <w:spacing w:after="0"/>
              <w:jc w:val="center"/>
              <w:rPr>
                <w:sz w:val="20"/>
                <w:szCs w:val="20"/>
              </w:rPr>
            </w:pPr>
            <w:r w:rsidRPr="00F6205B">
              <w:rPr>
                <w:sz w:val="20"/>
                <w:szCs w:val="20"/>
              </w:rPr>
              <w:t>28.3</w:t>
            </w:r>
          </w:p>
        </w:tc>
        <w:tc>
          <w:tcPr>
            <w:tcW w:w="990" w:type="dxa"/>
            <w:tcBorders>
              <w:top w:val="single" w:sz="4" w:space="0" w:color="000000" w:themeColor="text1"/>
              <w:bottom w:val="single" w:sz="4" w:space="0" w:color="auto"/>
            </w:tcBorders>
            <w:vAlign w:val="center"/>
          </w:tcPr>
          <w:p w14:paraId="51163AB6" w14:textId="77777777" w:rsidR="00231AE4" w:rsidRPr="00F6205B" w:rsidRDefault="00231AE4" w:rsidP="004F23CF">
            <w:pPr>
              <w:keepNext/>
              <w:keepLines/>
              <w:spacing w:after="0"/>
              <w:jc w:val="center"/>
              <w:rPr>
                <w:sz w:val="20"/>
                <w:szCs w:val="20"/>
              </w:rPr>
            </w:pPr>
            <w:r w:rsidRPr="00F6205B">
              <w:rPr>
                <w:sz w:val="20"/>
                <w:szCs w:val="20"/>
              </w:rPr>
              <w:t>22.3</w:t>
            </w:r>
          </w:p>
        </w:tc>
        <w:tc>
          <w:tcPr>
            <w:tcW w:w="990" w:type="dxa"/>
            <w:tcBorders>
              <w:top w:val="single" w:sz="4" w:space="0" w:color="000000" w:themeColor="text1"/>
              <w:bottom w:val="single" w:sz="4" w:space="0" w:color="auto"/>
            </w:tcBorders>
            <w:vAlign w:val="center"/>
          </w:tcPr>
          <w:p w14:paraId="5CD748CF" w14:textId="77777777" w:rsidR="00231AE4" w:rsidRPr="00F6205B" w:rsidRDefault="00231AE4" w:rsidP="004F23CF">
            <w:pPr>
              <w:keepNext/>
              <w:keepLines/>
              <w:spacing w:after="0"/>
              <w:jc w:val="center"/>
              <w:rPr>
                <w:sz w:val="20"/>
                <w:szCs w:val="20"/>
              </w:rPr>
            </w:pPr>
            <w:r w:rsidRPr="00F6205B">
              <w:rPr>
                <w:sz w:val="20"/>
                <w:szCs w:val="20"/>
              </w:rPr>
              <w:t>16.1</w:t>
            </w:r>
          </w:p>
        </w:tc>
        <w:tc>
          <w:tcPr>
            <w:tcW w:w="920" w:type="dxa"/>
            <w:tcBorders>
              <w:top w:val="single" w:sz="4" w:space="0" w:color="000000" w:themeColor="text1"/>
              <w:bottom w:val="single" w:sz="4" w:space="0" w:color="auto"/>
            </w:tcBorders>
            <w:vAlign w:val="center"/>
          </w:tcPr>
          <w:p w14:paraId="4A110E3B" w14:textId="77777777" w:rsidR="00231AE4" w:rsidRPr="00F6205B" w:rsidRDefault="00231AE4" w:rsidP="004F23CF">
            <w:pPr>
              <w:keepNext/>
              <w:keepLines/>
              <w:spacing w:after="0"/>
              <w:jc w:val="center"/>
              <w:rPr>
                <w:sz w:val="20"/>
                <w:szCs w:val="20"/>
              </w:rPr>
            </w:pPr>
            <w:r w:rsidRPr="00F6205B">
              <w:rPr>
                <w:sz w:val="20"/>
                <w:szCs w:val="20"/>
              </w:rPr>
              <w:t>9.8</w:t>
            </w:r>
          </w:p>
        </w:tc>
        <w:tc>
          <w:tcPr>
            <w:tcW w:w="1260" w:type="dxa"/>
            <w:tcBorders>
              <w:top w:val="single" w:sz="4" w:space="0" w:color="000000" w:themeColor="text1"/>
              <w:bottom w:val="single" w:sz="4" w:space="0" w:color="auto"/>
              <w:right w:val="single" w:sz="4" w:space="0" w:color="auto"/>
            </w:tcBorders>
            <w:vAlign w:val="center"/>
          </w:tcPr>
          <w:p w14:paraId="0B5BCFE5" w14:textId="77777777" w:rsidR="00231AE4" w:rsidRPr="00F6205B" w:rsidRDefault="00231AE4" w:rsidP="004F23CF">
            <w:pPr>
              <w:keepNext/>
              <w:keepLines/>
              <w:spacing w:after="0"/>
              <w:jc w:val="center"/>
              <w:rPr>
                <w:sz w:val="20"/>
                <w:szCs w:val="20"/>
              </w:rPr>
            </w:pPr>
            <w:r w:rsidRPr="00F6205B">
              <w:rPr>
                <w:sz w:val="20"/>
                <w:szCs w:val="20"/>
              </w:rPr>
              <w:t>- 140.8</w:t>
            </w:r>
          </w:p>
        </w:tc>
      </w:tr>
      <w:tr w:rsidR="00231AE4" w:rsidRPr="00F6205B" w14:paraId="44A0D749" w14:textId="77777777" w:rsidTr="00D8337B">
        <w:trPr>
          <w:trHeight w:val="288"/>
          <w:jc w:val="center"/>
        </w:trPr>
        <w:tc>
          <w:tcPr>
            <w:tcW w:w="8946" w:type="dxa"/>
            <w:gridSpan w:val="8"/>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17DE4244" w14:textId="77777777" w:rsidR="00231AE4" w:rsidRPr="00F6205B" w:rsidRDefault="00231AE4" w:rsidP="004F23CF">
            <w:pPr>
              <w:keepNext/>
              <w:keepLines/>
              <w:spacing w:after="0"/>
              <w:jc w:val="center"/>
              <w:rPr>
                <w:b/>
                <w:color w:val="FFFFFF" w:themeColor="background1"/>
                <w:sz w:val="20"/>
                <w:szCs w:val="20"/>
              </w:rPr>
            </w:pPr>
            <w:r w:rsidRPr="00F6205B">
              <w:rPr>
                <w:b/>
                <w:color w:val="FFFFFF" w:themeColor="background1"/>
                <w:sz w:val="20"/>
                <w:szCs w:val="20"/>
              </w:rPr>
              <w:t>Natural Gas Consumption (million ccf)</w:t>
            </w:r>
          </w:p>
        </w:tc>
      </w:tr>
      <w:tr w:rsidR="00231AE4" w:rsidRPr="00F6205B" w14:paraId="44B65CA4" w14:textId="77777777" w:rsidTr="00ED1A4B">
        <w:trPr>
          <w:trHeight w:val="288"/>
          <w:jc w:val="center"/>
        </w:trPr>
        <w:tc>
          <w:tcPr>
            <w:tcW w:w="1997" w:type="dxa"/>
            <w:tcBorders>
              <w:top w:val="single" w:sz="4" w:space="0" w:color="auto"/>
              <w:left w:val="single" w:sz="4" w:space="0" w:color="auto"/>
              <w:bottom w:val="single" w:sz="4" w:space="0" w:color="000000" w:themeColor="text1"/>
              <w:right w:val="single" w:sz="4" w:space="0" w:color="000000" w:themeColor="text1"/>
            </w:tcBorders>
            <w:vAlign w:val="center"/>
          </w:tcPr>
          <w:p w14:paraId="696FE847" w14:textId="77777777" w:rsidR="00231AE4" w:rsidRPr="00F6205B" w:rsidRDefault="00231AE4" w:rsidP="004F23CF">
            <w:pPr>
              <w:keepNext/>
              <w:keepLines/>
              <w:spacing w:after="0"/>
              <w:rPr>
                <w:sz w:val="20"/>
                <w:szCs w:val="20"/>
              </w:rPr>
            </w:pPr>
            <w:r w:rsidRPr="00F6205B">
              <w:rPr>
                <w:sz w:val="20"/>
                <w:szCs w:val="20"/>
              </w:rPr>
              <w:t>No fuel switching</w:t>
            </w:r>
          </w:p>
        </w:tc>
        <w:tc>
          <w:tcPr>
            <w:tcW w:w="921" w:type="dxa"/>
            <w:vMerge w:val="restart"/>
            <w:tcBorders>
              <w:top w:val="single" w:sz="4" w:space="0" w:color="auto"/>
            </w:tcBorders>
            <w:vAlign w:val="center"/>
          </w:tcPr>
          <w:p w14:paraId="052EE70E" w14:textId="77777777" w:rsidR="00231AE4" w:rsidRPr="00F6205B" w:rsidRDefault="00231AE4" w:rsidP="004F23CF">
            <w:pPr>
              <w:keepNext/>
              <w:keepLines/>
              <w:spacing w:after="0"/>
              <w:jc w:val="center"/>
              <w:rPr>
                <w:sz w:val="20"/>
                <w:szCs w:val="20"/>
              </w:rPr>
            </w:pPr>
            <w:r w:rsidRPr="00F6205B">
              <w:rPr>
                <w:sz w:val="20"/>
                <w:szCs w:val="20"/>
              </w:rPr>
              <w:t>326.8</w:t>
            </w:r>
          </w:p>
        </w:tc>
        <w:tc>
          <w:tcPr>
            <w:tcW w:w="900" w:type="dxa"/>
            <w:vMerge w:val="restart"/>
            <w:tcBorders>
              <w:top w:val="single" w:sz="4" w:space="0" w:color="auto"/>
            </w:tcBorders>
            <w:vAlign w:val="center"/>
          </w:tcPr>
          <w:p w14:paraId="7362AFD7" w14:textId="77777777" w:rsidR="00231AE4" w:rsidRPr="00F6205B" w:rsidRDefault="00231AE4" w:rsidP="004F23CF">
            <w:pPr>
              <w:keepNext/>
              <w:keepLines/>
              <w:spacing w:after="0"/>
              <w:jc w:val="center"/>
              <w:rPr>
                <w:i/>
                <w:sz w:val="20"/>
                <w:szCs w:val="20"/>
              </w:rPr>
            </w:pPr>
            <w:r w:rsidRPr="00F6205B">
              <w:rPr>
                <w:i/>
                <w:sz w:val="20"/>
                <w:szCs w:val="20"/>
              </w:rPr>
              <w:t>0.7%</w:t>
            </w:r>
          </w:p>
        </w:tc>
        <w:tc>
          <w:tcPr>
            <w:tcW w:w="968" w:type="dxa"/>
            <w:tcBorders>
              <w:top w:val="single" w:sz="4" w:space="0" w:color="auto"/>
              <w:bottom w:val="single" w:sz="4" w:space="0" w:color="000000" w:themeColor="text1"/>
              <w:right w:val="single" w:sz="4" w:space="0" w:color="000000" w:themeColor="text1"/>
            </w:tcBorders>
            <w:vAlign w:val="center"/>
          </w:tcPr>
          <w:p w14:paraId="2C00CE4E" w14:textId="77777777" w:rsidR="00231AE4" w:rsidRPr="00F6205B" w:rsidRDefault="00231AE4" w:rsidP="004F23CF">
            <w:pPr>
              <w:keepNext/>
              <w:keepLines/>
              <w:spacing w:after="0"/>
              <w:jc w:val="center"/>
              <w:rPr>
                <w:sz w:val="20"/>
                <w:szCs w:val="20"/>
              </w:rPr>
            </w:pPr>
            <w:r w:rsidRPr="00F6205B">
              <w:rPr>
                <w:sz w:val="20"/>
                <w:szCs w:val="20"/>
              </w:rPr>
              <w:t>330.3</w:t>
            </w:r>
          </w:p>
        </w:tc>
        <w:tc>
          <w:tcPr>
            <w:tcW w:w="990" w:type="dxa"/>
            <w:tcBorders>
              <w:top w:val="single" w:sz="4" w:space="0" w:color="auto"/>
              <w:bottom w:val="single" w:sz="4" w:space="0" w:color="000000" w:themeColor="text1"/>
            </w:tcBorders>
            <w:vAlign w:val="center"/>
          </w:tcPr>
          <w:p w14:paraId="35F76246" w14:textId="77777777" w:rsidR="00231AE4" w:rsidRPr="00F6205B" w:rsidRDefault="00231AE4" w:rsidP="004F23CF">
            <w:pPr>
              <w:keepNext/>
              <w:keepLines/>
              <w:spacing w:after="0"/>
              <w:jc w:val="center"/>
              <w:rPr>
                <w:sz w:val="20"/>
                <w:szCs w:val="20"/>
              </w:rPr>
            </w:pPr>
            <w:r w:rsidRPr="00F6205B">
              <w:rPr>
                <w:sz w:val="20"/>
                <w:szCs w:val="20"/>
              </w:rPr>
              <w:t>336.1</w:t>
            </w:r>
          </w:p>
        </w:tc>
        <w:tc>
          <w:tcPr>
            <w:tcW w:w="990" w:type="dxa"/>
            <w:tcBorders>
              <w:top w:val="single" w:sz="4" w:space="0" w:color="auto"/>
              <w:bottom w:val="single" w:sz="4" w:space="0" w:color="000000" w:themeColor="text1"/>
            </w:tcBorders>
            <w:vAlign w:val="center"/>
          </w:tcPr>
          <w:p w14:paraId="6E81EC65" w14:textId="77777777" w:rsidR="00231AE4" w:rsidRPr="00F6205B" w:rsidRDefault="00231AE4" w:rsidP="004F23CF">
            <w:pPr>
              <w:keepNext/>
              <w:keepLines/>
              <w:spacing w:after="0"/>
              <w:jc w:val="center"/>
              <w:rPr>
                <w:sz w:val="20"/>
                <w:szCs w:val="20"/>
              </w:rPr>
            </w:pPr>
            <w:r w:rsidRPr="00F6205B">
              <w:rPr>
                <w:sz w:val="20"/>
                <w:szCs w:val="20"/>
              </w:rPr>
              <w:t>342.0</w:t>
            </w:r>
          </w:p>
        </w:tc>
        <w:tc>
          <w:tcPr>
            <w:tcW w:w="920" w:type="dxa"/>
            <w:tcBorders>
              <w:top w:val="single" w:sz="4" w:space="0" w:color="auto"/>
              <w:bottom w:val="single" w:sz="4" w:space="0" w:color="000000" w:themeColor="text1"/>
            </w:tcBorders>
            <w:vAlign w:val="center"/>
          </w:tcPr>
          <w:p w14:paraId="0956DE26" w14:textId="77777777" w:rsidR="00231AE4" w:rsidRPr="00F6205B" w:rsidRDefault="00231AE4" w:rsidP="004F23CF">
            <w:pPr>
              <w:keepNext/>
              <w:keepLines/>
              <w:spacing w:after="0"/>
              <w:jc w:val="center"/>
              <w:rPr>
                <w:sz w:val="20"/>
                <w:szCs w:val="20"/>
              </w:rPr>
            </w:pPr>
            <w:r w:rsidRPr="00F6205B">
              <w:rPr>
                <w:sz w:val="20"/>
                <w:szCs w:val="20"/>
              </w:rPr>
              <w:t>348.0</w:t>
            </w:r>
          </w:p>
        </w:tc>
        <w:tc>
          <w:tcPr>
            <w:tcW w:w="1260" w:type="dxa"/>
            <w:tcBorders>
              <w:top w:val="single" w:sz="4" w:space="0" w:color="auto"/>
              <w:bottom w:val="single" w:sz="4" w:space="0" w:color="000000" w:themeColor="text1"/>
              <w:right w:val="single" w:sz="4" w:space="0" w:color="auto"/>
            </w:tcBorders>
            <w:vAlign w:val="center"/>
          </w:tcPr>
          <w:p w14:paraId="64950A3B" w14:textId="77777777" w:rsidR="00231AE4" w:rsidRPr="00F6205B" w:rsidRDefault="00231AE4" w:rsidP="004F23CF">
            <w:pPr>
              <w:keepNext/>
              <w:keepLines/>
              <w:spacing w:after="0"/>
              <w:jc w:val="center"/>
              <w:rPr>
                <w:sz w:val="20"/>
                <w:szCs w:val="20"/>
              </w:rPr>
            </w:pPr>
            <w:r w:rsidRPr="00F6205B">
              <w:rPr>
                <w:sz w:val="20"/>
                <w:szCs w:val="20"/>
              </w:rPr>
              <w:t>-</w:t>
            </w:r>
          </w:p>
        </w:tc>
      </w:tr>
      <w:tr w:rsidR="00231AE4" w:rsidRPr="00F6205B" w14:paraId="20B7B57D" w14:textId="77777777" w:rsidTr="00ED1A4B">
        <w:trPr>
          <w:trHeight w:val="288"/>
          <w:jc w:val="center"/>
        </w:trPr>
        <w:tc>
          <w:tcPr>
            <w:tcW w:w="199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30CC5F0" w14:textId="77777777" w:rsidR="00231AE4" w:rsidRPr="00F6205B" w:rsidRDefault="00231AE4" w:rsidP="004F23CF">
            <w:pPr>
              <w:keepNext/>
              <w:keepLines/>
              <w:spacing w:after="0"/>
              <w:rPr>
                <w:sz w:val="20"/>
                <w:szCs w:val="20"/>
              </w:rPr>
            </w:pPr>
            <w:r w:rsidRPr="00F6205B">
              <w:rPr>
                <w:sz w:val="20"/>
                <w:szCs w:val="20"/>
              </w:rPr>
              <w:t>25% Uptake</w:t>
            </w:r>
          </w:p>
        </w:tc>
        <w:tc>
          <w:tcPr>
            <w:tcW w:w="921" w:type="dxa"/>
            <w:vMerge/>
            <w:vAlign w:val="center"/>
          </w:tcPr>
          <w:p w14:paraId="3C12512B" w14:textId="77777777" w:rsidR="00231AE4" w:rsidRPr="00F6205B" w:rsidRDefault="00231AE4" w:rsidP="004F23CF">
            <w:pPr>
              <w:keepNext/>
              <w:keepLines/>
              <w:spacing w:after="0"/>
              <w:jc w:val="center"/>
              <w:rPr>
                <w:sz w:val="20"/>
                <w:szCs w:val="20"/>
              </w:rPr>
            </w:pPr>
          </w:p>
        </w:tc>
        <w:tc>
          <w:tcPr>
            <w:tcW w:w="900" w:type="dxa"/>
            <w:vMerge/>
            <w:vAlign w:val="center"/>
          </w:tcPr>
          <w:p w14:paraId="25C0B551" w14:textId="77777777" w:rsidR="00231AE4" w:rsidRPr="00F6205B" w:rsidRDefault="00231AE4" w:rsidP="004F23CF">
            <w:pPr>
              <w:keepNext/>
              <w:keepLines/>
              <w:spacing w:after="0"/>
              <w:jc w:val="center"/>
              <w:rPr>
                <w:sz w:val="20"/>
                <w:szCs w:val="20"/>
              </w:rPr>
            </w:pPr>
          </w:p>
        </w:tc>
        <w:tc>
          <w:tcPr>
            <w:tcW w:w="968" w:type="dxa"/>
            <w:tcBorders>
              <w:top w:val="single" w:sz="4" w:space="0" w:color="000000" w:themeColor="text1"/>
              <w:bottom w:val="single" w:sz="4" w:space="0" w:color="000000" w:themeColor="text1"/>
              <w:right w:val="single" w:sz="4" w:space="0" w:color="000000" w:themeColor="text1"/>
            </w:tcBorders>
            <w:vAlign w:val="center"/>
          </w:tcPr>
          <w:p w14:paraId="6CF89DF8" w14:textId="77777777" w:rsidR="00231AE4" w:rsidRPr="00F6205B" w:rsidRDefault="00231AE4" w:rsidP="004F23CF">
            <w:pPr>
              <w:keepNext/>
              <w:keepLines/>
              <w:spacing w:after="0"/>
              <w:jc w:val="center"/>
              <w:rPr>
                <w:sz w:val="20"/>
                <w:szCs w:val="20"/>
              </w:rPr>
            </w:pPr>
            <w:r w:rsidRPr="00F6205B">
              <w:rPr>
                <w:sz w:val="20"/>
                <w:szCs w:val="20"/>
              </w:rPr>
              <w:t>347.1</w:t>
            </w:r>
          </w:p>
        </w:tc>
        <w:tc>
          <w:tcPr>
            <w:tcW w:w="990" w:type="dxa"/>
            <w:tcBorders>
              <w:top w:val="single" w:sz="4" w:space="0" w:color="000000" w:themeColor="text1"/>
              <w:bottom w:val="single" w:sz="4" w:space="0" w:color="000000" w:themeColor="text1"/>
            </w:tcBorders>
            <w:vAlign w:val="center"/>
          </w:tcPr>
          <w:p w14:paraId="18D1201E" w14:textId="77777777" w:rsidR="00231AE4" w:rsidRPr="00F6205B" w:rsidRDefault="00231AE4" w:rsidP="004F23CF">
            <w:pPr>
              <w:keepNext/>
              <w:keepLines/>
              <w:spacing w:after="0"/>
              <w:jc w:val="center"/>
              <w:rPr>
                <w:sz w:val="20"/>
                <w:szCs w:val="20"/>
              </w:rPr>
            </w:pPr>
            <w:r w:rsidRPr="00F6205B">
              <w:rPr>
                <w:sz w:val="20"/>
                <w:szCs w:val="20"/>
              </w:rPr>
              <w:t>370.4</w:t>
            </w:r>
          </w:p>
        </w:tc>
        <w:tc>
          <w:tcPr>
            <w:tcW w:w="990" w:type="dxa"/>
            <w:tcBorders>
              <w:top w:val="single" w:sz="4" w:space="0" w:color="000000" w:themeColor="text1"/>
              <w:bottom w:val="single" w:sz="4" w:space="0" w:color="000000" w:themeColor="text1"/>
            </w:tcBorders>
            <w:vAlign w:val="center"/>
          </w:tcPr>
          <w:p w14:paraId="29C9DD77" w14:textId="77777777" w:rsidR="00231AE4" w:rsidRPr="00F6205B" w:rsidRDefault="00231AE4" w:rsidP="004F23CF">
            <w:pPr>
              <w:keepNext/>
              <w:keepLines/>
              <w:spacing w:after="0"/>
              <w:jc w:val="center"/>
              <w:rPr>
                <w:sz w:val="20"/>
                <w:szCs w:val="20"/>
              </w:rPr>
            </w:pPr>
            <w:r w:rsidRPr="00F6205B">
              <w:rPr>
                <w:sz w:val="20"/>
                <w:szCs w:val="20"/>
              </w:rPr>
              <w:t>394.3</w:t>
            </w:r>
          </w:p>
        </w:tc>
        <w:tc>
          <w:tcPr>
            <w:tcW w:w="920" w:type="dxa"/>
            <w:tcBorders>
              <w:top w:val="single" w:sz="4" w:space="0" w:color="000000" w:themeColor="text1"/>
              <w:bottom w:val="single" w:sz="4" w:space="0" w:color="000000" w:themeColor="text1"/>
            </w:tcBorders>
            <w:vAlign w:val="center"/>
          </w:tcPr>
          <w:p w14:paraId="4041EB68" w14:textId="77777777" w:rsidR="00231AE4" w:rsidRPr="00F6205B" w:rsidRDefault="00231AE4" w:rsidP="004F23CF">
            <w:pPr>
              <w:keepNext/>
              <w:keepLines/>
              <w:spacing w:after="0"/>
              <w:jc w:val="center"/>
              <w:rPr>
                <w:sz w:val="20"/>
                <w:szCs w:val="20"/>
              </w:rPr>
            </w:pPr>
            <w:r w:rsidRPr="00F6205B">
              <w:rPr>
                <w:sz w:val="20"/>
                <w:szCs w:val="20"/>
              </w:rPr>
              <w:t>419.0</w:t>
            </w:r>
          </w:p>
        </w:tc>
        <w:tc>
          <w:tcPr>
            <w:tcW w:w="1260" w:type="dxa"/>
            <w:tcBorders>
              <w:top w:val="single" w:sz="4" w:space="0" w:color="000000" w:themeColor="text1"/>
              <w:bottom w:val="single" w:sz="4" w:space="0" w:color="000000" w:themeColor="text1"/>
              <w:right w:val="single" w:sz="4" w:space="0" w:color="auto"/>
            </w:tcBorders>
            <w:vAlign w:val="center"/>
          </w:tcPr>
          <w:p w14:paraId="3BF0D211" w14:textId="77777777" w:rsidR="00231AE4" w:rsidRPr="00F6205B" w:rsidRDefault="00231AE4" w:rsidP="004F23CF">
            <w:pPr>
              <w:keepNext/>
              <w:keepLines/>
              <w:spacing w:after="0"/>
              <w:jc w:val="center"/>
              <w:rPr>
                <w:sz w:val="20"/>
                <w:szCs w:val="20"/>
              </w:rPr>
            </w:pPr>
            <w:r w:rsidRPr="00F6205B">
              <w:rPr>
                <w:sz w:val="20"/>
                <w:szCs w:val="20"/>
              </w:rPr>
              <w:t>+ 382.3</w:t>
            </w:r>
          </w:p>
        </w:tc>
      </w:tr>
      <w:tr w:rsidR="00231AE4" w:rsidRPr="00F6205B" w14:paraId="3191383E" w14:textId="77777777" w:rsidTr="00ED1A4B">
        <w:trPr>
          <w:trHeight w:val="288"/>
          <w:jc w:val="center"/>
        </w:trPr>
        <w:tc>
          <w:tcPr>
            <w:tcW w:w="199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2BA31AF" w14:textId="77777777" w:rsidR="00231AE4" w:rsidRPr="00F6205B" w:rsidRDefault="00231AE4" w:rsidP="004F23CF">
            <w:pPr>
              <w:keepNext/>
              <w:keepLines/>
              <w:spacing w:after="0"/>
              <w:rPr>
                <w:sz w:val="20"/>
                <w:szCs w:val="20"/>
              </w:rPr>
            </w:pPr>
            <w:r w:rsidRPr="00F6205B">
              <w:rPr>
                <w:sz w:val="20"/>
                <w:szCs w:val="20"/>
              </w:rPr>
              <w:t>50% Uptake</w:t>
            </w:r>
          </w:p>
        </w:tc>
        <w:tc>
          <w:tcPr>
            <w:tcW w:w="921" w:type="dxa"/>
            <w:vMerge/>
            <w:vAlign w:val="center"/>
          </w:tcPr>
          <w:p w14:paraId="7C10E608" w14:textId="77777777" w:rsidR="00231AE4" w:rsidRPr="00F6205B" w:rsidRDefault="00231AE4" w:rsidP="004F23CF">
            <w:pPr>
              <w:keepNext/>
              <w:keepLines/>
              <w:spacing w:after="0"/>
              <w:jc w:val="center"/>
              <w:rPr>
                <w:sz w:val="20"/>
                <w:szCs w:val="20"/>
              </w:rPr>
            </w:pPr>
          </w:p>
        </w:tc>
        <w:tc>
          <w:tcPr>
            <w:tcW w:w="900" w:type="dxa"/>
            <w:vMerge/>
            <w:vAlign w:val="center"/>
          </w:tcPr>
          <w:p w14:paraId="2F55AA7B" w14:textId="77777777" w:rsidR="00231AE4" w:rsidRPr="00F6205B" w:rsidRDefault="00231AE4" w:rsidP="004F23CF">
            <w:pPr>
              <w:keepNext/>
              <w:keepLines/>
              <w:spacing w:after="0"/>
              <w:jc w:val="center"/>
              <w:rPr>
                <w:sz w:val="20"/>
                <w:szCs w:val="20"/>
              </w:rPr>
            </w:pPr>
          </w:p>
        </w:tc>
        <w:tc>
          <w:tcPr>
            <w:tcW w:w="968" w:type="dxa"/>
            <w:tcBorders>
              <w:top w:val="single" w:sz="4" w:space="0" w:color="000000" w:themeColor="text1"/>
              <w:bottom w:val="single" w:sz="4" w:space="0" w:color="000000" w:themeColor="text1"/>
              <w:right w:val="single" w:sz="4" w:space="0" w:color="000000" w:themeColor="text1"/>
            </w:tcBorders>
            <w:vAlign w:val="center"/>
          </w:tcPr>
          <w:p w14:paraId="047A07FB" w14:textId="77777777" w:rsidR="00231AE4" w:rsidRPr="00F6205B" w:rsidRDefault="00231AE4" w:rsidP="004F23CF">
            <w:pPr>
              <w:keepNext/>
              <w:keepLines/>
              <w:spacing w:after="0"/>
              <w:jc w:val="center"/>
              <w:rPr>
                <w:sz w:val="20"/>
                <w:szCs w:val="20"/>
              </w:rPr>
            </w:pPr>
            <w:r w:rsidRPr="00F6205B">
              <w:rPr>
                <w:sz w:val="20"/>
                <w:szCs w:val="20"/>
              </w:rPr>
              <w:t>364.0</w:t>
            </w:r>
          </w:p>
        </w:tc>
        <w:tc>
          <w:tcPr>
            <w:tcW w:w="990" w:type="dxa"/>
            <w:tcBorders>
              <w:top w:val="single" w:sz="4" w:space="0" w:color="000000" w:themeColor="text1"/>
              <w:bottom w:val="single" w:sz="4" w:space="0" w:color="000000" w:themeColor="text1"/>
            </w:tcBorders>
            <w:vAlign w:val="center"/>
          </w:tcPr>
          <w:p w14:paraId="5890CCBF" w14:textId="77777777" w:rsidR="00231AE4" w:rsidRPr="00F6205B" w:rsidRDefault="00231AE4" w:rsidP="004F23CF">
            <w:pPr>
              <w:keepNext/>
              <w:keepLines/>
              <w:spacing w:after="0"/>
              <w:jc w:val="center"/>
              <w:rPr>
                <w:sz w:val="20"/>
                <w:szCs w:val="20"/>
              </w:rPr>
            </w:pPr>
            <w:r w:rsidRPr="00F6205B">
              <w:rPr>
                <w:sz w:val="20"/>
                <w:szCs w:val="20"/>
              </w:rPr>
              <w:t>404.6</w:t>
            </w:r>
          </w:p>
        </w:tc>
        <w:tc>
          <w:tcPr>
            <w:tcW w:w="990" w:type="dxa"/>
            <w:tcBorders>
              <w:top w:val="single" w:sz="4" w:space="0" w:color="000000" w:themeColor="text1"/>
              <w:bottom w:val="single" w:sz="4" w:space="0" w:color="000000" w:themeColor="text1"/>
            </w:tcBorders>
            <w:vAlign w:val="center"/>
          </w:tcPr>
          <w:p w14:paraId="460BADCD" w14:textId="77777777" w:rsidR="00231AE4" w:rsidRPr="00F6205B" w:rsidRDefault="00231AE4" w:rsidP="004F23CF">
            <w:pPr>
              <w:keepNext/>
              <w:keepLines/>
              <w:spacing w:after="0"/>
              <w:jc w:val="center"/>
              <w:rPr>
                <w:sz w:val="20"/>
                <w:szCs w:val="20"/>
              </w:rPr>
            </w:pPr>
            <w:r w:rsidRPr="00F6205B">
              <w:rPr>
                <w:sz w:val="20"/>
                <w:szCs w:val="20"/>
              </w:rPr>
              <w:t>446.6</w:t>
            </w:r>
          </w:p>
        </w:tc>
        <w:tc>
          <w:tcPr>
            <w:tcW w:w="920" w:type="dxa"/>
            <w:tcBorders>
              <w:top w:val="single" w:sz="4" w:space="0" w:color="000000" w:themeColor="text1"/>
              <w:bottom w:val="single" w:sz="4" w:space="0" w:color="000000" w:themeColor="text1"/>
            </w:tcBorders>
            <w:vAlign w:val="center"/>
          </w:tcPr>
          <w:p w14:paraId="49177953" w14:textId="77777777" w:rsidR="00231AE4" w:rsidRPr="00F6205B" w:rsidRDefault="00231AE4" w:rsidP="004F23CF">
            <w:pPr>
              <w:keepNext/>
              <w:keepLines/>
              <w:spacing w:after="0"/>
              <w:jc w:val="center"/>
              <w:rPr>
                <w:sz w:val="20"/>
                <w:szCs w:val="20"/>
              </w:rPr>
            </w:pPr>
            <w:r w:rsidRPr="00F6205B">
              <w:rPr>
                <w:sz w:val="20"/>
                <w:szCs w:val="20"/>
              </w:rPr>
              <w:t>490.0</w:t>
            </w:r>
          </w:p>
        </w:tc>
        <w:tc>
          <w:tcPr>
            <w:tcW w:w="1260" w:type="dxa"/>
            <w:tcBorders>
              <w:top w:val="single" w:sz="4" w:space="0" w:color="000000" w:themeColor="text1"/>
              <w:bottom w:val="single" w:sz="4" w:space="0" w:color="000000" w:themeColor="text1"/>
              <w:right w:val="single" w:sz="4" w:space="0" w:color="auto"/>
            </w:tcBorders>
            <w:vAlign w:val="center"/>
          </w:tcPr>
          <w:p w14:paraId="2496358D" w14:textId="77777777" w:rsidR="00231AE4" w:rsidRPr="00F6205B" w:rsidRDefault="00231AE4" w:rsidP="004F23CF">
            <w:pPr>
              <w:keepNext/>
              <w:keepLines/>
              <w:spacing w:after="0"/>
              <w:jc w:val="center"/>
              <w:rPr>
                <w:sz w:val="20"/>
                <w:szCs w:val="20"/>
              </w:rPr>
            </w:pPr>
            <w:r w:rsidRPr="00F6205B">
              <w:rPr>
                <w:sz w:val="20"/>
                <w:szCs w:val="20"/>
              </w:rPr>
              <w:t>+ 764.5</w:t>
            </w:r>
          </w:p>
        </w:tc>
      </w:tr>
      <w:tr w:rsidR="00231AE4" w:rsidRPr="00F6205B" w14:paraId="299B4C1D" w14:textId="77777777" w:rsidTr="00ED1A4B">
        <w:trPr>
          <w:trHeight w:val="288"/>
          <w:jc w:val="center"/>
        </w:trPr>
        <w:tc>
          <w:tcPr>
            <w:tcW w:w="199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B276A15" w14:textId="77777777" w:rsidR="00231AE4" w:rsidRPr="00F6205B" w:rsidRDefault="00231AE4" w:rsidP="004F23CF">
            <w:pPr>
              <w:keepNext/>
              <w:keepLines/>
              <w:spacing w:after="0"/>
              <w:rPr>
                <w:sz w:val="20"/>
                <w:szCs w:val="20"/>
              </w:rPr>
            </w:pPr>
            <w:r w:rsidRPr="00F6205B">
              <w:rPr>
                <w:sz w:val="20"/>
                <w:szCs w:val="20"/>
              </w:rPr>
              <w:t>75% Uptake</w:t>
            </w:r>
          </w:p>
        </w:tc>
        <w:tc>
          <w:tcPr>
            <w:tcW w:w="921" w:type="dxa"/>
            <w:vMerge/>
            <w:vAlign w:val="center"/>
          </w:tcPr>
          <w:p w14:paraId="221D6D04" w14:textId="77777777" w:rsidR="00231AE4" w:rsidRPr="00F6205B" w:rsidRDefault="00231AE4" w:rsidP="004F23CF">
            <w:pPr>
              <w:keepNext/>
              <w:keepLines/>
              <w:spacing w:after="0"/>
              <w:jc w:val="center"/>
              <w:rPr>
                <w:sz w:val="20"/>
                <w:szCs w:val="20"/>
              </w:rPr>
            </w:pPr>
          </w:p>
        </w:tc>
        <w:tc>
          <w:tcPr>
            <w:tcW w:w="900" w:type="dxa"/>
            <w:vMerge/>
            <w:vAlign w:val="center"/>
          </w:tcPr>
          <w:p w14:paraId="5DEBED92" w14:textId="77777777" w:rsidR="00231AE4" w:rsidRPr="00F6205B" w:rsidRDefault="00231AE4" w:rsidP="004F23CF">
            <w:pPr>
              <w:keepNext/>
              <w:keepLines/>
              <w:spacing w:after="0"/>
              <w:jc w:val="center"/>
              <w:rPr>
                <w:sz w:val="20"/>
                <w:szCs w:val="20"/>
              </w:rPr>
            </w:pPr>
          </w:p>
        </w:tc>
        <w:tc>
          <w:tcPr>
            <w:tcW w:w="968" w:type="dxa"/>
            <w:tcBorders>
              <w:top w:val="single" w:sz="4" w:space="0" w:color="000000" w:themeColor="text1"/>
              <w:bottom w:val="single" w:sz="4" w:space="0" w:color="000000" w:themeColor="text1"/>
              <w:right w:val="single" w:sz="4" w:space="0" w:color="000000" w:themeColor="text1"/>
            </w:tcBorders>
            <w:vAlign w:val="center"/>
          </w:tcPr>
          <w:p w14:paraId="3F05DFF1" w14:textId="77777777" w:rsidR="00231AE4" w:rsidRPr="00F6205B" w:rsidRDefault="00231AE4" w:rsidP="004F23CF">
            <w:pPr>
              <w:keepNext/>
              <w:keepLines/>
              <w:spacing w:after="0"/>
              <w:jc w:val="center"/>
              <w:rPr>
                <w:sz w:val="20"/>
                <w:szCs w:val="20"/>
              </w:rPr>
            </w:pPr>
            <w:r w:rsidRPr="00F6205B">
              <w:rPr>
                <w:sz w:val="20"/>
                <w:szCs w:val="20"/>
              </w:rPr>
              <w:t>380.8</w:t>
            </w:r>
          </w:p>
        </w:tc>
        <w:tc>
          <w:tcPr>
            <w:tcW w:w="990" w:type="dxa"/>
            <w:tcBorders>
              <w:top w:val="single" w:sz="4" w:space="0" w:color="000000" w:themeColor="text1"/>
              <w:bottom w:val="single" w:sz="4" w:space="0" w:color="000000" w:themeColor="text1"/>
            </w:tcBorders>
            <w:vAlign w:val="center"/>
          </w:tcPr>
          <w:p w14:paraId="5F6CFB96" w14:textId="77777777" w:rsidR="00231AE4" w:rsidRPr="00F6205B" w:rsidRDefault="00231AE4" w:rsidP="004F23CF">
            <w:pPr>
              <w:keepNext/>
              <w:keepLines/>
              <w:spacing w:after="0"/>
              <w:jc w:val="center"/>
              <w:rPr>
                <w:sz w:val="20"/>
                <w:szCs w:val="20"/>
              </w:rPr>
            </w:pPr>
            <w:r w:rsidRPr="00F6205B">
              <w:rPr>
                <w:sz w:val="20"/>
                <w:szCs w:val="20"/>
              </w:rPr>
              <w:t>438.9</w:t>
            </w:r>
          </w:p>
        </w:tc>
        <w:tc>
          <w:tcPr>
            <w:tcW w:w="990" w:type="dxa"/>
            <w:tcBorders>
              <w:top w:val="single" w:sz="4" w:space="0" w:color="000000" w:themeColor="text1"/>
              <w:bottom w:val="single" w:sz="4" w:space="0" w:color="000000" w:themeColor="text1"/>
            </w:tcBorders>
            <w:vAlign w:val="center"/>
          </w:tcPr>
          <w:p w14:paraId="72FC9DEE" w14:textId="77777777" w:rsidR="00231AE4" w:rsidRPr="00F6205B" w:rsidRDefault="00231AE4" w:rsidP="004F23CF">
            <w:pPr>
              <w:keepNext/>
              <w:keepLines/>
              <w:spacing w:after="0"/>
              <w:jc w:val="center"/>
              <w:rPr>
                <w:sz w:val="20"/>
                <w:szCs w:val="20"/>
              </w:rPr>
            </w:pPr>
            <w:r w:rsidRPr="00F6205B">
              <w:rPr>
                <w:sz w:val="20"/>
                <w:szCs w:val="20"/>
              </w:rPr>
              <w:t>498.9</w:t>
            </w:r>
          </w:p>
        </w:tc>
        <w:tc>
          <w:tcPr>
            <w:tcW w:w="920" w:type="dxa"/>
            <w:tcBorders>
              <w:top w:val="single" w:sz="4" w:space="0" w:color="000000" w:themeColor="text1"/>
              <w:bottom w:val="single" w:sz="4" w:space="0" w:color="000000" w:themeColor="text1"/>
            </w:tcBorders>
            <w:vAlign w:val="center"/>
          </w:tcPr>
          <w:p w14:paraId="604397A3" w14:textId="77777777" w:rsidR="00231AE4" w:rsidRPr="00F6205B" w:rsidRDefault="00231AE4" w:rsidP="004F23CF">
            <w:pPr>
              <w:keepNext/>
              <w:keepLines/>
              <w:spacing w:after="0"/>
              <w:jc w:val="center"/>
              <w:rPr>
                <w:sz w:val="20"/>
                <w:szCs w:val="20"/>
              </w:rPr>
            </w:pPr>
            <w:r w:rsidRPr="00F6205B">
              <w:rPr>
                <w:sz w:val="20"/>
                <w:szCs w:val="20"/>
              </w:rPr>
              <w:t>560.9</w:t>
            </w:r>
          </w:p>
        </w:tc>
        <w:tc>
          <w:tcPr>
            <w:tcW w:w="1260" w:type="dxa"/>
            <w:tcBorders>
              <w:top w:val="single" w:sz="4" w:space="0" w:color="000000" w:themeColor="text1"/>
              <w:bottom w:val="single" w:sz="4" w:space="0" w:color="000000" w:themeColor="text1"/>
              <w:right w:val="single" w:sz="4" w:space="0" w:color="auto"/>
            </w:tcBorders>
            <w:vAlign w:val="center"/>
          </w:tcPr>
          <w:p w14:paraId="1C1D42E0" w14:textId="77777777" w:rsidR="00231AE4" w:rsidRPr="00F6205B" w:rsidRDefault="00231AE4" w:rsidP="004F23CF">
            <w:pPr>
              <w:keepNext/>
              <w:keepLines/>
              <w:spacing w:after="0"/>
              <w:jc w:val="center"/>
              <w:rPr>
                <w:sz w:val="20"/>
                <w:szCs w:val="20"/>
              </w:rPr>
            </w:pPr>
            <w:r w:rsidRPr="00F6205B">
              <w:rPr>
                <w:sz w:val="20"/>
                <w:szCs w:val="20"/>
              </w:rPr>
              <w:t>+ 1,146.8</w:t>
            </w:r>
          </w:p>
        </w:tc>
      </w:tr>
      <w:tr w:rsidR="00231AE4" w:rsidRPr="00F6205B" w14:paraId="5813D545" w14:textId="77777777" w:rsidTr="00ED1A4B">
        <w:trPr>
          <w:trHeight w:val="288"/>
          <w:jc w:val="center"/>
        </w:trPr>
        <w:tc>
          <w:tcPr>
            <w:tcW w:w="1997" w:type="dxa"/>
            <w:tcBorders>
              <w:top w:val="single" w:sz="4" w:space="0" w:color="000000" w:themeColor="text1"/>
              <w:left w:val="single" w:sz="4" w:space="0" w:color="auto"/>
              <w:bottom w:val="single" w:sz="4" w:space="0" w:color="auto"/>
              <w:right w:val="single" w:sz="4" w:space="0" w:color="000000" w:themeColor="text1"/>
            </w:tcBorders>
            <w:vAlign w:val="center"/>
          </w:tcPr>
          <w:p w14:paraId="45C3CBFA" w14:textId="77777777" w:rsidR="00231AE4" w:rsidRPr="00F6205B" w:rsidRDefault="00231AE4" w:rsidP="004F23CF">
            <w:pPr>
              <w:keepNext/>
              <w:keepLines/>
              <w:spacing w:after="0"/>
              <w:rPr>
                <w:sz w:val="20"/>
                <w:szCs w:val="20"/>
              </w:rPr>
            </w:pPr>
            <w:r w:rsidRPr="00F6205B">
              <w:rPr>
                <w:sz w:val="20"/>
                <w:szCs w:val="20"/>
              </w:rPr>
              <w:t>100% Uptake</w:t>
            </w:r>
          </w:p>
        </w:tc>
        <w:tc>
          <w:tcPr>
            <w:tcW w:w="921" w:type="dxa"/>
            <w:vMerge/>
            <w:tcBorders>
              <w:bottom w:val="single" w:sz="4" w:space="0" w:color="auto"/>
            </w:tcBorders>
            <w:vAlign w:val="center"/>
          </w:tcPr>
          <w:p w14:paraId="03750EB0" w14:textId="77777777" w:rsidR="00231AE4" w:rsidRPr="00F6205B" w:rsidRDefault="00231AE4" w:rsidP="004F23CF">
            <w:pPr>
              <w:keepNext/>
              <w:keepLines/>
              <w:spacing w:after="0"/>
              <w:jc w:val="center"/>
              <w:rPr>
                <w:sz w:val="20"/>
                <w:szCs w:val="20"/>
              </w:rPr>
            </w:pPr>
          </w:p>
        </w:tc>
        <w:tc>
          <w:tcPr>
            <w:tcW w:w="900" w:type="dxa"/>
            <w:vMerge/>
            <w:tcBorders>
              <w:bottom w:val="single" w:sz="4" w:space="0" w:color="auto"/>
            </w:tcBorders>
            <w:vAlign w:val="center"/>
          </w:tcPr>
          <w:p w14:paraId="3CC139C0" w14:textId="77777777" w:rsidR="00231AE4" w:rsidRPr="00F6205B" w:rsidRDefault="00231AE4" w:rsidP="004F23CF">
            <w:pPr>
              <w:keepNext/>
              <w:keepLines/>
              <w:spacing w:after="0"/>
              <w:jc w:val="center"/>
              <w:rPr>
                <w:sz w:val="20"/>
                <w:szCs w:val="20"/>
              </w:rPr>
            </w:pPr>
          </w:p>
        </w:tc>
        <w:tc>
          <w:tcPr>
            <w:tcW w:w="968" w:type="dxa"/>
            <w:tcBorders>
              <w:top w:val="single" w:sz="4" w:space="0" w:color="000000" w:themeColor="text1"/>
              <w:bottom w:val="single" w:sz="4" w:space="0" w:color="auto"/>
              <w:right w:val="single" w:sz="4" w:space="0" w:color="000000" w:themeColor="text1"/>
            </w:tcBorders>
            <w:vAlign w:val="center"/>
          </w:tcPr>
          <w:p w14:paraId="5BD13CFC" w14:textId="77777777" w:rsidR="00231AE4" w:rsidRPr="00F6205B" w:rsidRDefault="00231AE4" w:rsidP="004F23CF">
            <w:pPr>
              <w:keepNext/>
              <w:keepLines/>
              <w:spacing w:after="0"/>
              <w:jc w:val="center"/>
              <w:rPr>
                <w:sz w:val="20"/>
                <w:szCs w:val="20"/>
              </w:rPr>
            </w:pPr>
            <w:r w:rsidRPr="00F6205B">
              <w:rPr>
                <w:sz w:val="20"/>
                <w:szCs w:val="20"/>
              </w:rPr>
              <w:t>397.6</w:t>
            </w:r>
          </w:p>
        </w:tc>
        <w:tc>
          <w:tcPr>
            <w:tcW w:w="990" w:type="dxa"/>
            <w:tcBorders>
              <w:top w:val="single" w:sz="4" w:space="0" w:color="000000" w:themeColor="text1"/>
              <w:bottom w:val="single" w:sz="4" w:space="0" w:color="auto"/>
            </w:tcBorders>
            <w:vAlign w:val="center"/>
          </w:tcPr>
          <w:p w14:paraId="051D7F45" w14:textId="77777777" w:rsidR="00231AE4" w:rsidRPr="00F6205B" w:rsidRDefault="00231AE4" w:rsidP="004F23CF">
            <w:pPr>
              <w:keepNext/>
              <w:keepLines/>
              <w:spacing w:after="0"/>
              <w:jc w:val="center"/>
              <w:rPr>
                <w:sz w:val="20"/>
                <w:szCs w:val="20"/>
              </w:rPr>
            </w:pPr>
            <w:r w:rsidRPr="00F6205B">
              <w:rPr>
                <w:sz w:val="20"/>
                <w:szCs w:val="20"/>
              </w:rPr>
              <w:t>473.2</w:t>
            </w:r>
          </w:p>
        </w:tc>
        <w:tc>
          <w:tcPr>
            <w:tcW w:w="990" w:type="dxa"/>
            <w:tcBorders>
              <w:top w:val="single" w:sz="4" w:space="0" w:color="000000" w:themeColor="text1"/>
              <w:bottom w:val="single" w:sz="4" w:space="0" w:color="auto"/>
            </w:tcBorders>
            <w:vAlign w:val="center"/>
          </w:tcPr>
          <w:p w14:paraId="57A826DF" w14:textId="77777777" w:rsidR="00231AE4" w:rsidRPr="00F6205B" w:rsidRDefault="00231AE4" w:rsidP="004F23CF">
            <w:pPr>
              <w:keepNext/>
              <w:keepLines/>
              <w:spacing w:after="0"/>
              <w:jc w:val="center"/>
              <w:rPr>
                <w:sz w:val="20"/>
                <w:szCs w:val="20"/>
              </w:rPr>
            </w:pPr>
            <w:r w:rsidRPr="00F6205B">
              <w:rPr>
                <w:sz w:val="20"/>
                <w:szCs w:val="20"/>
              </w:rPr>
              <w:t>551.2</w:t>
            </w:r>
          </w:p>
        </w:tc>
        <w:tc>
          <w:tcPr>
            <w:tcW w:w="920" w:type="dxa"/>
            <w:tcBorders>
              <w:top w:val="single" w:sz="4" w:space="0" w:color="000000" w:themeColor="text1"/>
              <w:bottom w:val="single" w:sz="4" w:space="0" w:color="auto"/>
            </w:tcBorders>
            <w:vAlign w:val="center"/>
          </w:tcPr>
          <w:p w14:paraId="68E82AAD" w14:textId="77777777" w:rsidR="00231AE4" w:rsidRPr="00F6205B" w:rsidRDefault="00231AE4" w:rsidP="004F23CF">
            <w:pPr>
              <w:keepNext/>
              <w:keepLines/>
              <w:spacing w:after="0"/>
              <w:jc w:val="center"/>
              <w:rPr>
                <w:sz w:val="20"/>
                <w:szCs w:val="20"/>
              </w:rPr>
            </w:pPr>
            <w:r w:rsidRPr="00F6205B">
              <w:rPr>
                <w:sz w:val="20"/>
                <w:szCs w:val="20"/>
              </w:rPr>
              <w:t>631.9</w:t>
            </w:r>
          </w:p>
        </w:tc>
        <w:tc>
          <w:tcPr>
            <w:tcW w:w="1260" w:type="dxa"/>
            <w:tcBorders>
              <w:top w:val="single" w:sz="4" w:space="0" w:color="000000" w:themeColor="text1"/>
              <w:bottom w:val="single" w:sz="4" w:space="0" w:color="auto"/>
              <w:right w:val="single" w:sz="4" w:space="0" w:color="auto"/>
            </w:tcBorders>
            <w:vAlign w:val="center"/>
          </w:tcPr>
          <w:p w14:paraId="2DBA1DBE" w14:textId="77777777" w:rsidR="00231AE4" w:rsidRPr="00F6205B" w:rsidRDefault="00231AE4" w:rsidP="004F23CF">
            <w:pPr>
              <w:keepNext/>
              <w:keepLines/>
              <w:spacing w:after="0"/>
              <w:jc w:val="center"/>
              <w:rPr>
                <w:sz w:val="20"/>
                <w:szCs w:val="20"/>
              </w:rPr>
            </w:pPr>
            <w:r w:rsidRPr="00F6205B">
              <w:rPr>
                <w:sz w:val="20"/>
                <w:szCs w:val="20"/>
              </w:rPr>
              <w:t>+ 1,529.1</w:t>
            </w:r>
          </w:p>
        </w:tc>
      </w:tr>
      <w:tr w:rsidR="00D8337B" w:rsidRPr="00F6205B" w14:paraId="196CF005" w14:textId="77777777" w:rsidTr="00D8337B">
        <w:trPr>
          <w:trHeight w:val="288"/>
          <w:jc w:val="center"/>
        </w:trPr>
        <w:tc>
          <w:tcPr>
            <w:tcW w:w="8946" w:type="dxa"/>
            <w:gridSpan w:val="8"/>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0BE98A57" w14:textId="77777777" w:rsidR="00231AE4" w:rsidRPr="00F6205B" w:rsidRDefault="00231AE4" w:rsidP="004F23CF">
            <w:pPr>
              <w:keepNext/>
              <w:keepLines/>
              <w:spacing w:after="0"/>
              <w:jc w:val="center"/>
              <w:rPr>
                <w:b/>
                <w:color w:val="FFFFFF" w:themeColor="background1"/>
                <w:sz w:val="20"/>
                <w:szCs w:val="20"/>
              </w:rPr>
            </w:pPr>
            <w:r w:rsidRPr="00F6205B">
              <w:rPr>
                <w:b/>
                <w:color w:val="FFFFFF" w:themeColor="background1"/>
                <w:sz w:val="20"/>
                <w:szCs w:val="20"/>
              </w:rPr>
              <w:t>Electricity Consumption (million kWh)</w:t>
            </w:r>
          </w:p>
        </w:tc>
      </w:tr>
      <w:tr w:rsidR="00231AE4" w:rsidRPr="00F6205B" w14:paraId="4D5BC9DA" w14:textId="77777777" w:rsidTr="00ED1A4B">
        <w:trPr>
          <w:trHeight w:val="288"/>
          <w:jc w:val="center"/>
        </w:trPr>
        <w:tc>
          <w:tcPr>
            <w:tcW w:w="1997" w:type="dxa"/>
            <w:tcBorders>
              <w:top w:val="single" w:sz="4" w:space="0" w:color="auto"/>
              <w:left w:val="single" w:sz="4" w:space="0" w:color="auto"/>
              <w:bottom w:val="single" w:sz="4" w:space="0" w:color="000000" w:themeColor="text1"/>
              <w:right w:val="single" w:sz="4" w:space="0" w:color="000000" w:themeColor="text1"/>
            </w:tcBorders>
            <w:vAlign w:val="center"/>
          </w:tcPr>
          <w:p w14:paraId="03409D14" w14:textId="77777777" w:rsidR="00231AE4" w:rsidRPr="00F6205B" w:rsidRDefault="00231AE4" w:rsidP="004F23CF">
            <w:pPr>
              <w:keepNext/>
              <w:keepLines/>
              <w:spacing w:after="0"/>
              <w:rPr>
                <w:sz w:val="20"/>
                <w:szCs w:val="20"/>
              </w:rPr>
            </w:pPr>
            <w:r w:rsidRPr="00F6205B">
              <w:rPr>
                <w:sz w:val="20"/>
                <w:szCs w:val="20"/>
              </w:rPr>
              <w:t>No fuel switching</w:t>
            </w:r>
          </w:p>
        </w:tc>
        <w:tc>
          <w:tcPr>
            <w:tcW w:w="921" w:type="dxa"/>
            <w:vMerge w:val="restart"/>
            <w:tcBorders>
              <w:top w:val="single" w:sz="4" w:space="0" w:color="auto"/>
            </w:tcBorders>
            <w:vAlign w:val="center"/>
          </w:tcPr>
          <w:p w14:paraId="60D6B0A6" w14:textId="77777777" w:rsidR="00231AE4" w:rsidRPr="00F6205B" w:rsidRDefault="00231AE4" w:rsidP="004F23CF">
            <w:pPr>
              <w:keepNext/>
              <w:keepLines/>
              <w:spacing w:after="0"/>
              <w:jc w:val="center"/>
              <w:rPr>
                <w:sz w:val="18"/>
                <w:szCs w:val="20"/>
              </w:rPr>
            </w:pPr>
            <w:r w:rsidRPr="00F6205B">
              <w:rPr>
                <w:sz w:val="18"/>
                <w:szCs w:val="20"/>
              </w:rPr>
              <w:t>12,048.2</w:t>
            </w:r>
          </w:p>
        </w:tc>
        <w:tc>
          <w:tcPr>
            <w:tcW w:w="900" w:type="dxa"/>
            <w:vMerge w:val="restart"/>
            <w:tcBorders>
              <w:top w:val="single" w:sz="4" w:space="0" w:color="auto"/>
            </w:tcBorders>
            <w:vAlign w:val="center"/>
          </w:tcPr>
          <w:p w14:paraId="2743CCD7" w14:textId="77777777" w:rsidR="00231AE4" w:rsidRPr="00F6205B" w:rsidRDefault="00231AE4" w:rsidP="004F23CF">
            <w:pPr>
              <w:keepNext/>
              <w:keepLines/>
              <w:spacing w:after="0"/>
              <w:jc w:val="center"/>
              <w:rPr>
                <w:i/>
                <w:sz w:val="20"/>
                <w:szCs w:val="20"/>
              </w:rPr>
            </w:pPr>
            <w:r w:rsidRPr="00F6205B">
              <w:rPr>
                <w:i/>
                <w:sz w:val="20"/>
                <w:szCs w:val="20"/>
              </w:rPr>
              <w:t>1.0%</w:t>
            </w:r>
          </w:p>
        </w:tc>
        <w:tc>
          <w:tcPr>
            <w:tcW w:w="968" w:type="dxa"/>
            <w:tcBorders>
              <w:top w:val="single" w:sz="4" w:space="0" w:color="auto"/>
              <w:bottom w:val="single" w:sz="4" w:space="0" w:color="000000" w:themeColor="text1"/>
              <w:right w:val="single" w:sz="4" w:space="0" w:color="000000" w:themeColor="text1"/>
            </w:tcBorders>
            <w:vAlign w:val="center"/>
          </w:tcPr>
          <w:p w14:paraId="6F161A3C" w14:textId="77777777" w:rsidR="00231AE4" w:rsidRPr="00F6205B" w:rsidRDefault="00231AE4" w:rsidP="004F23CF">
            <w:pPr>
              <w:keepNext/>
              <w:keepLines/>
              <w:spacing w:after="0"/>
              <w:jc w:val="center"/>
              <w:rPr>
                <w:sz w:val="18"/>
                <w:szCs w:val="20"/>
              </w:rPr>
            </w:pPr>
            <w:r w:rsidRPr="00F6205B">
              <w:rPr>
                <w:sz w:val="18"/>
                <w:szCs w:val="20"/>
              </w:rPr>
              <w:t>12,229.5</w:t>
            </w:r>
          </w:p>
        </w:tc>
        <w:tc>
          <w:tcPr>
            <w:tcW w:w="990" w:type="dxa"/>
            <w:tcBorders>
              <w:top w:val="single" w:sz="4" w:space="0" w:color="auto"/>
              <w:bottom w:val="single" w:sz="4" w:space="0" w:color="000000" w:themeColor="text1"/>
            </w:tcBorders>
            <w:vAlign w:val="center"/>
          </w:tcPr>
          <w:p w14:paraId="3DF97099" w14:textId="77777777" w:rsidR="00231AE4" w:rsidRPr="00F6205B" w:rsidRDefault="00231AE4" w:rsidP="004F23CF">
            <w:pPr>
              <w:keepNext/>
              <w:keepLines/>
              <w:spacing w:after="0"/>
              <w:jc w:val="center"/>
              <w:rPr>
                <w:sz w:val="18"/>
                <w:szCs w:val="20"/>
              </w:rPr>
            </w:pPr>
            <w:r w:rsidRPr="00F6205B">
              <w:rPr>
                <w:sz w:val="18"/>
                <w:szCs w:val="20"/>
              </w:rPr>
              <w:t>12,537.4</w:t>
            </w:r>
          </w:p>
        </w:tc>
        <w:tc>
          <w:tcPr>
            <w:tcW w:w="990" w:type="dxa"/>
            <w:tcBorders>
              <w:top w:val="single" w:sz="4" w:space="0" w:color="auto"/>
              <w:bottom w:val="single" w:sz="4" w:space="0" w:color="000000" w:themeColor="text1"/>
            </w:tcBorders>
            <w:vAlign w:val="center"/>
          </w:tcPr>
          <w:p w14:paraId="256180B7" w14:textId="77777777" w:rsidR="00231AE4" w:rsidRPr="00F6205B" w:rsidRDefault="00231AE4" w:rsidP="004F23CF">
            <w:pPr>
              <w:keepNext/>
              <w:keepLines/>
              <w:spacing w:after="0"/>
              <w:jc w:val="center"/>
              <w:rPr>
                <w:sz w:val="18"/>
                <w:szCs w:val="20"/>
              </w:rPr>
            </w:pPr>
            <w:r w:rsidRPr="00F6205B">
              <w:rPr>
                <w:sz w:val="18"/>
                <w:szCs w:val="20"/>
              </w:rPr>
              <w:t>12,853.4</w:t>
            </w:r>
          </w:p>
        </w:tc>
        <w:tc>
          <w:tcPr>
            <w:tcW w:w="920" w:type="dxa"/>
            <w:tcBorders>
              <w:top w:val="single" w:sz="4" w:space="0" w:color="auto"/>
              <w:bottom w:val="single" w:sz="4" w:space="0" w:color="000000" w:themeColor="text1"/>
            </w:tcBorders>
            <w:vAlign w:val="center"/>
          </w:tcPr>
          <w:p w14:paraId="2893ABDF" w14:textId="77777777" w:rsidR="00231AE4" w:rsidRPr="00F6205B" w:rsidRDefault="00231AE4" w:rsidP="004F23CF">
            <w:pPr>
              <w:keepNext/>
              <w:keepLines/>
              <w:spacing w:after="0"/>
              <w:jc w:val="center"/>
              <w:rPr>
                <w:sz w:val="18"/>
                <w:szCs w:val="20"/>
              </w:rPr>
            </w:pPr>
            <w:r w:rsidRPr="00F6205B">
              <w:rPr>
                <w:sz w:val="18"/>
                <w:szCs w:val="20"/>
              </w:rPr>
              <w:t>13,177.0</w:t>
            </w:r>
          </w:p>
        </w:tc>
        <w:tc>
          <w:tcPr>
            <w:tcW w:w="1260" w:type="dxa"/>
            <w:tcBorders>
              <w:top w:val="single" w:sz="4" w:space="0" w:color="auto"/>
              <w:bottom w:val="single" w:sz="4" w:space="0" w:color="000000" w:themeColor="text1"/>
              <w:right w:val="single" w:sz="4" w:space="0" w:color="auto"/>
            </w:tcBorders>
            <w:vAlign w:val="center"/>
          </w:tcPr>
          <w:p w14:paraId="4435571D" w14:textId="77777777" w:rsidR="00231AE4" w:rsidRPr="00F6205B" w:rsidRDefault="00231AE4" w:rsidP="004F23CF">
            <w:pPr>
              <w:keepNext/>
              <w:keepLines/>
              <w:spacing w:after="0"/>
              <w:jc w:val="center"/>
              <w:rPr>
                <w:sz w:val="20"/>
                <w:szCs w:val="20"/>
              </w:rPr>
            </w:pPr>
            <w:r w:rsidRPr="00F6205B">
              <w:rPr>
                <w:sz w:val="20"/>
                <w:szCs w:val="20"/>
              </w:rPr>
              <w:t>-</w:t>
            </w:r>
          </w:p>
        </w:tc>
      </w:tr>
      <w:tr w:rsidR="00231AE4" w:rsidRPr="00F6205B" w14:paraId="1BA81236" w14:textId="77777777" w:rsidTr="00ED1A4B">
        <w:trPr>
          <w:trHeight w:val="288"/>
          <w:jc w:val="center"/>
        </w:trPr>
        <w:tc>
          <w:tcPr>
            <w:tcW w:w="199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55B93A0" w14:textId="77777777" w:rsidR="00231AE4" w:rsidRPr="00F6205B" w:rsidRDefault="00231AE4" w:rsidP="004F23CF">
            <w:pPr>
              <w:keepNext/>
              <w:keepLines/>
              <w:spacing w:after="0"/>
              <w:rPr>
                <w:sz w:val="20"/>
                <w:szCs w:val="20"/>
              </w:rPr>
            </w:pPr>
            <w:r w:rsidRPr="00F6205B">
              <w:rPr>
                <w:sz w:val="20"/>
                <w:szCs w:val="20"/>
              </w:rPr>
              <w:t>25% Uptake</w:t>
            </w:r>
          </w:p>
        </w:tc>
        <w:tc>
          <w:tcPr>
            <w:tcW w:w="921" w:type="dxa"/>
            <w:vMerge/>
            <w:vAlign w:val="center"/>
          </w:tcPr>
          <w:p w14:paraId="353B3C63" w14:textId="77777777" w:rsidR="00231AE4" w:rsidRPr="00F6205B" w:rsidRDefault="00231AE4" w:rsidP="004F23CF">
            <w:pPr>
              <w:keepNext/>
              <w:keepLines/>
              <w:spacing w:after="0"/>
              <w:jc w:val="center"/>
              <w:rPr>
                <w:sz w:val="20"/>
                <w:szCs w:val="20"/>
              </w:rPr>
            </w:pPr>
          </w:p>
        </w:tc>
        <w:tc>
          <w:tcPr>
            <w:tcW w:w="900" w:type="dxa"/>
            <w:vMerge/>
            <w:vAlign w:val="center"/>
          </w:tcPr>
          <w:p w14:paraId="3C8884F2" w14:textId="77777777" w:rsidR="00231AE4" w:rsidRPr="00F6205B" w:rsidRDefault="00231AE4" w:rsidP="004F23CF">
            <w:pPr>
              <w:keepNext/>
              <w:keepLines/>
              <w:spacing w:after="0"/>
              <w:jc w:val="center"/>
              <w:rPr>
                <w:sz w:val="20"/>
                <w:szCs w:val="20"/>
              </w:rPr>
            </w:pPr>
          </w:p>
        </w:tc>
        <w:tc>
          <w:tcPr>
            <w:tcW w:w="968" w:type="dxa"/>
            <w:tcBorders>
              <w:top w:val="single" w:sz="4" w:space="0" w:color="000000" w:themeColor="text1"/>
              <w:bottom w:val="single" w:sz="4" w:space="0" w:color="000000" w:themeColor="text1"/>
              <w:right w:val="single" w:sz="4" w:space="0" w:color="000000" w:themeColor="text1"/>
            </w:tcBorders>
            <w:vAlign w:val="center"/>
          </w:tcPr>
          <w:p w14:paraId="5C610FBB" w14:textId="77777777" w:rsidR="00231AE4" w:rsidRPr="00F6205B" w:rsidRDefault="00231AE4" w:rsidP="004F23CF">
            <w:pPr>
              <w:keepNext/>
              <w:keepLines/>
              <w:spacing w:after="0"/>
              <w:jc w:val="center"/>
              <w:rPr>
                <w:sz w:val="18"/>
                <w:szCs w:val="20"/>
              </w:rPr>
            </w:pPr>
            <w:r w:rsidRPr="00F6205B">
              <w:rPr>
                <w:sz w:val="18"/>
                <w:szCs w:val="20"/>
              </w:rPr>
              <w:t>12,321.5</w:t>
            </w:r>
          </w:p>
        </w:tc>
        <w:tc>
          <w:tcPr>
            <w:tcW w:w="990" w:type="dxa"/>
            <w:tcBorders>
              <w:top w:val="single" w:sz="4" w:space="0" w:color="000000" w:themeColor="text1"/>
              <w:bottom w:val="single" w:sz="4" w:space="0" w:color="000000" w:themeColor="text1"/>
            </w:tcBorders>
            <w:vAlign w:val="center"/>
          </w:tcPr>
          <w:p w14:paraId="12A54E48" w14:textId="77777777" w:rsidR="00231AE4" w:rsidRPr="00F6205B" w:rsidRDefault="00231AE4" w:rsidP="004F23CF">
            <w:pPr>
              <w:keepNext/>
              <w:keepLines/>
              <w:spacing w:after="0"/>
              <w:jc w:val="center"/>
              <w:rPr>
                <w:sz w:val="18"/>
                <w:szCs w:val="20"/>
              </w:rPr>
            </w:pPr>
            <w:r w:rsidRPr="00F6205B">
              <w:rPr>
                <w:sz w:val="18"/>
                <w:szCs w:val="20"/>
              </w:rPr>
              <w:t>12,726.0</w:t>
            </w:r>
          </w:p>
        </w:tc>
        <w:tc>
          <w:tcPr>
            <w:tcW w:w="990" w:type="dxa"/>
            <w:tcBorders>
              <w:top w:val="single" w:sz="4" w:space="0" w:color="000000" w:themeColor="text1"/>
              <w:bottom w:val="single" w:sz="4" w:space="0" w:color="000000" w:themeColor="text1"/>
            </w:tcBorders>
            <w:vAlign w:val="center"/>
          </w:tcPr>
          <w:p w14:paraId="6AB8CF5C" w14:textId="77777777" w:rsidR="00231AE4" w:rsidRPr="00F6205B" w:rsidRDefault="00231AE4" w:rsidP="004F23CF">
            <w:pPr>
              <w:keepNext/>
              <w:keepLines/>
              <w:spacing w:after="0"/>
              <w:jc w:val="center"/>
              <w:rPr>
                <w:sz w:val="18"/>
                <w:szCs w:val="20"/>
              </w:rPr>
            </w:pPr>
            <w:r w:rsidRPr="00F6205B">
              <w:rPr>
                <w:sz w:val="18"/>
                <w:szCs w:val="20"/>
              </w:rPr>
              <w:t>13,143.3</w:t>
            </w:r>
          </w:p>
        </w:tc>
        <w:tc>
          <w:tcPr>
            <w:tcW w:w="920" w:type="dxa"/>
            <w:tcBorders>
              <w:top w:val="single" w:sz="4" w:space="0" w:color="000000" w:themeColor="text1"/>
              <w:bottom w:val="single" w:sz="4" w:space="0" w:color="000000" w:themeColor="text1"/>
            </w:tcBorders>
            <w:vAlign w:val="center"/>
          </w:tcPr>
          <w:p w14:paraId="4EF7E6E5" w14:textId="77777777" w:rsidR="00231AE4" w:rsidRPr="00F6205B" w:rsidRDefault="00231AE4" w:rsidP="004F23CF">
            <w:pPr>
              <w:keepNext/>
              <w:keepLines/>
              <w:spacing w:after="0"/>
              <w:jc w:val="center"/>
              <w:rPr>
                <w:sz w:val="18"/>
                <w:szCs w:val="20"/>
              </w:rPr>
            </w:pPr>
            <w:r w:rsidRPr="00F6205B">
              <w:rPr>
                <w:sz w:val="18"/>
                <w:szCs w:val="20"/>
              </w:rPr>
              <w:t>13,573.3</w:t>
            </w:r>
          </w:p>
        </w:tc>
        <w:tc>
          <w:tcPr>
            <w:tcW w:w="1260" w:type="dxa"/>
            <w:tcBorders>
              <w:top w:val="single" w:sz="4" w:space="0" w:color="000000" w:themeColor="text1"/>
              <w:bottom w:val="single" w:sz="4" w:space="0" w:color="000000" w:themeColor="text1"/>
              <w:right w:val="single" w:sz="4" w:space="0" w:color="auto"/>
            </w:tcBorders>
            <w:vAlign w:val="center"/>
          </w:tcPr>
          <w:p w14:paraId="1761BD4E" w14:textId="77777777" w:rsidR="00231AE4" w:rsidRPr="00F6205B" w:rsidRDefault="00231AE4" w:rsidP="004F23CF">
            <w:pPr>
              <w:keepNext/>
              <w:keepLines/>
              <w:spacing w:after="0"/>
              <w:jc w:val="center"/>
              <w:rPr>
                <w:sz w:val="20"/>
                <w:szCs w:val="20"/>
              </w:rPr>
            </w:pPr>
            <w:r w:rsidRPr="00F6205B">
              <w:rPr>
                <w:sz w:val="20"/>
                <w:szCs w:val="20"/>
              </w:rPr>
              <w:t>+ 2,116.5</w:t>
            </w:r>
          </w:p>
        </w:tc>
      </w:tr>
      <w:tr w:rsidR="00231AE4" w:rsidRPr="00F6205B" w14:paraId="05899879" w14:textId="77777777" w:rsidTr="00ED1A4B">
        <w:trPr>
          <w:trHeight w:val="288"/>
          <w:jc w:val="center"/>
        </w:trPr>
        <w:tc>
          <w:tcPr>
            <w:tcW w:w="199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9CF4FED" w14:textId="77777777" w:rsidR="00231AE4" w:rsidRPr="00F6205B" w:rsidRDefault="00231AE4" w:rsidP="004F23CF">
            <w:pPr>
              <w:keepNext/>
              <w:keepLines/>
              <w:spacing w:after="0"/>
              <w:rPr>
                <w:sz w:val="20"/>
                <w:szCs w:val="20"/>
              </w:rPr>
            </w:pPr>
            <w:r w:rsidRPr="00F6205B">
              <w:rPr>
                <w:sz w:val="20"/>
                <w:szCs w:val="20"/>
              </w:rPr>
              <w:t>50% Uptake</w:t>
            </w:r>
          </w:p>
        </w:tc>
        <w:tc>
          <w:tcPr>
            <w:tcW w:w="921" w:type="dxa"/>
            <w:vMerge/>
            <w:vAlign w:val="center"/>
          </w:tcPr>
          <w:p w14:paraId="4139F450" w14:textId="77777777" w:rsidR="00231AE4" w:rsidRPr="00F6205B" w:rsidRDefault="00231AE4" w:rsidP="004F23CF">
            <w:pPr>
              <w:keepNext/>
              <w:keepLines/>
              <w:spacing w:after="0"/>
              <w:jc w:val="center"/>
              <w:rPr>
                <w:sz w:val="20"/>
                <w:szCs w:val="20"/>
              </w:rPr>
            </w:pPr>
          </w:p>
        </w:tc>
        <w:tc>
          <w:tcPr>
            <w:tcW w:w="900" w:type="dxa"/>
            <w:vMerge/>
            <w:vAlign w:val="center"/>
          </w:tcPr>
          <w:p w14:paraId="675E8A42" w14:textId="77777777" w:rsidR="00231AE4" w:rsidRPr="00F6205B" w:rsidRDefault="00231AE4" w:rsidP="004F23CF">
            <w:pPr>
              <w:keepNext/>
              <w:keepLines/>
              <w:spacing w:after="0"/>
              <w:jc w:val="center"/>
              <w:rPr>
                <w:sz w:val="20"/>
                <w:szCs w:val="20"/>
              </w:rPr>
            </w:pPr>
          </w:p>
        </w:tc>
        <w:tc>
          <w:tcPr>
            <w:tcW w:w="968" w:type="dxa"/>
            <w:tcBorders>
              <w:top w:val="single" w:sz="4" w:space="0" w:color="000000" w:themeColor="text1"/>
              <w:bottom w:val="single" w:sz="4" w:space="0" w:color="000000" w:themeColor="text1"/>
              <w:right w:val="single" w:sz="4" w:space="0" w:color="000000" w:themeColor="text1"/>
            </w:tcBorders>
            <w:vAlign w:val="center"/>
          </w:tcPr>
          <w:p w14:paraId="30EB0714" w14:textId="77777777" w:rsidR="00231AE4" w:rsidRPr="00F6205B" w:rsidRDefault="00231AE4" w:rsidP="004F23CF">
            <w:pPr>
              <w:keepNext/>
              <w:keepLines/>
              <w:spacing w:after="0"/>
              <w:jc w:val="center"/>
              <w:rPr>
                <w:sz w:val="18"/>
                <w:szCs w:val="20"/>
              </w:rPr>
            </w:pPr>
            <w:r w:rsidRPr="00F6205B">
              <w:rPr>
                <w:sz w:val="18"/>
                <w:szCs w:val="20"/>
              </w:rPr>
              <w:t>12,413.5</w:t>
            </w:r>
          </w:p>
        </w:tc>
        <w:tc>
          <w:tcPr>
            <w:tcW w:w="990" w:type="dxa"/>
            <w:tcBorders>
              <w:top w:val="single" w:sz="4" w:space="0" w:color="000000" w:themeColor="text1"/>
              <w:bottom w:val="single" w:sz="4" w:space="0" w:color="000000" w:themeColor="text1"/>
            </w:tcBorders>
            <w:vAlign w:val="center"/>
          </w:tcPr>
          <w:p w14:paraId="437B62D5" w14:textId="77777777" w:rsidR="00231AE4" w:rsidRPr="00F6205B" w:rsidRDefault="00231AE4" w:rsidP="004F23CF">
            <w:pPr>
              <w:keepNext/>
              <w:keepLines/>
              <w:spacing w:after="0"/>
              <w:jc w:val="center"/>
              <w:rPr>
                <w:sz w:val="18"/>
                <w:szCs w:val="20"/>
              </w:rPr>
            </w:pPr>
            <w:r w:rsidRPr="00F6205B">
              <w:rPr>
                <w:sz w:val="18"/>
                <w:szCs w:val="20"/>
              </w:rPr>
              <w:t>12,914.5</w:t>
            </w:r>
          </w:p>
        </w:tc>
        <w:tc>
          <w:tcPr>
            <w:tcW w:w="990" w:type="dxa"/>
            <w:tcBorders>
              <w:top w:val="single" w:sz="4" w:space="0" w:color="000000" w:themeColor="text1"/>
              <w:bottom w:val="single" w:sz="4" w:space="0" w:color="000000" w:themeColor="text1"/>
            </w:tcBorders>
            <w:vAlign w:val="center"/>
          </w:tcPr>
          <w:p w14:paraId="6F8B53AD" w14:textId="77777777" w:rsidR="00231AE4" w:rsidRPr="00F6205B" w:rsidRDefault="00231AE4" w:rsidP="004F23CF">
            <w:pPr>
              <w:keepNext/>
              <w:keepLines/>
              <w:spacing w:after="0"/>
              <w:jc w:val="center"/>
              <w:rPr>
                <w:sz w:val="18"/>
                <w:szCs w:val="20"/>
              </w:rPr>
            </w:pPr>
            <w:r w:rsidRPr="00F6205B">
              <w:rPr>
                <w:sz w:val="18"/>
                <w:szCs w:val="20"/>
              </w:rPr>
              <w:t>13,433.3</w:t>
            </w:r>
          </w:p>
        </w:tc>
        <w:tc>
          <w:tcPr>
            <w:tcW w:w="920" w:type="dxa"/>
            <w:tcBorders>
              <w:top w:val="single" w:sz="4" w:space="0" w:color="000000" w:themeColor="text1"/>
              <w:bottom w:val="single" w:sz="4" w:space="0" w:color="000000" w:themeColor="text1"/>
            </w:tcBorders>
            <w:vAlign w:val="center"/>
          </w:tcPr>
          <w:p w14:paraId="4F160CEE" w14:textId="77777777" w:rsidR="00231AE4" w:rsidRPr="00F6205B" w:rsidRDefault="00231AE4" w:rsidP="004F23CF">
            <w:pPr>
              <w:keepNext/>
              <w:keepLines/>
              <w:spacing w:after="0"/>
              <w:jc w:val="center"/>
              <w:rPr>
                <w:sz w:val="18"/>
                <w:szCs w:val="20"/>
              </w:rPr>
            </w:pPr>
            <w:r w:rsidRPr="00F6205B">
              <w:rPr>
                <w:sz w:val="18"/>
                <w:szCs w:val="20"/>
              </w:rPr>
              <w:t>13,969.7</w:t>
            </w:r>
          </w:p>
        </w:tc>
        <w:tc>
          <w:tcPr>
            <w:tcW w:w="1260" w:type="dxa"/>
            <w:tcBorders>
              <w:top w:val="single" w:sz="4" w:space="0" w:color="000000" w:themeColor="text1"/>
              <w:bottom w:val="single" w:sz="4" w:space="0" w:color="000000" w:themeColor="text1"/>
              <w:right w:val="single" w:sz="4" w:space="0" w:color="auto"/>
            </w:tcBorders>
            <w:vAlign w:val="center"/>
          </w:tcPr>
          <w:p w14:paraId="1BFAF4AF" w14:textId="77777777" w:rsidR="00231AE4" w:rsidRPr="00F6205B" w:rsidRDefault="00231AE4" w:rsidP="004F23CF">
            <w:pPr>
              <w:keepNext/>
              <w:keepLines/>
              <w:spacing w:after="0"/>
              <w:jc w:val="center"/>
              <w:rPr>
                <w:sz w:val="20"/>
                <w:szCs w:val="20"/>
              </w:rPr>
            </w:pPr>
            <w:r w:rsidRPr="00F6205B">
              <w:rPr>
                <w:sz w:val="20"/>
                <w:szCs w:val="20"/>
              </w:rPr>
              <w:t>+ 4,232.9</w:t>
            </w:r>
          </w:p>
        </w:tc>
      </w:tr>
      <w:tr w:rsidR="00231AE4" w:rsidRPr="00F6205B" w14:paraId="5C05434A" w14:textId="77777777" w:rsidTr="00ED1A4B">
        <w:trPr>
          <w:trHeight w:val="288"/>
          <w:jc w:val="center"/>
        </w:trPr>
        <w:tc>
          <w:tcPr>
            <w:tcW w:w="199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AAB0498" w14:textId="77777777" w:rsidR="00231AE4" w:rsidRPr="00F6205B" w:rsidRDefault="00231AE4" w:rsidP="004F23CF">
            <w:pPr>
              <w:keepNext/>
              <w:keepLines/>
              <w:spacing w:after="0"/>
              <w:rPr>
                <w:sz w:val="20"/>
                <w:szCs w:val="20"/>
              </w:rPr>
            </w:pPr>
            <w:r w:rsidRPr="00F6205B">
              <w:rPr>
                <w:sz w:val="20"/>
                <w:szCs w:val="20"/>
              </w:rPr>
              <w:t>75% Uptake</w:t>
            </w:r>
          </w:p>
        </w:tc>
        <w:tc>
          <w:tcPr>
            <w:tcW w:w="921" w:type="dxa"/>
            <w:vMerge/>
            <w:vAlign w:val="center"/>
          </w:tcPr>
          <w:p w14:paraId="5DDBFC41" w14:textId="77777777" w:rsidR="00231AE4" w:rsidRPr="00F6205B" w:rsidRDefault="00231AE4" w:rsidP="004F23CF">
            <w:pPr>
              <w:keepNext/>
              <w:keepLines/>
              <w:spacing w:after="0"/>
              <w:jc w:val="center"/>
              <w:rPr>
                <w:sz w:val="20"/>
                <w:szCs w:val="20"/>
              </w:rPr>
            </w:pPr>
          </w:p>
        </w:tc>
        <w:tc>
          <w:tcPr>
            <w:tcW w:w="900" w:type="dxa"/>
            <w:vMerge/>
            <w:vAlign w:val="center"/>
          </w:tcPr>
          <w:p w14:paraId="5B693CED" w14:textId="77777777" w:rsidR="00231AE4" w:rsidRPr="00F6205B" w:rsidRDefault="00231AE4" w:rsidP="004F23CF">
            <w:pPr>
              <w:keepNext/>
              <w:keepLines/>
              <w:spacing w:after="0"/>
              <w:jc w:val="center"/>
              <w:rPr>
                <w:sz w:val="20"/>
                <w:szCs w:val="20"/>
              </w:rPr>
            </w:pPr>
          </w:p>
        </w:tc>
        <w:tc>
          <w:tcPr>
            <w:tcW w:w="968" w:type="dxa"/>
            <w:tcBorders>
              <w:top w:val="single" w:sz="4" w:space="0" w:color="000000" w:themeColor="text1"/>
              <w:bottom w:val="single" w:sz="4" w:space="0" w:color="000000" w:themeColor="text1"/>
              <w:right w:val="single" w:sz="4" w:space="0" w:color="000000" w:themeColor="text1"/>
            </w:tcBorders>
            <w:vAlign w:val="center"/>
          </w:tcPr>
          <w:p w14:paraId="6F533ED7" w14:textId="77777777" w:rsidR="00231AE4" w:rsidRPr="00F6205B" w:rsidRDefault="00231AE4" w:rsidP="004F23CF">
            <w:pPr>
              <w:keepNext/>
              <w:keepLines/>
              <w:spacing w:after="0"/>
              <w:jc w:val="center"/>
              <w:rPr>
                <w:sz w:val="18"/>
                <w:szCs w:val="20"/>
              </w:rPr>
            </w:pPr>
            <w:r w:rsidRPr="00F6205B">
              <w:rPr>
                <w:sz w:val="18"/>
                <w:szCs w:val="20"/>
              </w:rPr>
              <w:t>12,505.4</w:t>
            </w:r>
          </w:p>
        </w:tc>
        <w:tc>
          <w:tcPr>
            <w:tcW w:w="990" w:type="dxa"/>
            <w:tcBorders>
              <w:top w:val="single" w:sz="4" w:space="0" w:color="000000" w:themeColor="text1"/>
              <w:bottom w:val="single" w:sz="4" w:space="0" w:color="000000" w:themeColor="text1"/>
            </w:tcBorders>
            <w:vAlign w:val="center"/>
          </w:tcPr>
          <w:p w14:paraId="679EA9C6" w14:textId="77777777" w:rsidR="00231AE4" w:rsidRPr="00F6205B" w:rsidRDefault="00231AE4" w:rsidP="004F23CF">
            <w:pPr>
              <w:keepNext/>
              <w:keepLines/>
              <w:spacing w:after="0"/>
              <w:jc w:val="center"/>
              <w:rPr>
                <w:sz w:val="18"/>
                <w:szCs w:val="20"/>
              </w:rPr>
            </w:pPr>
            <w:r w:rsidRPr="00F6205B">
              <w:rPr>
                <w:sz w:val="18"/>
                <w:szCs w:val="20"/>
              </w:rPr>
              <w:t>13,103.1</w:t>
            </w:r>
          </w:p>
        </w:tc>
        <w:tc>
          <w:tcPr>
            <w:tcW w:w="990" w:type="dxa"/>
            <w:tcBorders>
              <w:top w:val="single" w:sz="4" w:space="0" w:color="000000" w:themeColor="text1"/>
              <w:bottom w:val="single" w:sz="4" w:space="0" w:color="000000" w:themeColor="text1"/>
            </w:tcBorders>
            <w:vAlign w:val="center"/>
          </w:tcPr>
          <w:p w14:paraId="4CE411E1" w14:textId="77777777" w:rsidR="00231AE4" w:rsidRPr="00F6205B" w:rsidRDefault="00231AE4" w:rsidP="004F23CF">
            <w:pPr>
              <w:keepNext/>
              <w:keepLines/>
              <w:spacing w:after="0"/>
              <w:jc w:val="center"/>
              <w:rPr>
                <w:sz w:val="18"/>
                <w:szCs w:val="20"/>
              </w:rPr>
            </w:pPr>
            <w:r w:rsidRPr="00F6205B">
              <w:rPr>
                <w:sz w:val="18"/>
                <w:szCs w:val="20"/>
              </w:rPr>
              <w:t>13,723.3</w:t>
            </w:r>
          </w:p>
        </w:tc>
        <w:tc>
          <w:tcPr>
            <w:tcW w:w="920" w:type="dxa"/>
            <w:tcBorders>
              <w:top w:val="single" w:sz="4" w:space="0" w:color="000000" w:themeColor="text1"/>
              <w:bottom w:val="single" w:sz="4" w:space="0" w:color="000000" w:themeColor="text1"/>
            </w:tcBorders>
            <w:vAlign w:val="center"/>
          </w:tcPr>
          <w:p w14:paraId="648ED5BA" w14:textId="77777777" w:rsidR="00231AE4" w:rsidRPr="00F6205B" w:rsidRDefault="00231AE4" w:rsidP="004F23CF">
            <w:pPr>
              <w:keepNext/>
              <w:keepLines/>
              <w:spacing w:after="0"/>
              <w:jc w:val="center"/>
              <w:rPr>
                <w:sz w:val="18"/>
                <w:szCs w:val="20"/>
              </w:rPr>
            </w:pPr>
            <w:r w:rsidRPr="00F6205B">
              <w:rPr>
                <w:sz w:val="18"/>
                <w:szCs w:val="20"/>
              </w:rPr>
              <w:t>14,366.0</w:t>
            </w:r>
          </w:p>
        </w:tc>
        <w:tc>
          <w:tcPr>
            <w:tcW w:w="1260" w:type="dxa"/>
            <w:tcBorders>
              <w:top w:val="single" w:sz="4" w:space="0" w:color="000000" w:themeColor="text1"/>
              <w:bottom w:val="single" w:sz="4" w:space="0" w:color="000000" w:themeColor="text1"/>
              <w:right w:val="single" w:sz="4" w:space="0" w:color="auto"/>
            </w:tcBorders>
            <w:vAlign w:val="center"/>
          </w:tcPr>
          <w:p w14:paraId="56AA3D7A" w14:textId="77777777" w:rsidR="00231AE4" w:rsidRPr="00F6205B" w:rsidRDefault="00231AE4" w:rsidP="004F23CF">
            <w:pPr>
              <w:keepNext/>
              <w:keepLines/>
              <w:spacing w:after="0"/>
              <w:jc w:val="center"/>
              <w:rPr>
                <w:sz w:val="20"/>
                <w:szCs w:val="20"/>
              </w:rPr>
            </w:pPr>
            <w:r w:rsidRPr="00F6205B">
              <w:rPr>
                <w:sz w:val="20"/>
                <w:szCs w:val="20"/>
              </w:rPr>
              <w:t>+ 6,349.4</w:t>
            </w:r>
          </w:p>
        </w:tc>
      </w:tr>
      <w:tr w:rsidR="00231AE4" w:rsidRPr="00F6205B" w14:paraId="49FCD1FB" w14:textId="77777777" w:rsidTr="00ED1A4B">
        <w:trPr>
          <w:trHeight w:val="288"/>
          <w:jc w:val="center"/>
        </w:trPr>
        <w:tc>
          <w:tcPr>
            <w:tcW w:w="1997" w:type="dxa"/>
            <w:tcBorders>
              <w:top w:val="single" w:sz="4" w:space="0" w:color="000000" w:themeColor="text1"/>
              <w:left w:val="single" w:sz="4" w:space="0" w:color="auto"/>
              <w:bottom w:val="single" w:sz="4" w:space="0" w:color="auto"/>
              <w:right w:val="single" w:sz="4" w:space="0" w:color="000000" w:themeColor="text1"/>
            </w:tcBorders>
            <w:vAlign w:val="center"/>
          </w:tcPr>
          <w:p w14:paraId="50F36325" w14:textId="77777777" w:rsidR="00231AE4" w:rsidRPr="00F6205B" w:rsidRDefault="00231AE4" w:rsidP="004F23CF">
            <w:pPr>
              <w:keepNext/>
              <w:keepLines/>
              <w:spacing w:after="0"/>
              <w:rPr>
                <w:sz w:val="20"/>
                <w:szCs w:val="20"/>
              </w:rPr>
            </w:pPr>
            <w:r w:rsidRPr="00F6205B">
              <w:rPr>
                <w:sz w:val="20"/>
                <w:szCs w:val="20"/>
              </w:rPr>
              <w:t>100% Uptake</w:t>
            </w:r>
          </w:p>
        </w:tc>
        <w:tc>
          <w:tcPr>
            <w:tcW w:w="921" w:type="dxa"/>
            <w:vMerge/>
            <w:tcBorders>
              <w:bottom w:val="single" w:sz="4" w:space="0" w:color="auto"/>
            </w:tcBorders>
            <w:vAlign w:val="center"/>
          </w:tcPr>
          <w:p w14:paraId="242F668C" w14:textId="77777777" w:rsidR="00231AE4" w:rsidRPr="00F6205B" w:rsidRDefault="00231AE4" w:rsidP="004F23CF">
            <w:pPr>
              <w:keepNext/>
              <w:keepLines/>
              <w:spacing w:after="0"/>
              <w:jc w:val="center"/>
              <w:rPr>
                <w:sz w:val="20"/>
                <w:szCs w:val="20"/>
              </w:rPr>
            </w:pPr>
          </w:p>
        </w:tc>
        <w:tc>
          <w:tcPr>
            <w:tcW w:w="900" w:type="dxa"/>
            <w:vMerge/>
            <w:tcBorders>
              <w:bottom w:val="single" w:sz="4" w:space="0" w:color="auto"/>
            </w:tcBorders>
            <w:vAlign w:val="center"/>
          </w:tcPr>
          <w:p w14:paraId="497DD61C" w14:textId="77777777" w:rsidR="00231AE4" w:rsidRPr="00F6205B" w:rsidRDefault="00231AE4" w:rsidP="004F23CF">
            <w:pPr>
              <w:keepNext/>
              <w:keepLines/>
              <w:spacing w:after="0"/>
              <w:jc w:val="center"/>
              <w:rPr>
                <w:sz w:val="20"/>
                <w:szCs w:val="20"/>
              </w:rPr>
            </w:pPr>
          </w:p>
        </w:tc>
        <w:tc>
          <w:tcPr>
            <w:tcW w:w="968" w:type="dxa"/>
            <w:tcBorders>
              <w:top w:val="single" w:sz="4" w:space="0" w:color="000000" w:themeColor="text1"/>
              <w:bottom w:val="single" w:sz="4" w:space="0" w:color="auto"/>
              <w:right w:val="single" w:sz="4" w:space="0" w:color="000000" w:themeColor="text1"/>
            </w:tcBorders>
            <w:vAlign w:val="center"/>
          </w:tcPr>
          <w:p w14:paraId="7B8BD46C" w14:textId="77777777" w:rsidR="00231AE4" w:rsidRPr="00F6205B" w:rsidRDefault="00231AE4" w:rsidP="004F23CF">
            <w:pPr>
              <w:keepNext/>
              <w:keepLines/>
              <w:spacing w:after="0"/>
              <w:jc w:val="center"/>
              <w:rPr>
                <w:sz w:val="18"/>
                <w:szCs w:val="20"/>
              </w:rPr>
            </w:pPr>
            <w:r w:rsidRPr="00F6205B">
              <w:rPr>
                <w:sz w:val="18"/>
                <w:szCs w:val="20"/>
              </w:rPr>
              <w:t>12,597.4</w:t>
            </w:r>
          </w:p>
        </w:tc>
        <w:tc>
          <w:tcPr>
            <w:tcW w:w="990" w:type="dxa"/>
            <w:tcBorders>
              <w:top w:val="single" w:sz="4" w:space="0" w:color="000000" w:themeColor="text1"/>
              <w:bottom w:val="single" w:sz="4" w:space="0" w:color="auto"/>
            </w:tcBorders>
            <w:vAlign w:val="center"/>
          </w:tcPr>
          <w:p w14:paraId="3E6134C9" w14:textId="77777777" w:rsidR="00231AE4" w:rsidRPr="00F6205B" w:rsidRDefault="00231AE4" w:rsidP="004F23CF">
            <w:pPr>
              <w:keepNext/>
              <w:keepLines/>
              <w:spacing w:after="0"/>
              <w:jc w:val="center"/>
              <w:rPr>
                <w:sz w:val="18"/>
                <w:szCs w:val="20"/>
              </w:rPr>
            </w:pPr>
            <w:r w:rsidRPr="00F6205B">
              <w:rPr>
                <w:sz w:val="18"/>
                <w:szCs w:val="20"/>
              </w:rPr>
              <w:t>13,291.7</w:t>
            </w:r>
          </w:p>
        </w:tc>
        <w:tc>
          <w:tcPr>
            <w:tcW w:w="990" w:type="dxa"/>
            <w:tcBorders>
              <w:top w:val="single" w:sz="4" w:space="0" w:color="000000" w:themeColor="text1"/>
              <w:bottom w:val="single" w:sz="4" w:space="0" w:color="auto"/>
            </w:tcBorders>
            <w:vAlign w:val="center"/>
          </w:tcPr>
          <w:p w14:paraId="3232DF1C" w14:textId="77777777" w:rsidR="00231AE4" w:rsidRPr="00F6205B" w:rsidRDefault="00231AE4" w:rsidP="004F23CF">
            <w:pPr>
              <w:keepNext/>
              <w:keepLines/>
              <w:spacing w:after="0"/>
              <w:jc w:val="center"/>
              <w:rPr>
                <w:sz w:val="18"/>
                <w:szCs w:val="20"/>
              </w:rPr>
            </w:pPr>
            <w:r w:rsidRPr="00F6205B">
              <w:rPr>
                <w:sz w:val="18"/>
                <w:szCs w:val="20"/>
              </w:rPr>
              <w:t>14,013.2</w:t>
            </w:r>
          </w:p>
        </w:tc>
        <w:tc>
          <w:tcPr>
            <w:tcW w:w="920" w:type="dxa"/>
            <w:tcBorders>
              <w:top w:val="single" w:sz="4" w:space="0" w:color="000000" w:themeColor="text1"/>
              <w:bottom w:val="single" w:sz="4" w:space="0" w:color="auto"/>
            </w:tcBorders>
            <w:vAlign w:val="center"/>
          </w:tcPr>
          <w:p w14:paraId="64A5F1B6" w14:textId="77777777" w:rsidR="00231AE4" w:rsidRPr="00F6205B" w:rsidRDefault="00231AE4" w:rsidP="004F23CF">
            <w:pPr>
              <w:keepNext/>
              <w:keepLines/>
              <w:spacing w:after="0"/>
              <w:jc w:val="center"/>
              <w:rPr>
                <w:sz w:val="18"/>
                <w:szCs w:val="20"/>
              </w:rPr>
            </w:pPr>
            <w:r w:rsidRPr="00F6205B">
              <w:rPr>
                <w:sz w:val="18"/>
                <w:szCs w:val="20"/>
              </w:rPr>
              <w:t>14,762.4</w:t>
            </w:r>
          </w:p>
        </w:tc>
        <w:tc>
          <w:tcPr>
            <w:tcW w:w="1260" w:type="dxa"/>
            <w:tcBorders>
              <w:top w:val="single" w:sz="4" w:space="0" w:color="000000" w:themeColor="text1"/>
              <w:bottom w:val="single" w:sz="4" w:space="0" w:color="auto"/>
              <w:right w:val="single" w:sz="4" w:space="0" w:color="auto"/>
            </w:tcBorders>
            <w:vAlign w:val="center"/>
          </w:tcPr>
          <w:p w14:paraId="4D36CA54" w14:textId="77777777" w:rsidR="00231AE4" w:rsidRPr="00F6205B" w:rsidRDefault="00231AE4" w:rsidP="004F23CF">
            <w:pPr>
              <w:keepNext/>
              <w:keepLines/>
              <w:spacing w:after="0"/>
              <w:jc w:val="center"/>
              <w:rPr>
                <w:sz w:val="20"/>
                <w:szCs w:val="20"/>
              </w:rPr>
            </w:pPr>
            <w:r w:rsidRPr="00F6205B">
              <w:rPr>
                <w:sz w:val="20"/>
                <w:szCs w:val="20"/>
              </w:rPr>
              <w:t>+ 8,465.9</w:t>
            </w:r>
          </w:p>
        </w:tc>
      </w:tr>
    </w:tbl>
    <w:p w14:paraId="03105F62" w14:textId="77777777" w:rsidR="00231AE4" w:rsidRPr="00F6205B" w:rsidRDefault="00231AE4" w:rsidP="00D8337B">
      <w:pPr>
        <w:keepNext/>
        <w:spacing w:after="0"/>
        <w:rPr>
          <w:sz w:val="18"/>
          <w:szCs w:val="18"/>
        </w:rPr>
      </w:pPr>
      <w:r w:rsidRPr="00F6205B">
        <w:rPr>
          <w:sz w:val="18"/>
          <w:szCs w:val="18"/>
        </w:rPr>
        <w:t>* Total aggregate difference from current trajectory over 10-year period.</w:t>
      </w:r>
    </w:p>
    <w:p w14:paraId="60F7DE5D" w14:textId="77777777" w:rsidR="00231AE4" w:rsidRPr="00F6205B" w:rsidRDefault="00231AE4" w:rsidP="00486CAE">
      <w:pPr>
        <w:pStyle w:val="Heading4"/>
        <w:numPr>
          <w:ilvl w:val="0"/>
          <w:numId w:val="0"/>
        </w:numPr>
        <w:jc w:val="both"/>
      </w:pPr>
      <w:r w:rsidRPr="00F6205B">
        <w:t>Savings Due to Program Incentives</w:t>
      </w:r>
    </w:p>
    <w:p w14:paraId="201A8A27" w14:textId="6D725202" w:rsidR="00231AE4" w:rsidRPr="00F6205B" w:rsidRDefault="00231AE4" w:rsidP="00231AE4">
      <w:r w:rsidRPr="00F6205B">
        <w:t xml:space="preserve">In this analysis, the base case describes a scenario wherein fuel switching occurs, but a customer incentive to purchase higher-efficiency equipment is </w:t>
      </w:r>
      <w:r w:rsidRPr="00F6205B">
        <w:rPr>
          <w:i/>
        </w:rPr>
        <w:t xml:space="preserve">not </w:t>
      </w:r>
      <w:r w:rsidRPr="00F6205B">
        <w:t>offered. The upgrade case, conversely, describes a scenario wherein a program incentive is offered. The equipment efficiencies used in the REM/Rate modeling for each case are included in</w:t>
      </w:r>
      <w:r w:rsidR="00BD5430">
        <w:t xml:space="preserve"> </w:t>
      </w:r>
      <w:r w:rsidR="00BD5430">
        <w:fldChar w:fldCharType="begin"/>
      </w:r>
      <w:r w:rsidR="00BD5430">
        <w:instrText xml:space="preserve"> REF _Ref439167078 \h </w:instrText>
      </w:r>
      <w:r w:rsidR="00BD5430">
        <w:fldChar w:fldCharType="separate"/>
      </w:r>
      <w:r w:rsidR="00BD5430" w:rsidRPr="00F6205B">
        <w:t xml:space="preserve">Table </w:t>
      </w:r>
      <w:r w:rsidR="00BD5430">
        <w:rPr>
          <w:noProof/>
        </w:rPr>
        <w:t>6</w:t>
      </w:r>
      <w:r w:rsidR="00BD5430">
        <w:fldChar w:fldCharType="end"/>
      </w:r>
      <w:r w:rsidRPr="00F6205B">
        <w:t>.</w:t>
      </w:r>
    </w:p>
    <w:p w14:paraId="3532B104" w14:textId="61224215" w:rsidR="00231AE4" w:rsidRPr="00F6205B" w:rsidRDefault="00231AE4" w:rsidP="00231AE4">
      <w:r w:rsidRPr="00F6205B">
        <w:t xml:space="preserve">A program incentive for higher-efficiency equipment could potentially save between 0.9% and 2.6% of what the analysis estimates would be the total consumption of natural gas over the next decade under the base case scenario. For electric consumption that range is 0.2% </w:t>
      </w:r>
      <w:r w:rsidRPr="00F6205B">
        <w:lastRenderedPageBreak/>
        <w:t xml:space="preserve">to 0.7% of the total usage over ten years. See </w:t>
      </w:r>
      <w:r w:rsidR="008D6967">
        <w:fldChar w:fldCharType="begin"/>
      </w:r>
      <w:r w:rsidR="008D6967">
        <w:instrText xml:space="preserve"> REF _Ref439680567 \h </w:instrText>
      </w:r>
      <w:r w:rsidR="008D6967">
        <w:fldChar w:fldCharType="separate"/>
      </w:r>
      <w:r w:rsidR="00FA26A9">
        <w:t xml:space="preserve">Table </w:t>
      </w:r>
      <w:r w:rsidR="00FA26A9">
        <w:rPr>
          <w:noProof/>
        </w:rPr>
        <w:t>49</w:t>
      </w:r>
      <w:r w:rsidR="008D6967">
        <w:fldChar w:fldCharType="end"/>
      </w:r>
      <w:r w:rsidR="008D6967">
        <w:t xml:space="preserve"> </w:t>
      </w:r>
      <w:r w:rsidRPr="00F6205B">
        <w:t xml:space="preserve">in </w:t>
      </w:r>
      <w:r w:rsidR="008D6967">
        <w:fldChar w:fldCharType="begin"/>
      </w:r>
      <w:r w:rsidR="008D6967">
        <w:instrText xml:space="preserve"> REF _Ref439690329 \n \h </w:instrText>
      </w:r>
      <w:r w:rsidR="008D6967">
        <w:fldChar w:fldCharType="separate"/>
      </w:r>
      <w:r w:rsidR="00FA26A9">
        <w:t>Appendix D</w:t>
      </w:r>
      <w:r w:rsidR="008D6967">
        <w:fldChar w:fldCharType="end"/>
      </w:r>
      <w:r w:rsidR="008D6967">
        <w:t xml:space="preserve"> </w:t>
      </w:r>
      <w:r w:rsidRPr="00F6205B">
        <w:t>for detailed estimates of potential savings from program incentives for higher efficiency heating and water heating equipment (i.e. the difference between base case and upgrade case consumption).</w:t>
      </w:r>
    </w:p>
    <w:p w14:paraId="74BDBECA" w14:textId="0DB9E1F8" w:rsidR="00231AE4" w:rsidRPr="00F6205B" w:rsidRDefault="00231AE4" w:rsidP="00231AE4">
      <w:pPr>
        <w:keepNext/>
      </w:pPr>
      <w:r w:rsidRPr="00F6205B">
        <w:t xml:space="preserve">As </w:t>
      </w:r>
      <w:r w:rsidR="00486CAE" w:rsidRPr="00F6205B">
        <w:fldChar w:fldCharType="begin"/>
      </w:r>
      <w:r w:rsidR="00486CAE" w:rsidRPr="00F6205B">
        <w:instrText xml:space="preserve"> REF _Ref439333611 \h </w:instrText>
      </w:r>
      <w:r w:rsidR="00F6205B">
        <w:instrText xml:space="preserve"> \* MERGEFORMAT </w:instrText>
      </w:r>
      <w:r w:rsidR="00486CAE" w:rsidRPr="00F6205B">
        <w:fldChar w:fldCharType="separate"/>
      </w:r>
      <w:r w:rsidR="00FA26A9" w:rsidRPr="00F6205B">
        <w:t xml:space="preserve">Figure </w:t>
      </w:r>
      <w:r w:rsidR="00FA26A9">
        <w:rPr>
          <w:noProof/>
        </w:rPr>
        <w:t>32</w:t>
      </w:r>
      <w:r w:rsidR="00486CAE" w:rsidRPr="00F6205B">
        <w:fldChar w:fldCharType="end"/>
      </w:r>
      <w:r w:rsidR="00486CAE" w:rsidRPr="00F6205B">
        <w:t xml:space="preserve"> </w:t>
      </w:r>
      <w:r w:rsidRPr="00F6205B">
        <w:t>shows, a potential program incentive for higher-efficiency equipment would have less of an impact relative to the base case scenario than base case fuel switching would have relative to the existing consumption trajectory. Furthermore, some of the difference between the impacts of the base and upgrade cases can be attributed to the fact that, for 85 out of the 134 homes in the sample that were converted during the modeling (63%), water heating conversions were only modeled in the upgrade case.</w:t>
      </w:r>
      <w:r w:rsidRPr="00F6205B">
        <w:rPr>
          <w:rStyle w:val="FootnoteReference"/>
        </w:rPr>
        <w:footnoteReference w:id="75"/>
      </w:r>
    </w:p>
    <w:p w14:paraId="2E4D5182" w14:textId="363BD9AC" w:rsidR="00231AE4" w:rsidRPr="00F6205B" w:rsidRDefault="00231AE4" w:rsidP="004F23CF">
      <w:pPr>
        <w:pStyle w:val="Caption"/>
      </w:pPr>
      <w:bookmarkStart w:id="434" w:name="_Ref369690474"/>
      <w:bookmarkStart w:id="435" w:name="_Ref439333611"/>
      <w:bookmarkStart w:id="436" w:name="_Toc373318460"/>
      <w:bookmarkStart w:id="437" w:name="_Toc391887418"/>
      <w:bookmarkStart w:id="438" w:name="_Toc439931825"/>
      <w:r w:rsidRPr="00F6205B">
        <w:t>Figure</w:t>
      </w:r>
      <w:bookmarkEnd w:id="434"/>
      <w:r w:rsidR="004F23CF" w:rsidRPr="00F6205B">
        <w:t xml:space="preserve"> </w:t>
      </w:r>
      <w:fldSimple w:instr=" SEQ Figure \* ARABIC ">
        <w:r w:rsidR="00FA26A9">
          <w:rPr>
            <w:noProof/>
          </w:rPr>
          <w:t>32</w:t>
        </w:r>
      </w:fldSimple>
      <w:bookmarkEnd w:id="435"/>
      <w:r w:rsidRPr="00F6205B">
        <w:t xml:space="preserve">: </w:t>
      </w:r>
      <w:r w:rsidR="00501AE4">
        <w:t>Fuel Switching—</w:t>
      </w:r>
      <w:r w:rsidRPr="00F6205B">
        <w:t>Change in Total Consumption in MMBtu, Base to Upgrade Comparison*</w:t>
      </w:r>
      <w:bookmarkEnd w:id="436"/>
      <w:bookmarkEnd w:id="437"/>
      <w:bookmarkEnd w:id="438"/>
    </w:p>
    <w:p w14:paraId="2F8350B3" w14:textId="17545518" w:rsidR="00346A82" w:rsidRPr="00F6205B" w:rsidRDefault="00346A82" w:rsidP="00346A82">
      <w:pPr>
        <w:pStyle w:val="Caption"/>
        <w:spacing w:before="0" w:after="120"/>
        <w:rPr>
          <w:b w:val="0"/>
          <w:bCs w:val="0"/>
          <w:sz w:val="18"/>
        </w:rPr>
      </w:pPr>
      <w:r w:rsidRPr="00F6205B">
        <w:rPr>
          <w:b w:val="0"/>
          <w:bCs w:val="0"/>
          <w:sz w:val="18"/>
        </w:rPr>
        <w:t>Base: all single-family homes (population-weighted)</w:t>
      </w:r>
    </w:p>
    <w:p w14:paraId="673CA118" w14:textId="77777777" w:rsidR="00231AE4" w:rsidRPr="00F6205B" w:rsidRDefault="00231AE4" w:rsidP="00231AE4">
      <w:pPr>
        <w:keepNext/>
        <w:spacing w:after="0"/>
        <w:jc w:val="center"/>
      </w:pPr>
      <w:r w:rsidRPr="00F6205B">
        <w:rPr>
          <w:noProof/>
          <w:lang w:bidi="ar-SA"/>
        </w:rPr>
        <w:drawing>
          <wp:inline distT="0" distB="0" distL="0" distR="0" wp14:anchorId="37386F66" wp14:editId="4C5C49BC">
            <wp:extent cx="5420482" cy="286742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Btu Base-to-Upgrade, 50 &amp; 100.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420482" cy="2867425"/>
                    </a:xfrm>
                    <a:prstGeom prst="rect">
                      <a:avLst/>
                    </a:prstGeom>
                  </pic:spPr>
                </pic:pic>
              </a:graphicData>
            </a:graphic>
          </wp:inline>
        </w:drawing>
      </w:r>
    </w:p>
    <w:p w14:paraId="1BFD10C1" w14:textId="77777777" w:rsidR="00231AE4" w:rsidRPr="00F6205B" w:rsidRDefault="00231AE4" w:rsidP="00486CAE">
      <w:pPr>
        <w:keepNext/>
        <w:spacing w:after="0"/>
        <w:ind w:left="270" w:right="198"/>
        <w:rPr>
          <w:sz w:val="18"/>
        </w:rPr>
      </w:pPr>
      <w:r w:rsidRPr="00F6205B">
        <w:rPr>
          <w:sz w:val="18"/>
        </w:rPr>
        <w:t>* Base case data labels show percent difference from a scenario without fuel switching at year ten. Upgrade case labels (in orange) show difference from base case.</w:t>
      </w:r>
    </w:p>
    <w:p w14:paraId="56787954" w14:textId="77777777" w:rsidR="00231AE4" w:rsidRPr="00F6205B" w:rsidRDefault="00231AE4" w:rsidP="00231AE4"/>
    <w:p w14:paraId="66D374B7" w14:textId="77777777" w:rsidR="00231AE4" w:rsidRPr="00F6205B" w:rsidRDefault="00231AE4" w:rsidP="00231AE4">
      <w:pPr>
        <w:keepNext/>
        <w:rPr>
          <w:b/>
          <w:u w:val="single"/>
        </w:rPr>
      </w:pPr>
      <w:r w:rsidRPr="00F6205B">
        <w:rPr>
          <w:b/>
          <w:u w:val="single"/>
        </w:rPr>
        <w:t>Oil and Propane Savings</w:t>
      </w:r>
    </w:p>
    <w:p w14:paraId="59316B38" w14:textId="4C5C1467" w:rsidR="00231AE4" w:rsidRPr="00F6205B" w:rsidRDefault="00231AE4" w:rsidP="00231AE4">
      <w:pPr>
        <w:keepNext/>
      </w:pPr>
      <w:r w:rsidRPr="00F6205B">
        <w:t xml:space="preserve">As </w:t>
      </w:r>
      <w:r w:rsidR="00486CAE" w:rsidRPr="00F6205B">
        <w:fldChar w:fldCharType="begin"/>
      </w:r>
      <w:r w:rsidR="00486CAE" w:rsidRPr="00F6205B">
        <w:instrText xml:space="preserve"> REF _Ref439333624 \h </w:instrText>
      </w:r>
      <w:r w:rsidR="00F6205B">
        <w:instrText xml:space="preserve"> \* MERGEFORMAT </w:instrText>
      </w:r>
      <w:r w:rsidR="00486CAE" w:rsidRPr="00F6205B">
        <w:fldChar w:fldCharType="separate"/>
      </w:r>
      <w:r w:rsidR="00FA26A9" w:rsidRPr="00F6205B">
        <w:t xml:space="preserve">Figure </w:t>
      </w:r>
      <w:r w:rsidR="00FA26A9">
        <w:rPr>
          <w:noProof/>
        </w:rPr>
        <w:t>33</w:t>
      </w:r>
      <w:r w:rsidR="00486CAE" w:rsidRPr="00F6205B">
        <w:fldChar w:fldCharType="end"/>
      </w:r>
      <w:r w:rsidR="00486CAE" w:rsidRPr="00F6205B">
        <w:t xml:space="preserve"> </w:t>
      </w:r>
      <w:r w:rsidRPr="00F6205B">
        <w:t xml:space="preserve">demonstrates, the impact of a program incentive on the trajectory of annual consumption of fuel oil over the next decade is minimal, at least compared with the impact of base case fuel switching. This is because the difference between the base and upgrade cases is entirely attributable to oil consumption at the water heating end use—NMR’s presumption is that program incentives will be necessary to spur conversion to heat pump </w:t>
      </w:r>
      <w:r w:rsidRPr="00F6205B">
        <w:lastRenderedPageBreak/>
        <w:t>water heaters. Therefore, oil-fired water heating equipment in Groups B and C were left as-is in the base case and switched to heat pump water heaters i</w:t>
      </w:r>
      <w:r w:rsidR="004853DB">
        <w:t xml:space="preserve">n the upgrade case (see the </w:t>
      </w:r>
      <w:r w:rsidR="004853DB">
        <w:fldChar w:fldCharType="begin"/>
      </w:r>
      <w:r w:rsidR="004853DB">
        <w:instrText xml:space="preserve"> REF _Ref390760196 \h </w:instrText>
      </w:r>
      <w:r w:rsidR="004853DB">
        <w:fldChar w:fldCharType="separate"/>
      </w:r>
      <w:r w:rsidR="00FA26A9" w:rsidRPr="00F6205B">
        <w:t>Fuel Switching Methodology</w:t>
      </w:r>
      <w:r w:rsidR="004853DB">
        <w:fldChar w:fldCharType="end"/>
      </w:r>
      <w:r w:rsidR="004853DB">
        <w:t xml:space="preserve"> section</w:t>
      </w:r>
      <w:r w:rsidRPr="00F6205B">
        <w:t xml:space="preserve"> of this report).</w:t>
      </w:r>
    </w:p>
    <w:p w14:paraId="57EB1BE8" w14:textId="77777777" w:rsidR="00231AE4" w:rsidRPr="00F6205B" w:rsidRDefault="00231AE4" w:rsidP="00231AE4">
      <w:pPr>
        <w:keepNext/>
      </w:pPr>
      <w:r w:rsidRPr="00F6205B">
        <w:t>Since the models assume that oil space heating equipment is switched to gas or electric at the same rate for both the base and upgrade cases, the impact of a utility company incentive with reference to oil consumption is limited to switching oil-fired water heating equipment to heat pump water heaters.</w:t>
      </w:r>
    </w:p>
    <w:p w14:paraId="719A87F1" w14:textId="173230F1" w:rsidR="00231AE4" w:rsidRPr="00F6205B" w:rsidRDefault="00231AE4" w:rsidP="004F23CF">
      <w:pPr>
        <w:pStyle w:val="Caption"/>
      </w:pPr>
      <w:bookmarkStart w:id="439" w:name="_Ref369689819"/>
      <w:bookmarkStart w:id="440" w:name="_Ref439333624"/>
      <w:bookmarkStart w:id="441" w:name="_Toc373318461"/>
      <w:bookmarkStart w:id="442" w:name="_Toc391887419"/>
      <w:bookmarkStart w:id="443" w:name="_Toc439931826"/>
      <w:r w:rsidRPr="00F6205B">
        <w:t>Figure</w:t>
      </w:r>
      <w:bookmarkEnd w:id="439"/>
      <w:r w:rsidR="004F23CF" w:rsidRPr="00F6205B">
        <w:t xml:space="preserve"> </w:t>
      </w:r>
      <w:fldSimple w:instr=" SEQ Figure \* ARABIC ">
        <w:r w:rsidR="00FA26A9">
          <w:rPr>
            <w:noProof/>
          </w:rPr>
          <w:t>33</w:t>
        </w:r>
      </w:fldSimple>
      <w:bookmarkEnd w:id="440"/>
      <w:r w:rsidRPr="00F6205B">
        <w:t xml:space="preserve">: </w:t>
      </w:r>
      <w:r w:rsidR="00501AE4">
        <w:t>Fuel Switching—</w:t>
      </w:r>
      <w:r w:rsidRPr="00F6205B">
        <w:t>Change in Fuel Oil Consumption, Base to Upgrade Comparison*</w:t>
      </w:r>
      <w:bookmarkEnd w:id="441"/>
      <w:bookmarkEnd w:id="442"/>
      <w:bookmarkEnd w:id="443"/>
    </w:p>
    <w:p w14:paraId="34F15A41" w14:textId="6F28866B" w:rsidR="00346A82" w:rsidRPr="00F6205B" w:rsidRDefault="00346A82" w:rsidP="00346A82">
      <w:pPr>
        <w:pStyle w:val="Caption"/>
        <w:spacing w:before="0" w:after="120"/>
      </w:pPr>
      <w:r w:rsidRPr="00F6205B">
        <w:rPr>
          <w:b w:val="0"/>
          <w:bCs w:val="0"/>
          <w:sz w:val="18"/>
        </w:rPr>
        <w:t>Base: all single-family homes (population-weighted)</w:t>
      </w:r>
      <w:r w:rsidRPr="00F6205B">
        <w:t xml:space="preserve"> </w:t>
      </w:r>
    </w:p>
    <w:p w14:paraId="505E21A2" w14:textId="77777777" w:rsidR="00231AE4" w:rsidRPr="00F6205B" w:rsidRDefault="00231AE4" w:rsidP="00231AE4">
      <w:pPr>
        <w:keepNext/>
        <w:spacing w:after="0"/>
        <w:jc w:val="center"/>
      </w:pPr>
      <w:r w:rsidRPr="00F6205B">
        <w:rPr>
          <w:noProof/>
          <w:lang w:bidi="ar-SA"/>
        </w:rPr>
        <w:drawing>
          <wp:inline distT="0" distB="0" distL="0" distR="0" wp14:anchorId="7836FE0A" wp14:editId="0B8597CD">
            <wp:extent cx="5420482" cy="286742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Base-to-Upgrade, 50 &amp; 100.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420482" cy="2867425"/>
                    </a:xfrm>
                    <a:prstGeom prst="rect">
                      <a:avLst/>
                    </a:prstGeom>
                  </pic:spPr>
                </pic:pic>
              </a:graphicData>
            </a:graphic>
          </wp:inline>
        </w:drawing>
      </w:r>
    </w:p>
    <w:p w14:paraId="463D3212" w14:textId="77777777" w:rsidR="00231AE4" w:rsidRPr="00F6205B" w:rsidRDefault="00231AE4" w:rsidP="00486CAE">
      <w:pPr>
        <w:keepNext/>
        <w:spacing w:after="0"/>
        <w:ind w:left="180" w:right="198"/>
        <w:rPr>
          <w:sz w:val="18"/>
        </w:rPr>
      </w:pPr>
      <w:r w:rsidRPr="00F6205B">
        <w:rPr>
          <w:sz w:val="18"/>
        </w:rPr>
        <w:t>* Base case data labels show percent difference from a scenario without fuel switching at year ten. Upgrade case labels (in orange) show difference from base case.</w:t>
      </w:r>
    </w:p>
    <w:p w14:paraId="34B6BDCC" w14:textId="77777777" w:rsidR="00231AE4" w:rsidRPr="00F6205B" w:rsidRDefault="00231AE4" w:rsidP="00231AE4"/>
    <w:p w14:paraId="619C0C1B" w14:textId="21790EE9" w:rsidR="00231AE4" w:rsidRPr="00F6205B" w:rsidRDefault="00231AE4" w:rsidP="00231AE4">
      <w:pPr>
        <w:keepNext/>
      </w:pPr>
      <w:r w:rsidRPr="00F6205B">
        <w:t xml:space="preserve">The difference between propane consumption trajectories in the base and upgrade case scenarios is also due entirely to water heating, for the same reasons as oil: propane space heating equipment was switched to gas or heat pump in the base case, and thus a program </w:t>
      </w:r>
      <w:r w:rsidRPr="00F6205B">
        <w:lastRenderedPageBreak/>
        <w:t>incentive would only apply to propane insofar as it would convert propane-fired water heating equipment to a heat pump water heater</w:t>
      </w:r>
      <w:r w:rsidR="00486CAE" w:rsidRPr="00F6205B">
        <w:t xml:space="preserve"> (</w:t>
      </w:r>
      <w:r w:rsidR="00486CAE" w:rsidRPr="00F6205B">
        <w:fldChar w:fldCharType="begin"/>
      </w:r>
      <w:r w:rsidR="00486CAE" w:rsidRPr="00F6205B">
        <w:instrText xml:space="preserve"> REF _Ref439333681 \h </w:instrText>
      </w:r>
      <w:r w:rsidR="00F6205B">
        <w:instrText xml:space="preserve"> \* MERGEFORMAT </w:instrText>
      </w:r>
      <w:r w:rsidR="00486CAE" w:rsidRPr="00F6205B">
        <w:fldChar w:fldCharType="separate"/>
      </w:r>
      <w:r w:rsidR="00FA26A9" w:rsidRPr="00F6205B">
        <w:t xml:space="preserve">Figure </w:t>
      </w:r>
      <w:r w:rsidR="00FA26A9">
        <w:rPr>
          <w:noProof/>
        </w:rPr>
        <w:t>34</w:t>
      </w:r>
      <w:r w:rsidR="00486CAE" w:rsidRPr="00F6205B">
        <w:fldChar w:fldCharType="end"/>
      </w:r>
      <w:r w:rsidR="00486CAE" w:rsidRPr="00F6205B">
        <w:t>)</w:t>
      </w:r>
      <w:r w:rsidRPr="00F6205B">
        <w:t>.</w:t>
      </w:r>
    </w:p>
    <w:p w14:paraId="3A894F36" w14:textId="2E84F9DC" w:rsidR="00231AE4" w:rsidRPr="00F6205B" w:rsidRDefault="00231AE4" w:rsidP="004F23CF">
      <w:pPr>
        <w:pStyle w:val="Caption"/>
      </w:pPr>
      <w:bookmarkStart w:id="444" w:name="_Ref369689822"/>
      <w:bookmarkStart w:id="445" w:name="_Ref439333681"/>
      <w:bookmarkStart w:id="446" w:name="_Toc373318462"/>
      <w:bookmarkStart w:id="447" w:name="_Toc391887420"/>
      <w:bookmarkStart w:id="448" w:name="_Toc439931827"/>
      <w:r w:rsidRPr="00F6205B">
        <w:t>Figure</w:t>
      </w:r>
      <w:bookmarkEnd w:id="444"/>
      <w:r w:rsidR="004F23CF" w:rsidRPr="00F6205B">
        <w:t xml:space="preserve"> </w:t>
      </w:r>
      <w:fldSimple w:instr=" SEQ Figure \* ARABIC ">
        <w:r w:rsidR="00FA26A9">
          <w:rPr>
            <w:noProof/>
          </w:rPr>
          <w:t>34</w:t>
        </w:r>
      </w:fldSimple>
      <w:bookmarkEnd w:id="445"/>
      <w:r w:rsidRPr="00F6205B">
        <w:t xml:space="preserve">: </w:t>
      </w:r>
      <w:r w:rsidR="00501AE4">
        <w:t>Fuel Switching—</w:t>
      </w:r>
      <w:r w:rsidRPr="00F6205B">
        <w:t>Change in Propane Consumption, Base to Upgrade Comparison*</w:t>
      </w:r>
      <w:bookmarkEnd w:id="446"/>
      <w:bookmarkEnd w:id="447"/>
      <w:bookmarkEnd w:id="448"/>
    </w:p>
    <w:p w14:paraId="53E54339" w14:textId="7B061F17" w:rsidR="00346A82" w:rsidRPr="00F6205B" w:rsidRDefault="00346A82" w:rsidP="00346A82">
      <w:pPr>
        <w:pStyle w:val="Caption"/>
        <w:spacing w:before="0" w:after="120"/>
      </w:pPr>
      <w:r w:rsidRPr="00F6205B">
        <w:rPr>
          <w:b w:val="0"/>
          <w:bCs w:val="0"/>
          <w:sz w:val="18"/>
        </w:rPr>
        <w:t>Base: all single-family homes (population-weighted)</w:t>
      </w:r>
      <w:r w:rsidRPr="00F6205B">
        <w:t xml:space="preserve"> </w:t>
      </w:r>
    </w:p>
    <w:p w14:paraId="40B09792" w14:textId="77777777" w:rsidR="00231AE4" w:rsidRPr="00F6205B" w:rsidRDefault="00231AE4" w:rsidP="00231AE4">
      <w:pPr>
        <w:keepNext/>
        <w:spacing w:after="0"/>
        <w:jc w:val="center"/>
      </w:pPr>
      <w:r w:rsidRPr="00F6205B">
        <w:rPr>
          <w:noProof/>
          <w:lang w:bidi="ar-SA"/>
        </w:rPr>
        <w:drawing>
          <wp:inline distT="0" distB="0" distL="0" distR="0" wp14:anchorId="15E18A5A" wp14:editId="1F1D5988">
            <wp:extent cx="5430008" cy="286742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ane Base-to-Upgrade, 50 &amp; 100.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430008" cy="2867425"/>
                    </a:xfrm>
                    <a:prstGeom prst="rect">
                      <a:avLst/>
                    </a:prstGeom>
                  </pic:spPr>
                </pic:pic>
              </a:graphicData>
            </a:graphic>
          </wp:inline>
        </w:drawing>
      </w:r>
    </w:p>
    <w:p w14:paraId="51B3846B" w14:textId="77777777" w:rsidR="00231AE4" w:rsidRPr="00F6205B" w:rsidRDefault="00231AE4" w:rsidP="00486CAE">
      <w:pPr>
        <w:keepNext/>
        <w:spacing w:after="0"/>
        <w:ind w:left="270" w:right="198"/>
        <w:rPr>
          <w:sz w:val="18"/>
        </w:rPr>
      </w:pPr>
      <w:r w:rsidRPr="00F6205B">
        <w:rPr>
          <w:sz w:val="18"/>
        </w:rPr>
        <w:t>* Base case data labels show percent difference from a scenario without fuel switching at year ten. Upgrade case labels (in orange) show difference from base case.</w:t>
      </w:r>
    </w:p>
    <w:p w14:paraId="6EEBE88A" w14:textId="77777777" w:rsidR="00231AE4" w:rsidRPr="00F6205B" w:rsidRDefault="00231AE4" w:rsidP="00231AE4">
      <w:pPr>
        <w:rPr>
          <w:b/>
          <w:u w:val="single"/>
        </w:rPr>
      </w:pPr>
      <w:r w:rsidRPr="00F6205B">
        <w:rPr>
          <w:b/>
          <w:u w:val="single"/>
        </w:rPr>
        <w:br w:type="page"/>
      </w:r>
    </w:p>
    <w:p w14:paraId="6B44F702" w14:textId="77777777" w:rsidR="00231AE4" w:rsidRPr="00F6205B" w:rsidRDefault="00231AE4" w:rsidP="00231AE4">
      <w:pPr>
        <w:rPr>
          <w:b/>
          <w:u w:val="single"/>
        </w:rPr>
      </w:pPr>
      <w:r w:rsidRPr="00F6205B">
        <w:rPr>
          <w:b/>
          <w:u w:val="single"/>
        </w:rPr>
        <w:lastRenderedPageBreak/>
        <w:t>Increased Natural Gas and Electricity Consumption</w:t>
      </w:r>
    </w:p>
    <w:p w14:paraId="4FC4F1C0" w14:textId="2E98C73A" w:rsidR="00231AE4" w:rsidRPr="00F6205B" w:rsidRDefault="00486CAE" w:rsidP="00231AE4">
      <w:pPr>
        <w:keepNext/>
      </w:pPr>
      <w:r w:rsidRPr="00F6205B">
        <w:fldChar w:fldCharType="begin"/>
      </w:r>
      <w:r w:rsidRPr="00F6205B">
        <w:instrText xml:space="preserve"> REF _Ref439333984 \h </w:instrText>
      </w:r>
      <w:r w:rsidR="00F6205B">
        <w:instrText xml:space="preserve"> \* MERGEFORMAT </w:instrText>
      </w:r>
      <w:r w:rsidRPr="00F6205B">
        <w:fldChar w:fldCharType="separate"/>
      </w:r>
      <w:r w:rsidR="00FA26A9" w:rsidRPr="00F6205B">
        <w:t xml:space="preserve">Figure </w:t>
      </w:r>
      <w:r w:rsidR="00FA26A9">
        <w:rPr>
          <w:noProof/>
        </w:rPr>
        <w:t>35</w:t>
      </w:r>
      <w:r w:rsidRPr="00F6205B">
        <w:fldChar w:fldCharType="end"/>
      </w:r>
      <w:r w:rsidRPr="00F6205B">
        <w:t xml:space="preserve"> </w:t>
      </w:r>
      <w:r w:rsidR="00231AE4" w:rsidRPr="00F6205B">
        <w:t>shows the change in natural gas consumption over the next decade in the base case scenario, the upgrade case scenario, and without fuel switching. More of the difference in gas consumption between the base case and upgrade case scenarios can be attributed to the water heating end use (58%) than s</w:t>
      </w:r>
      <w:r w:rsidR="000C78A4">
        <w:t xml:space="preserve">pace heating (42%) (see </w:t>
      </w:r>
      <w:r w:rsidR="000C78A4">
        <w:fldChar w:fldCharType="begin"/>
      </w:r>
      <w:r w:rsidR="000C78A4">
        <w:instrText xml:space="preserve"> REF _Ref439680605 \h </w:instrText>
      </w:r>
      <w:r w:rsidR="000C78A4">
        <w:fldChar w:fldCharType="separate"/>
      </w:r>
      <w:r w:rsidR="00FA26A9">
        <w:t xml:space="preserve">Table </w:t>
      </w:r>
      <w:r w:rsidR="00FA26A9">
        <w:rPr>
          <w:noProof/>
        </w:rPr>
        <w:t>50</w:t>
      </w:r>
      <w:r w:rsidR="000C78A4">
        <w:fldChar w:fldCharType="end"/>
      </w:r>
      <w:r w:rsidR="00231AE4" w:rsidRPr="00F6205B">
        <w:t xml:space="preserve"> for results by end use). As this figure shows, the maximum estimated impact of a program incentive for higher-efficiency natural gas equipment is 24.3 million ccf annually by year ten, or 4% of the annual consumption estimated by the base case models.</w:t>
      </w:r>
    </w:p>
    <w:p w14:paraId="517B2D7D" w14:textId="6F4DFCD1" w:rsidR="00231AE4" w:rsidRPr="00F6205B" w:rsidRDefault="00231AE4" w:rsidP="004F23CF">
      <w:pPr>
        <w:pStyle w:val="Caption"/>
      </w:pPr>
      <w:bookmarkStart w:id="449" w:name="_Ref369692012"/>
      <w:bookmarkStart w:id="450" w:name="_Ref439333984"/>
      <w:bookmarkStart w:id="451" w:name="_Toc373318463"/>
      <w:bookmarkStart w:id="452" w:name="_Toc391887421"/>
      <w:bookmarkStart w:id="453" w:name="_Toc439931828"/>
      <w:r w:rsidRPr="00F6205B">
        <w:t>Figure</w:t>
      </w:r>
      <w:bookmarkEnd w:id="449"/>
      <w:r w:rsidR="004F23CF" w:rsidRPr="00F6205B">
        <w:t xml:space="preserve"> </w:t>
      </w:r>
      <w:fldSimple w:instr=" SEQ Figure \* ARABIC ">
        <w:r w:rsidR="00FA26A9">
          <w:rPr>
            <w:noProof/>
          </w:rPr>
          <w:t>35</w:t>
        </w:r>
      </w:fldSimple>
      <w:bookmarkEnd w:id="450"/>
      <w:r w:rsidRPr="00F6205B">
        <w:t xml:space="preserve">: </w:t>
      </w:r>
      <w:r w:rsidR="00501AE4">
        <w:t>Fuel Switching—</w:t>
      </w:r>
      <w:r w:rsidRPr="00F6205B">
        <w:t>Change in Natural Gas Consumption, Base to Upgrade Comparison*</w:t>
      </w:r>
      <w:bookmarkEnd w:id="451"/>
      <w:bookmarkEnd w:id="452"/>
      <w:bookmarkEnd w:id="453"/>
    </w:p>
    <w:p w14:paraId="585E8750" w14:textId="0C205823" w:rsidR="00346A82" w:rsidRPr="00F6205B" w:rsidRDefault="00346A82" w:rsidP="00346A82">
      <w:pPr>
        <w:pStyle w:val="Caption"/>
        <w:spacing w:before="0" w:after="120"/>
      </w:pPr>
      <w:r w:rsidRPr="00F6205B">
        <w:rPr>
          <w:b w:val="0"/>
          <w:bCs w:val="0"/>
          <w:sz w:val="18"/>
        </w:rPr>
        <w:t>Base: all single-family homes (population-weighted)</w:t>
      </w:r>
      <w:r w:rsidRPr="00F6205B">
        <w:t xml:space="preserve"> </w:t>
      </w:r>
    </w:p>
    <w:p w14:paraId="7D8CECF9" w14:textId="77777777" w:rsidR="00231AE4" w:rsidRPr="00F6205B" w:rsidRDefault="00231AE4" w:rsidP="00231AE4">
      <w:pPr>
        <w:keepNext/>
        <w:spacing w:after="0"/>
        <w:jc w:val="center"/>
      </w:pPr>
      <w:r w:rsidRPr="00F6205B">
        <w:rPr>
          <w:noProof/>
          <w:lang w:bidi="ar-SA"/>
        </w:rPr>
        <w:drawing>
          <wp:inline distT="0" distB="0" distL="0" distR="0" wp14:anchorId="7CEABC72" wp14:editId="440089E0">
            <wp:extent cx="5430008" cy="286742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 Gas Base-to-Upgrade, 50 &amp; 100.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430008" cy="2867425"/>
                    </a:xfrm>
                    <a:prstGeom prst="rect">
                      <a:avLst/>
                    </a:prstGeom>
                  </pic:spPr>
                </pic:pic>
              </a:graphicData>
            </a:graphic>
          </wp:inline>
        </w:drawing>
      </w:r>
    </w:p>
    <w:p w14:paraId="226C011F" w14:textId="77777777" w:rsidR="00231AE4" w:rsidRPr="00F6205B" w:rsidRDefault="00231AE4" w:rsidP="00486CAE">
      <w:pPr>
        <w:keepNext/>
        <w:spacing w:after="0"/>
        <w:ind w:left="270" w:right="198"/>
        <w:rPr>
          <w:sz w:val="18"/>
        </w:rPr>
      </w:pPr>
      <w:r w:rsidRPr="00F6205B">
        <w:rPr>
          <w:sz w:val="18"/>
        </w:rPr>
        <w:t>* Base case data labels show percent difference from a scenario without fuel switching at year ten. Upgrade case labels (in orange) show difference from base case.</w:t>
      </w:r>
    </w:p>
    <w:p w14:paraId="2473D50F" w14:textId="77777777" w:rsidR="00231AE4" w:rsidRPr="00F6205B" w:rsidRDefault="00231AE4" w:rsidP="00231AE4"/>
    <w:p w14:paraId="0AC16F47" w14:textId="134D9578" w:rsidR="00231AE4" w:rsidRPr="00F6205B" w:rsidRDefault="00231AE4" w:rsidP="00231AE4">
      <w:pPr>
        <w:keepNext/>
      </w:pPr>
      <w:r w:rsidRPr="00F6205B">
        <w:t>The maximum impact of a program incentive for higher-efficiency electric heating and water heating equipment is about 1 billion kilowatt-hours over the next decade, or 0.7% of the ten-year total consumption estimated by the base case models (</w:t>
      </w:r>
      <w:r w:rsidR="00380843">
        <w:fldChar w:fldCharType="begin"/>
      </w:r>
      <w:r w:rsidR="00380843">
        <w:instrText xml:space="preserve"> REF _Ref439934642 \h </w:instrText>
      </w:r>
      <w:r w:rsidR="00380843">
        <w:fldChar w:fldCharType="separate"/>
      </w:r>
      <w:r w:rsidR="00380843" w:rsidRPr="00F6205B">
        <w:t xml:space="preserve">Figure </w:t>
      </w:r>
      <w:r w:rsidR="00380843">
        <w:rPr>
          <w:noProof/>
        </w:rPr>
        <w:t>36</w:t>
      </w:r>
      <w:r w:rsidR="00380843">
        <w:fldChar w:fldCharType="end"/>
      </w:r>
      <w:r w:rsidRPr="00F6205B">
        <w:t xml:space="preserve">). This impact is less substantial than it is for natural gas, predominantly because 69% of existing electric consumption occurs at the lights &amp; appliances end use, which is unaffected by fuel switching. Most of the difference occurs at the heating end use while a small amount occurs at the cooling end use as well, since the ductless mini-splits which replaced oil- and propane-fired heating equipment also provide cooling. </w:t>
      </w:r>
    </w:p>
    <w:p w14:paraId="39D6AD91" w14:textId="21C97620" w:rsidR="00231AE4" w:rsidRPr="00F6205B" w:rsidRDefault="00231AE4" w:rsidP="00231AE4">
      <w:pPr>
        <w:keepNext/>
      </w:pPr>
      <w:r w:rsidRPr="00F6205B">
        <w:t>Although electricity consumption would increase as a result of a possible program incentive for heat pump water heaters, this potential increase is substantially smaller than the potential savings which would be associated with an incentive for more efficient ductless mini-</w:t>
      </w:r>
      <w:r w:rsidR="000C78A4">
        <w:t xml:space="preserve">splits (see </w:t>
      </w:r>
      <w:r w:rsidR="000C78A4">
        <w:fldChar w:fldCharType="begin"/>
      </w:r>
      <w:r w:rsidR="000C78A4">
        <w:instrText xml:space="preserve"> REF _Ref439680567 \h </w:instrText>
      </w:r>
      <w:r w:rsidR="000C78A4">
        <w:fldChar w:fldCharType="separate"/>
      </w:r>
      <w:r w:rsidR="00FA26A9">
        <w:t xml:space="preserve">Table </w:t>
      </w:r>
      <w:r w:rsidR="00FA26A9">
        <w:rPr>
          <w:noProof/>
        </w:rPr>
        <w:t>49</w:t>
      </w:r>
      <w:r w:rsidR="000C78A4">
        <w:fldChar w:fldCharType="end"/>
      </w:r>
      <w:r w:rsidRPr="00F6205B">
        <w:t xml:space="preserve">). It is also smaller than the amount of electricity which the analysis </w:t>
      </w:r>
      <w:r w:rsidRPr="00F6205B">
        <w:lastRenderedPageBreak/>
        <w:t>estimates could be saved by converting electric resistance water heaters to gas water heaters in homes that switch to gas.</w:t>
      </w:r>
    </w:p>
    <w:p w14:paraId="7BCD650B" w14:textId="1792FE79" w:rsidR="00231AE4" w:rsidRPr="00F6205B" w:rsidRDefault="00231AE4" w:rsidP="004F23CF">
      <w:pPr>
        <w:pStyle w:val="Caption"/>
      </w:pPr>
      <w:bookmarkStart w:id="454" w:name="_Ref372022710"/>
      <w:bookmarkStart w:id="455" w:name="_Ref439934642"/>
      <w:bookmarkStart w:id="456" w:name="_Toc373318464"/>
      <w:bookmarkStart w:id="457" w:name="_Toc391887422"/>
      <w:bookmarkStart w:id="458" w:name="_Toc439931829"/>
      <w:r w:rsidRPr="00F6205B">
        <w:t>Figure</w:t>
      </w:r>
      <w:bookmarkEnd w:id="454"/>
      <w:r w:rsidR="004F23CF" w:rsidRPr="00F6205B">
        <w:t xml:space="preserve"> </w:t>
      </w:r>
      <w:fldSimple w:instr=" SEQ Figure \* ARABIC ">
        <w:r w:rsidR="00FA26A9">
          <w:rPr>
            <w:noProof/>
          </w:rPr>
          <w:t>36</w:t>
        </w:r>
      </w:fldSimple>
      <w:bookmarkEnd w:id="455"/>
      <w:r w:rsidRPr="00F6205B">
        <w:t xml:space="preserve">: </w:t>
      </w:r>
      <w:r w:rsidR="00501AE4">
        <w:t>Fuel Switching—</w:t>
      </w:r>
      <w:r w:rsidRPr="00F6205B">
        <w:t>Change in Electricity Consumption, Base to Upgrade Comparison*</w:t>
      </w:r>
      <w:bookmarkEnd w:id="456"/>
      <w:bookmarkEnd w:id="457"/>
      <w:bookmarkEnd w:id="458"/>
    </w:p>
    <w:p w14:paraId="3DCABA39" w14:textId="35AA9D19" w:rsidR="00346A82" w:rsidRPr="00F6205B" w:rsidRDefault="00346A82" w:rsidP="00346A82">
      <w:pPr>
        <w:pStyle w:val="Caption"/>
        <w:spacing w:before="0" w:after="120"/>
      </w:pPr>
      <w:r w:rsidRPr="00F6205B">
        <w:rPr>
          <w:b w:val="0"/>
          <w:bCs w:val="0"/>
          <w:sz w:val="18"/>
        </w:rPr>
        <w:t>Base: all single-family homes (population-weighted)</w:t>
      </w:r>
      <w:r w:rsidRPr="00F6205B">
        <w:t xml:space="preserve"> </w:t>
      </w:r>
    </w:p>
    <w:p w14:paraId="11AA613E" w14:textId="77777777" w:rsidR="00231AE4" w:rsidRPr="00F6205B" w:rsidRDefault="00231AE4" w:rsidP="00231AE4">
      <w:pPr>
        <w:keepNext/>
        <w:spacing w:after="0"/>
        <w:jc w:val="center"/>
      </w:pPr>
      <w:r w:rsidRPr="00F6205B">
        <w:rPr>
          <w:noProof/>
          <w:lang w:bidi="ar-SA"/>
        </w:rPr>
        <w:drawing>
          <wp:inline distT="0" distB="0" distL="0" distR="0" wp14:anchorId="12F8E8C0" wp14:editId="63B63D8D">
            <wp:extent cx="5420482" cy="28674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icity Base-to-Upgrade, 50 &amp; 100.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420482" cy="2867425"/>
                    </a:xfrm>
                    <a:prstGeom prst="rect">
                      <a:avLst/>
                    </a:prstGeom>
                  </pic:spPr>
                </pic:pic>
              </a:graphicData>
            </a:graphic>
          </wp:inline>
        </w:drawing>
      </w:r>
    </w:p>
    <w:p w14:paraId="50613FF2" w14:textId="77777777" w:rsidR="00231AE4" w:rsidRPr="00F6205B" w:rsidRDefault="00231AE4" w:rsidP="00486CAE">
      <w:pPr>
        <w:keepNext/>
        <w:spacing w:after="0"/>
        <w:ind w:left="270" w:right="198"/>
        <w:rPr>
          <w:sz w:val="18"/>
        </w:rPr>
      </w:pPr>
      <w:r w:rsidRPr="00F6205B">
        <w:rPr>
          <w:sz w:val="18"/>
        </w:rPr>
        <w:t>* Base case data labels show percent difference from a scenario without fuel switching at year ten. Upgrade case labels (in orange) show difference from base case.</w:t>
      </w:r>
    </w:p>
    <w:p w14:paraId="3DDEF823" w14:textId="77777777" w:rsidR="00231AE4" w:rsidRPr="00F6205B" w:rsidRDefault="00231AE4" w:rsidP="00231AE4">
      <w:pPr>
        <w:rPr>
          <w:sz w:val="20"/>
        </w:rPr>
      </w:pPr>
    </w:p>
    <w:p w14:paraId="2DE22CA9" w14:textId="77777777" w:rsidR="00231AE4" w:rsidRPr="00F6205B" w:rsidRDefault="00231AE4" w:rsidP="00486CAE">
      <w:pPr>
        <w:pStyle w:val="Heading3"/>
        <w:numPr>
          <w:ilvl w:val="0"/>
          <w:numId w:val="0"/>
        </w:numPr>
        <w:jc w:val="both"/>
      </w:pPr>
      <w:bookmarkStart w:id="459" w:name="_Ref371414081"/>
      <w:bookmarkStart w:id="460" w:name="_Toc373322749"/>
      <w:bookmarkStart w:id="461" w:name="_Toc391887327"/>
      <w:bookmarkStart w:id="462" w:name="_Toc439939416"/>
      <w:r w:rsidRPr="00F6205B">
        <w:t>Fuel Switching Impact by End Use</w:t>
      </w:r>
      <w:bookmarkEnd w:id="459"/>
      <w:bookmarkEnd w:id="460"/>
      <w:bookmarkEnd w:id="461"/>
      <w:bookmarkEnd w:id="462"/>
    </w:p>
    <w:p w14:paraId="58D80FFB" w14:textId="77777777" w:rsidR="00231AE4" w:rsidRPr="00F6205B" w:rsidRDefault="00231AE4" w:rsidP="00231AE4">
      <w:pPr>
        <w:pStyle w:val="ListParagraph"/>
        <w:ind w:left="0"/>
        <w:contextualSpacing w:val="0"/>
      </w:pPr>
      <w:r w:rsidRPr="00F6205B">
        <w:t>This section further details base case and upgrade case fuel switching impact by the heating, cooling, and water heating end uses.</w:t>
      </w:r>
    </w:p>
    <w:p w14:paraId="73EA000C" w14:textId="6F6FB51F" w:rsidR="00231AE4" w:rsidRPr="00F6205B" w:rsidRDefault="0046579C" w:rsidP="00231AE4">
      <w:r w:rsidRPr="00F6205B">
        <w:fldChar w:fldCharType="begin"/>
      </w:r>
      <w:r w:rsidRPr="00F6205B">
        <w:instrText xml:space="preserve"> REF _Ref439334319 \h </w:instrText>
      </w:r>
      <w:r w:rsidR="00F6205B">
        <w:instrText xml:space="preserve"> \* MERGEFORMAT </w:instrText>
      </w:r>
      <w:r w:rsidRPr="00F6205B">
        <w:fldChar w:fldCharType="separate"/>
      </w:r>
      <w:r w:rsidR="00FA26A9" w:rsidRPr="00F6205B">
        <w:t xml:space="preserve">Table </w:t>
      </w:r>
      <w:r w:rsidR="00FA26A9">
        <w:rPr>
          <w:noProof/>
        </w:rPr>
        <w:t>40</w:t>
      </w:r>
      <w:r w:rsidRPr="00F6205B">
        <w:fldChar w:fldCharType="end"/>
      </w:r>
      <w:r w:rsidRPr="00F6205B">
        <w:t xml:space="preserve"> </w:t>
      </w:r>
      <w:r w:rsidR="00231AE4" w:rsidRPr="00F6205B">
        <w:t>demonstrates the proportion of program incentive impacts taken up by each applicable end use. Because lights, appliances, and photovoltaics are not affected by fuel switching, those end uses are not included in the table. As shown:</w:t>
      </w:r>
    </w:p>
    <w:p w14:paraId="7310D3D4" w14:textId="77777777" w:rsidR="00231AE4" w:rsidRPr="00F6205B" w:rsidRDefault="00231AE4" w:rsidP="00012A1E">
      <w:pPr>
        <w:pStyle w:val="ListParagraph"/>
        <w:numPr>
          <w:ilvl w:val="0"/>
          <w:numId w:val="31"/>
        </w:numPr>
      </w:pPr>
      <w:r w:rsidRPr="00F6205B">
        <w:t>Most of the potential natural gas savings which an incentive could achieve (58%) would occur at the water heating end use, while the vast majority of electric savings (86%) would occur at the heating end use.</w:t>
      </w:r>
    </w:p>
    <w:p w14:paraId="679B5570" w14:textId="77777777" w:rsidR="00231AE4" w:rsidRPr="00F6205B" w:rsidRDefault="00231AE4" w:rsidP="00012A1E">
      <w:pPr>
        <w:pStyle w:val="ListParagraph"/>
        <w:numPr>
          <w:ilvl w:val="0"/>
          <w:numId w:val="31"/>
        </w:numPr>
      </w:pPr>
      <w:r w:rsidRPr="00F6205B">
        <w:t>Potential program incentives for more efficient natural gas equipment lead to more savings at the water heating end use than at the space heating end use, according to the models.</w:t>
      </w:r>
      <w:r w:rsidRPr="00F6205B">
        <w:rPr>
          <w:rStyle w:val="FootnoteReference"/>
        </w:rPr>
        <w:footnoteReference w:id="76"/>
      </w:r>
    </w:p>
    <w:p w14:paraId="4D299968" w14:textId="77777777" w:rsidR="00231AE4" w:rsidRPr="00F6205B" w:rsidRDefault="00231AE4" w:rsidP="00012A1E">
      <w:pPr>
        <w:pStyle w:val="ListParagraph"/>
        <w:numPr>
          <w:ilvl w:val="0"/>
          <w:numId w:val="31"/>
        </w:numPr>
      </w:pPr>
      <w:r w:rsidRPr="00F6205B">
        <w:lastRenderedPageBreak/>
        <w:t>There are also some modest increases in consumption from potential program incentives. Heat pump water heaters, which are present in 63% of upgrade case models but none of the base case models, account for 100% of the increase in electric consumption from possible program incentives.</w:t>
      </w:r>
    </w:p>
    <w:p w14:paraId="4FEEFDF3" w14:textId="77777777" w:rsidR="00231AE4" w:rsidRPr="00F6205B" w:rsidRDefault="00231AE4" w:rsidP="00012A1E">
      <w:pPr>
        <w:pStyle w:val="ListParagraph"/>
        <w:numPr>
          <w:ilvl w:val="1"/>
          <w:numId w:val="31"/>
        </w:numPr>
      </w:pPr>
      <w:r w:rsidRPr="00F6205B">
        <w:t>These water heaters also account for small increases in oil and propane consumption in the upgrade case.</w:t>
      </w:r>
      <w:r w:rsidRPr="00F6205B">
        <w:rPr>
          <w:rStyle w:val="FootnoteReference"/>
        </w:rPr>
        <w:footnoteReference w:id="77"/>
      </w:r>
    </w:p>
    <w:p w14:paraId="1E9144F2" w14:textId="1CBDF009" w:rsidR="00231AE4" w:rsidRPr="00F6205B" w:rsidRDefault="00231AE4" w:rsidP="004F23CF">
      <w:pPr>
        <w:pStyle w:val="Caption"/>
      </w:pPr>
      <w:bookmarkStart w:id="463" w:name="_Ref371430827"/>
      <w:bookmarkStart w:id="464" w:name="_Ref439334319"/>
      <w:bookmarkStart w:id="465" w:name="_Toc373324135"/>
      <w:bookmarkStart w:id="466" w:name="_Toc391887376"/>
      <w:bookmarkStart w:id="467" w:name="_Toc439931871"/>
      <w:r w:rsidRPr="00F6205B">
        <w:t>Table</w:t>
      </w:r>
      <w:bookmarkEnd w:id="463"/>
      <w:r w:rsidR="004F23CF" w:rsidRPr="00F6205B">
        <w:t xml:space="preserve"> </w:t>
      </w:r>
      <w:fldSimple w:instr=" SEQ Table \* ARABIC ">
        <w:r w:rsidR="00FA26A9">
          <w:rPr>
            <w:noProof/>
          </w:rPr>
          <w:t>40</w:t>
        </w:r>
      </w:fldSimple>
      <w:bookmarkEnd w:id="464"/>
      <w:r w:rsidRPr="00F6205B">
        <w:t xml:space="preserve">: </w:t>
      </w:r>
      <w:r w:rsidR="00501AE4">
        <w:t>Fuel Switching—</w:t>
      </w:r>
      <w:r w:rsidRPr="00F6205B">
        <w:t>Maximum Impacts of Program Incentive by End Use (100% Conversion Rate)</w:t>
      </w:r>
      <w:bookmarkEnd w:id="465"/>
      <w:bookmarkEnd w:id="466"/>
      <w:bookmarkEnd w:id="467"/>
    </w:p>
    <w:p w14:paraId="519AEC4F" w14:textId="77777777" w:rsidR="00346A82" w:rsidRPr="00F6205B" w:rsidRDefault="00346A82" w:rsidP="00346A82">
      <w:pPr>
        <w:pStyle w:val="Caption"/>
        <w:spacing w:before="0" w:after="120"/>
        <w:rPr>
          <w:b w:val="0"/>
          <w:bCs w:val="0"/>
          <w:sz w:val="18"/>
        </w:rPr>
      </w:pPr>
      <w:r w:rsidRPr="00F6205B">
        <w:rPr>
          <w:b w:val="0"/>
          <w:bCs w:val="0"/>
          <w:sz w:val="18"/>
        </w:rPr>
        <w:t>Base: all single-family homes (population-weighted)</w:t>
      </w:r>
    </w:p>
    <w:tbl>
      <w:tblPr>
        <w:tblStyle w:val="TableGrid"/>
        <w:tblW w:w="6923"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2508"/>
        <w:gridCol w:w="1080"/>
        <w:gridCol w:w="1078"/>
        <w:gridCol w:w="990"/>
        <w:gridCol w:w="1267"/>
      </w:tblGrid>
      <w:tr w:rsidR="00231AE4" w:rsidRPr="00F6205B" w14:paraId="3C8CBD88" w14:textId="77777777" w:rsidTr="0046579C">
        <w:trPr>
          <w:trHeight w:val="288"/>
          <w:jc w:val="center"/>
        </w:trPr>
        <w:tc>
          <w:tcPr>
            <w:tcW w:w="2508" w:type="dxa"/>
            <w:vMerge w:val="restart"/>
            <w:tcBorders>
              <w:top w:val="single" w:sz="4" w:space="0" w:color="auto"/>
              <w:left w:val="single" w:sz="4" w:space="0" w:color="auto"/>
              <w:right w:val="single" w:sz="4" w:space="0" w:color="000000" w:themeColor="text1"/>
            </w:tcBorders>
            <w:shd w:val="clear" w:color="auto" w:fill="0B4D2C" w:themeFill="background2" w:themeFillShade="BF"/>
            <w:vAlign w:val="center"/>
          </w:tcPr>
          <w:p w14:paraId="3EF9A8A9" w14:textId="4E74FF94" w:rsidR="00231AE4" w:rsidRPr="00F6205B" w:rsidRDefault="00231AE4" w:rsidP="004F23CF">
            <w:pPr>
              <w:keepNext/>
              <w:keepLines/>
              <w:spacing w:after="0"/>
              <w:rPr>
                <w:b/>
                <w:sz w:val="20"/>
                <w:szCs w:val="20"/>
              </w:rPr>
            </w:pPr>
            <w:r w:rsidRPr="00F6205B">
              <w:rPr>
                <w:b/>
                <w:sz w:val="20"/>
                <w:szCs w:val="20"/>
              </w:rPr>
              <w:t>Fuel</w:t>
            </w:r>
            <w:r w:rsidR="00720D5A" w:rsidRPr="00F6205B">
              <w:rPr>
                <w:b/>
                <w:sz w:val="20"/>
                <w:szCs w:val="20"/>
              </w:rPr>
              <w:t xml:space="preserve"> type</w:t>
            </w:r>
          </w:p>
        </w:tc>
        <w:tc>
          <w:tcPr>
            <w:tcW w:w="4415" w:type="dxa"/>
            <w:gridSpan w:val="4"/>
            <w:tcBorders>
              <w:top w:val="single" w:sz="4" w:space="0" w:color="auto"/>
              <w:bottom w:val="single" w:sz="4" w:space="0" w:color="000000" w:themeColor="text1"/>
              <w:right w:val="single" w:sz="4" w:space="0" w:color="auto"/>
            </w:tcBorders>
            <w:shd w:val="clear" w:color="auto" w:fill="0B4D2C" w:themeFill="background2" w:themeFillShade="BF"/>
            <w:vAlign w:val="center"/>
          </w:tcPr>
          <w:p w14:paraId="0AC82DAB" w14:textId="77777777" w:rsidR="00231AE4" w:rsidRPr="00F6205B" w:rsidRDefault="00231AE4" w:rsidP="004F23CF">
            <w:pPr>
              <w:keepNext/>
              <w:keepLines/>
              <w:spacing w:after="0"/>
              <w:jc w:val="center"/>
              <w:rPr>
                <w:b/>
                <w:sz w:val="20"/>
                <w:szCs w:val="20"/>
              </w:rPr>
            </w:pPr>
            <w:r w:rsidRPr="00F6205B">
              <w:rPr>
                <w:b/>
                <w:sz w:val="20"/>
                <w:szCs w:val="20"/>
              </w:rPr>
              <w:t>End Use</w:t>
            </w:r>
          </w:p>
        </w:tc>
      </w:tr>
      <w:tr w:rsidR="00231AE4" w:rsidRPr="00F6205B" w14:paraId="24E7264D" w14:textId="77777777" w:rsidTr="0046579C">
        <w:trPr>
          <w:trHeight w:val="288"/>
          <w:jc w:val="center"/>
        </w:trPr>
        <w:tc>
          <w:tcPr>
            <w:tcW w:w="2508" w:type="dxa"/>
            <w:vMerge/>
            <w:tcBorders>
              <w:left w:val="single" w:sz="4" w:space="0" w:color="auto"/>
              <w:bottom w:val="single" w:sz="4" w:space="0" w:color="auto"/>
              <w:right w:val="single" w:sz="4" w:space="0" w:color="000000" w:themeColor="text1"/>
            </w:tcBorders>
            <w:shd w:val="clear" w:color="auto" w:fill="0B4D2C" w:themeFill="background2" w:themeFillShade="BF"/>
            <w:vAlign w:val="center"/>
          </w:tcPr>
          <w:p w14:paraId="7E4FDE06" w14:textId="77777777" w:rsidR="00231AE4" w:rsidRPr="00F6205B" w:rsidRDefault="00231AE4" w:rsidP="004F23CF">
            <w:pPr>
              <w:keepNext/>
              <w:keepLines/>
              <w:spacing w:after="0"/>
              <w:rPr>
                <w:b/>
                <w:sz w:val="20"/>
                <w:szCs w:val="20"/>
              </w:rPr>
            </w:pPr>
          </w:p>
        </w:tc>
        <w:tc>
          <w:tcPr>
            <w:tcW w:w="1080" w:type="dxa"/>
            <w:tcBorders>
              <w:top w:val="single" w:sz="4" w:space="0" w:color="000000" w:themeColor="text1"/>
              <w:bottom w:val="single" w:sz="4" w:space="0" w:color="auto"/>
              <w:right w:val="single" w:sz="4" w:space="0" w:color="000000" w:themeColor="text1"/>
            </w:tcBorders>
            <w:shd w:val="clear" w:color="auto" w:fill="0B4D2C" w:themeFill="background2" w:themeFillShade="BF"/>
            <w:vAlign w:val="center"/>
          </w:tcPr>
          <w:p w14:paraId="5905814B" w14:textId="77777777" w:rsidR="00231AE4" w:rsidRPr="00F6205B" w:rsidRDefault="00231AE4" w:rsidP="004F23CF">
            <w:pPr>
              <w:keepNext/>
              <w:keepLines/>
              <w:spacing w:after="0"/>
              <w:jc w:val="center"/>
              <w:rPr>
                <w:b/>
                <w:sz w:val="20"/>
                <w:szCs w:val="20"/>
              </w:rPr>
            </w:pPr>
            <w:r w:rsidRPr="00F6205B">
              <w:rPr>
                <w:b/>
                <w:sz w:val="20"/>
                <w:szCs w:val="20"/>
              </w:rPr>
              <w:t>Heating</w:t>
            </w:r>
          </w:p>
        </w:tc>
        <w:tc>
          <w:tcPr>
            <w:tcW w:w="1078" w:type="dxa"/>
            <w:tcBorders>
              <w:top w:val="single" w:sz="4" w:space="0" w:color="000000" w:themeColor="text1"/>
              <w:bottom w:val="single" w:sz="4" w:space="0" w:color="auto"/>
            </w:tcBorders>
            <w:shd w:val="clear" w:color="auto" w:fill="0B4D2C" w:themeFill="background2" w:themeFillShade="BF"/>
            <w:vAlign w:val="center"/>
          </w:tcPr>
          <w:p w14:paraId="433DF07D" w14:textId="77777777" w:rsidR="00231AE4" w:rsidRPr="00F6205B" w:rsidRDefault="00231AE4" w:rsidP="004F23CF">
            <w:pPr>
              <w:keepNext/>
              <w:keepLines/>
              <w:spacing w:after="0"/>
              <w:jc w:val="center"/>
              <w:rPr>
                <w:b/>
                <w:sz w:val="20"/>
                <w:szCs w:val="20"/>
              </w:rPr>
            </w:pPr>
            <w:r w:rsidRPr="00F6205B">
              <w:rPr>
                <w:b/>
                <w:sz w:val="20"/>
                <w:szCs w:val="20"/>
              </w:rPr>
              <w:t>Cooling</w:t>
            </w:r>
          </w:p>
        </w:tc>
        <w:tc>
          <w:tcPr>
            <w:tcW w:w="990" w:type="dxa"/>
            <w:tcBorders>
              <w:top w:val="single" w:sz="4" w:space="0" w:color="000000" w:themeColor="text1"/>
              <w:bottom w:val="single" w:sz="4" w:space="0" w:color="auto"/>
            </w:tcBorders>
            <w:shd w:val="clear" w:color="auto" w:fill="0B4D2C" w:themeFill="background2" w:themeFillShade="BF"/>
            <w:vAlign w:val="center"/>
          </w:tcPr>
          <w:p w14:paraId="3A3FC7DF" w14:textId="77777777" w:rsidR="00231AE4" w:rsidRPr="00F6205B" w:rsidRDefault="00231AE4" w:rsidP="004F23CF">
            <w:pPr>
              <w:keepNext/>
              <w:keepLines/>
              <w:spacing w:after="0"/>
              <w:jc w:val="center"/>
              <w:rPr>
                <w:b/>
                <w:sz w:val="20"/>
                <w:szCs w:val="20"/>
              </w:rPr>
            </w:pPr>
            <w:r w:rsidRPr="00F6205B">
              <w:rPr>
                <w:b/>
                <w:sz w:val="20"/>
                <w:szCs w:val="20"/>
              </w:rPr>
              <w:t>Water Heating</w:t>
            </w:r>
          </w:p>
        </w:tc>
        <w:tc>
          <w:tcPr>
            <w:tcW w:w="1267" w:type="dxa"/>
            <w:tcBorders>
              <w:top w:val="single" w:sz="4" w:space="0" w:color="000000" w:themeColor="text1"/>
              <w:bottom w:val="single" w:sz="4" w:space="0" w:color="auto"/>
              <w:right w:val="single" w:sz="4" w:space="0" w:color="auto"/>
            </w:tcBorders>
            <w:shd w:val="clear" w:color="auto" w:fill="0B4D2C" w:themeFill="background2" w:themeFillShade="BF"/>
            <w:vAlign w:val="center"/>
          </w:tcPr>
          <w:p w14:paraId="3BE39565" w14:textId="77777777" w:rsidR="00231AE4" w:rsidRPr="00F6205B" w:rsidRDefault="00231AE4" w:rsidP="004F23CF">
            <w:pPr>
              <w:keepNext/>
              <w:keepLines/>
              <w:spacing w:after="0"/>
              <w:jc w:val="center"/>
              <w:rPr>
                <w:b/>
                <w:sz w:val="20"/>
                <w:szCs w:val="20"/>
              </w:rPr>
            </w:pPr>
            <w:r w:rsidRPr="00F6205B">
              <w:rPr>
                <w:b/>
                <w:sz w:val="20"/>
                <w:szCs w:val="20"/>
              </w:rPr>
              <w:t>Difference Over 10 Years</w:t>
            </w:r>
          </w:p>
        </w:tc>
      </w:tr>
      <w:tr w:rsidR="00231AE4" w:rsidRPr="00F6205B" w14:paraId="06BE89DE" w14:textId="77777777" w:rsidTr="0046579C">
        <w:trPr>
          <w:trHeight w:val="288"/>
          <w:jc w:val="center"/>
        </w:trPr>
        <w:tc>
          <w:tcPr>
            <w:tcW w:w="6923" w:type="dxa"/>
            <w:gridSpan w:val="5"/>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52B50CF2" w14:textId="654912A2" w:rsidR="00231AE4" w:rsidRPr="00F6205B" w:rsidRDefault="00231AE4" w:rsidP="0046579C">
            <w:pPr>
              <w:keepNext/>
              <w:keepLines/>
              <w:spacing w:after="0"/>
              <w:jc w:val="center"/>
              <w:rPr>
                <w:b/>
                <w:color w:val="FFFFFF" w:themeColor="background1"/>
                <w:sz w:val="20"/>
                <w:szCs w:val="20"/>
              </w:rPr>
            </w:pPr>
            <w:r w:rsidRPr="00F6205B">
              <w:rPr>
                <w:b/>
                <w:color w:val="FFFFFF" w:themeColor="background1"/>
                <w:sz w:val="20"/>
                <w:szCs w:val="20"/>
              </w:rPr>
              <w:t xml:space="preserve">Percent of Consumption Decrease </w:t>
            </w:r>
            <w:r w:rsidR="0046579C" w:rsidRPr="00F6205B">
              <w:rPr>
                <w:b/>
                <w:color w:val="FFFFFF" w:themeColor="background1"/>
                <w:sz w:val="20"/>
                <w:szCs w:val="20"/>
              </w:rPr>
              <w:t>f</w:t>
            </w:r>
            <w:r w:rsidRPr="00F6205B">
              <w:rPr>
                <w:b/>
                <w:color w:val="FFFFFF" w:themeColor="background1"/>
                <w:sz w:val="20"/>
                <w:szCs w:val="20"/>
              </w:rPr>
              <w:t>rom Base Case to Upgrade Case</w:t>
            </w:r>
          </w:p>
        </w:tc>
      </w:tr>
      <w:tr w:rsidR="00231AE4" w:rsidRPr="00F6205B" w14:paraId="7155670F" w14:textId="77777777" w:rsidTr="00720D5A">
        <w:trPr>
          <w:trHeight w:val="288"/>
          <w:jc w:val="center"/>
        </w:trPr>
        <w:tc>
          <w:tcPr>
            <w:tcW w:w="2508" w:type="dxa"/>
            <w:tcBorders>
              <w:top w:val="single" w:sz="4" w:space="0" w:color="auto"/>
              <w:left w:val="single" w:sz="4" w:space="0" w:color="auto"/>
              <w:bottom w:val="single" w:sz="4" w:space="0" w:color="000000" w:themeColor="text1"/>
              <w:right w:val="single" w:sz="4" w:space="0" w:color="000000" w:themeColor="text1"/>
            </w:tcBorders>
            <w:vAlign w:val="center"/>
          </w:tcPr>
          <w:p w14:paraId="56BBB6FB" w14:textId="77777777" w:rsidR="00231AE4" w:rsidRPr="00F6205B" w:rsidRDefault="00231AE4" w:rsidP="004F23CF">
            <w:pPr>
              <w:keepNext/>
              <w:keepLines/>
              <w:spacing w:after="0"/>
              <w:rPr>
                <w:sz w:val="20"/>
                <w:szCs w:val="20"/>
              </w:rPr>
            </w:pPr>
            <w:r w:rsidRPr="00F6205B">
              <w:rPr>
                <w:sz w:val="20"/>
                <w:szCs w:val="20"/>
              </w:rPr>
              <w:t>Fuel oil (million gallons)</w:t>
            </w:r>
          </w:p>
        </w:tc>
        <w:tc>
          <w:tcPr>
            <w:tcW w:w="1080" w:type="dxa"/>
            <w:tcBorders>
              <w:top w:val="single" w:sz="4" w:space="0" w:color="auto"/>
              <w:bottom w:val="single" w:sz="4" w:space="0" w:color="000000" w:themeColor="text1"/>
              <w:right w:val="single" w:sz="4" w:space="0" w:color="000000" w:themeColor="text1"/>
            </w:tcBorders>
            <w:vAlign w:val="center"/>
          </w:tcPr>
          <w:p w14:paraId="7A6790E6" w14:textId="77777777" w:rsidR="00231AE4" w:rsidRPr="00F6205B" w:rsidRDefault="00231AE4" w:rsidP="004F23CF">
            <w:pPr>
              <w:keepNext/>
              <w:keepLines/>
              <w:spacing w:after="0"/>
              <w:jc w:val="center"/>
              <w:rPr>
                <w:sz w:val="20"/>
                <w:szCs w:val="20"/>
              </w:rPr>
            </w:pPr>
            <w:r w:rsidRPr="00F6205B">
              <w:rPr>
                <w:sz w:val="20"/>
                <w:szCs w:val="20"/>
              </w:rPr>
              <w:t>-</w:t>
            </w:r>
          </w:p>
        </w:tc>
        <w:tc>
          <w:tcPr>
            <w:tcW w:w="1078" w:type="dxa"/>
            <w:tcBorders>
              <w:top w:val="single" w:sz="4" w:space="0" w:color="auto"/>
              <w:bottom w:val="single" w:sz="4" w:space="0" w:color="000000" w:themeColor="text1"/>
            </w:tcBorders>
            <w:vAlign w:val="center"/>
          </w:tcPr>
          <w:p w14:paraId="722EBFF6" w14:textId="77777777" w:rsidR="00231AE4" w:rsidRPr="00F6205B" w:rsidRDefault="00231AE4" w:rsidP="004F23CF">
            <w:pPr>
              <w:keepNext/>
              <w:keepLines/>
              <w:spacing w:after="0"/>
              <w:jc w:val="center"/>
              <w:rPr>
                <w:sz w:val="20"/>
                <w:szCs w:val="20"/>
              </w:rPr>
            </w:pPr>
            <w:r w:rsidRPr="00F6205B">
              <w:rPr>
                <w:sz w:val="20"/>
                <w:szCs w:val="20"/>
              </w:rPr>
              <w:t>-</w:t>
            </w:r>
          </w:p>
        </w:tc>
        <w:tc>
          <w:tcPr>
            <w:tcW w:w="990" w:type="dxa"/>
            <w:tcBorders>
              <w:top w:val="single" w:sz="4" w:space="0" w:color="auto"/>
              <w:bottom w:val="single" w:sz="4" w:space="0" w:color="000000" w:themeColor="text1"/>
            </w:tcBorders>
            <w:vAlign w:val="center"/>
          </w:tcPr>
          <w:p w14:paraId="06873CAD" w14:textId="77777777" w:rsidR="00231AE4" w:rsidRPr="00F6205B" w:rsidRDefault="00231AE4" w:rsidP="004F23CF">
            <w:pPr>
              <w:keepNext/>
              <w:keepLines/>
              <w:spacing w:after="0"/>
              <w:jc w:val="center"/>
              <w:rPr>
                <w:sz w:val="20"/>
                <w:szCs w:val="20"/>
              </w:rPr>
            </w:pPr>
            <w:r w:rsidRPr="00F6205B">
              <w:rPr>
                <w:sz w:val="20"/>
                <w:szCs w:val="20"/>
              </w:rPr>
              <w:t>100%</w:t>
            </w:r>
          </w:p>
        </w:tc>
        <w:tc>
          <w:tcPr>
            <w:tcW w:w="1267" w:type="dxa"/>
            <w:tcBorders>
              <w:top w:val="single" w:sz="4" w:space="0" w:color="auto"/>
              <w:bottom w:val="single" w:sz="4" w:space="0" w:color="000000" w:themeColor="text1"/>
              <w:right w:val="single" w:sz="4" w:space="0" w:color="auto"/>
            </w:tcBorders>
            <w:vAlign w:val="center"/>
          </w:tcPr>
          <w:p w14:paraId="0D2F7984" w14:textId="77777777" w:rsidR="00231AE4" w:rsidRPr="00F6205B" w:rsidRDefault="00231AE4" w:rsidP="004F23CF">
            <w:pPr>
              <w:keepNext/>
              <w:keepLines/>
              <w:spacing w:after="0"/>
              <w:jc w:val="center"/>
              <w:rPr>
                <w:sz w:val="20"/>
                <w:szCs w:val="20"/>
              </w:rPr>
            </w:pPr>
            <w:r w:rsidRPr="00F6205B">
              <w:rPr>
                <w:sz w:val="20"/>
                <w:szCs w:val="20"/>
              </w:rPr>
              <w:t>- 182.6</w:t>
            </w:r>
          </w:p>
        </w:tc>
      </w:tr>
      <w:tr w:rsidR="00231AE4" w:rsidRPr="00F6205B" w14:paraId="2A75CE42" w14:textId="77777777" w:rsidTr="00720D5A">
        <w:trPr>
          <w:trHeight w:val="288"/>
          <w:jc w:val="center"/>
        </w:trPr>
        <w:tc>
          <w:tcPr>
            <w:tcW w:w="250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45FADCC" w14:textId="77777777" w:rsidR="00231AE4" w:rsidRPr="00F6205B" w:rsidRDefault="00231AE4" w:rsidP="004F23CF">
            <w:pPr>
              <w:keepNext/>
              <w:keepLines/>
              <w:spacing w:after="0"/>
              <w:rPr>
                <w:sz w:val="20"/>
                <w:szCs w:val="20"/>
              </w:rPr>
            </w:pPr>
            <w:r w:rsidRPr="00F6205B">
              <w:rPr>
                <w:sz w:val="20"/>
                <w:szCs w:val="20"/>
              </w:rPr>
              <w:t>Propane (million gallons)</w:t>
            </w:r>
          </w:p>
        </w:tc>
        <w:tc>
          <w:tcPr>
            <w:tcW w:w="1080" w:type="dxa"/>
            <w:tcBorders>
              <w:top w:val="single" w:sz="4" w:space="0" w:color="000000" w:themeColor="text1"/>
              <w:bottom w:val="single" w:sz="4" w:space="0" w:color="000000" w:themeColor="text1"/>
              <w:right w:val="single" w:sz="4" w:space="0" w:color="000000" w:themeColor="text1"/>
            </w:tcBorders>
            <w:vAlign w:val="center"/>
          </w:tcPr>
          <w:p w14:paraId="159B54FC" w14:textId="77777777" w:rsidR="00231AE4" w:rsidRPr="00F6205B" w:rsidRDefault="00231AE4" w:rsidP="004F23CF">
            <w:pPr>
              <w:keepNext/>
              <w:keepLines/>
              <w:spacing w:after="0"/>
              <w:jc w:val="center"/>
              <w:rPr>
                <w:sz w:val="20"/>
                <w:szCs w:val="20"/>
              </w:rPr>
            </w:pPr>
            <w:r w:rsidRPr="00F6205B">
              <w:rPr>
                <w:sz w:val="20"/>
                <w:szCs w:val="20"/>
              </w:rPr>
              <w:t>-</w:t>
            </w:r>
          </w:p>
        </w:tc>
        <w:tc>
          <w:tcPr>
            <w:tcW w:w="1078" w:type="dxa"/>
            <w:tcBorders>
              <w:top w:val="single" w:sz="4" w:space="0" w:color="000000" w:themeColor="text1"/>
              <w:bottom w:val="single" w:sz="4" w:space="0" w:color="000000" w:themeColor="text1"/>
            </w:tcBorders>
            <w:vAlign w:val="center"/>
          </w:tcPr>
          <w:p w14:paraId="0318145A" w14:textId="77777777" w:rsidR="00231AE4" w:rsidRPr="00F6205B" w:rsidRDefault="00231AE4" w:rsidP="004F23CF">
            <w:pPr>
              <w:keepNext/>
              <w:keepLines/>
              <w:spacing w:after="0"/>
              <w:jc w:val="center"/>
              <w:rPr>
                <w:sz w:val="20"/>
                <w:szCs w:val="20"/>
              </w:rPr>
            </w:pPr>
            <w:r w:rsidRPr="00F6205B">
              <w:rPr>
                <w:sz w:val="20"/>
                <w:szCs w:val="20"/>
              </w:rPr>
              <w:t>-</w:t>
            </w:r>
          </w:p>
        </w:tc>
        <w:tc>
          <w:tcPr>
            <w:tcW w:w="990" w:type="dxa"/>
            <w:tcBorders>
              <w:top w:val="single" w:sz="4" w:space="0" w:color="000000" w:themeColor="text1"/>
              <w:bottom w:val="single" w:sz="4" w:space="0" w:color="000000" w:themeColor="text1"/>
            </w:tcBorders>
            <w:vAlign w:val="center"/>
          </w:tcPr>
          <w:p w14:paraId="4DD17B24" w14:textId="77777777" w:rsidR="00231AE4" w:rsidRPr="00F6205B" w:rsidRDefault="00231AE4" w:rsidP="004F23CF">
            <w:pPr>
              <w:keepNext/>
              <w:keepLines/>
              <w:spacing w:after="0"/>
              <w:jc w:val="center"/>
              <w:rPr>
                <w:sz w:val="20"/>
                <w:szCs w:val="20"/>
              </w:rPr>
            </w:pPr>
            <w:r w:rsidRPr="00F6205B">
              <w:rPr>
                <w:sz w:val="20"/>
                <w:szCs w:val="20"/>
              </w:rPr>
              <w:t>100%</w:t>
            </w:r>
          </w:p>
        </w:tc>
        <w:tc>
          <w:tcPr>
            <w:tcW w:w="1267" w:type="dxa"/>
            <w:tcBorders>
              <w:top w:val="single" w:sz="4" w:space="0" w:color="000000" w:themeColor="text1"/>
              <w:bottom w:val="single" w:sz="4" w:space="0" w:color="000000" w:themeColor="text1"/>
              <w:right w:val="single" w:sz="4" w:space="0" w:color="auto"/>
            </w:tcBorders>
            <w:vAlign w:val="center"/>
          </w:tcPr>
          <w:p w14:paraId="786DE1A1" w14:textId="77777777" w:rsidR="00231AE4" w:rsidRPr="00F6205B" w:rsidRDefault="00231AE4" w:rsidP="004F23CF">
            <w:pPr>
              <w:keepNext/>
              <w:keepLines/>
              <w:spacing w:after="0"/>
              <w:jc w:val="center"/>
              <w:rPr>
                <w:sz w:val="20"/>
                <w:szCs w:val="20"/>
              </w:rPr>
            </w:pPr>
            <w:r w:rsidRPr="00F6205B">
              <w:rPr>
                <w:sz w:val="20"/>
                <w:szCs w:val="20"/>
              </w:rPr>
              <w:t>- 26.8</w:t>
            </w:r>
          </w:p>
        </w:tc>
      </w:tr>
      <w:tr w:rsidR="00231AE4" w:rsidRPr="00F6205B" w14:paraId="0C1E219F" w14:textId="77777777" w:rsidTr="00720D5A">
        <w:trPr>
          <w:trHeight w:val="288"/>
          <w:jc w:val="center"/>
        </w:trPr>
        <w:tc>
          <w:tcPr>
            <w:tcW w:w="250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4767BB1" w14:textId="77777777" w:rsidR="00231AE4" w:rsidRPr="00F6205B" w:rsidRDefault="00231AE4" w:rsidP="004F23CF">
            <w:pPr>
              <w:keepNext/>
              <w:keepLines/>
              <w:spacing w:after="0"/>
              <w:rPr>
                <w:sz w:val="20"/>
                <w:szCs w:val="20"/>
              </w:rPr>
            </w:pPr>
            <w:r w:rsidRPr="00F6205B">
              <w:rPr>
                <w:sz w:val="20"/>
                <w:szCs w:val="20"/>
              </w:rPr>
              <w:t>Natural gas (million ccf)</w:t>
            </w:r>
          </w:p>
        </w:tc>
        <w:tc>
          <w:tcPr>
            <w:tcW w:w="1080" w:type="dxa"/>
            <w:tcBorders>
              <w:top w:val="single" w:sz="4" w:space="0" w:color="000000" w:themeColor="text1"/>
              <w:bottom w:val="single" w:sz="4" w:space="0" w:color="000000" w:themeColor="text1"/>
              <w:right w:val="single" w:sz="4" w:space="0" w:color="000000" w:themeColor="text1"/>
            </w:tcBorders>
            <w:vAlign w:val="center"/>
          </w:tcPr>
          <w:p w14:paraId="5073F43D" w14:textId="77777777" w:rsidR="00231AE4" w:rsidRPr="00F6205B" w:rsidRDefault="00231AE4" w:rsidP="004F23CF">
            <w:pPr>
              <w:keepNext/>
              <w:keepLines/>
              <w:spacing w:after="0"/>
              <w:jc w:val="center"/>
              <w:rPr>
                <w:sz w:val="20"/>
                <w:szCs w:val="20"/>
              </w:rPr>
            </w:pPr>
            <w:r w:rsidRPr="00F6205B">
              <w:rPr>
                <w:sz w:val="20"/>
                <w:szCs w:val="20"/>
              </w:rPr>
              <w:t>42%</w:t>
            </w:r>
          </w:p>
        </w:tc>
        <w:tc>
          <w:tcPr>
            <w:tcW w:w="1078" w:type="dxa"/>
            <w:tcBorders>
              <w:top w:val="single" w:sz="4" w:space="0" w:color="000000" w:themeColor="text1"/>
              <w:bottom w:val="single" w:sz="4" w:space="0" w:color="000000" w:themeColor="text1"/>
            </w:tcBorders>
            <w:vAlign w:val="center"/>
          </w:tcPr>
          <w:p w14:paraId="0B6DB82E" w14:textId="77777777" w:rsidR="00231AE4" w:rsidRPr="00F6205B" w:rsidRDefault="00231AE4" w:rsidP="004F23CF">
            <w:pPr>
              <w:keepNext/>
              <w:keepLines/>
              <w:spacing w:after="0"/>
              <w:jc w:val="center"/>
              <w:rPr>
                <w:sz w:val="20"/>
                <w:szCs w:val="20"/>
              </w:rPr>
            </w:pPr>
            <w:r w:rsidRPr="00F6205B">
              <w:rPr>
                <w:sz w:val="20"/>
                <w:szCs w:val="20"/>
              </w:rPr>
              <w:t>-</w:t>
            </w:r>
          </w:p>
        </w:tc>
        <w:tc>
          <w:tcPr>
            <w:tcW w:w="990" w:type="dxa"/>
            <w:tcBorders>
              <w:top w:val="single" w:sz="4" w:space="0" w:color="000000" w:themeColor="text1"/>
              <w:bottom w:val="single" w:sz="4" w:space="0" w:color="000000" w:themeColor="text1"/>
            </w:tcBorders>
            <w:vAlign w:val="center"/>
          </w:tcPr>
          <w:p w14:paraId="0B3F8565" w14:textId="77777777" w:rsidR="00231AE4" w:rsidRPr="00F6205B" w:rsidRDefault="00231AE4" w:rsidP="004F23CF">
            <w:pPr>
              <w:keepNext/>
              <w:keepLines/>
              <w:spacing w:after="0"/>
              <w:jc w:val="center"/>
              <w:rPr>
                <w:sz w:val="20"/>
                <w:szCs w:val="20"/>
              </w:rPr>
            </w:pPr>
            <w:r w:rsidRPr="00F6205B">
              <w:rPr>
                <w:sz w:val="20"/>
                <w:szCs w:val="20"/>
              </w:rPr>
              <w:t>58%</w:t>
            </w:r>
          </w:p>
        </w:tc>
        <w:tc>
          <w:tcPr>
            <w:tcW w:w="1267" w:type="dxa"/>
            <w:tcBorders>
              <w:top w:val="single" w:sz="4" w:space="0" w:color="000000" w:themeColor="text1"/>
              <w:bottom w:val="single" w:sz="4" w:space="0" w:color="000000" w:themeColor="text1"/>
              <w:right w:val="single" w:sz="4" w:space="0" w:color="auto"/>
            </w:tcBorders>
            <w:vAlign w:val="center"/>
          </w:tcPr>
          <w:p w14:paraId="1EED2E83" w14:textId="77777777" w:rsidR="00231AE4" w:rsidRPr="00F6205B" w:rsidRDefault="00231AE4" w:rsidP="004F23CF">
            <w:pPr>
              <w:keepNext/>
              <w:keepLines/>
              <w:spacing w:after="0"/>
              <w:jc w:val="center"/>
              <w:rPr>
                <w:sz w:val="20"/>
                <w:szCs w:val="20"/>
              </w:rPr>
            </w:pPr>
            <w:r w:rsidRPr="00F6205B">
              <w:rPr>
                <w:sz w:val="20"/>
                <w:szCs w:val="20"/>
              </w:rPr>
              <w:t>- 130.8</w:t>
            </w:r>
          </w:p>
        </w:tc>
      </w:tr>
      <w:tr w:rsidR="00231AE4" w:rsidRPr="00F6205B" w14:paraId="4D937BCD" w14:textId="77777777" w:rsidTr="00720D5A">
        <w:trPr>
          <w:trHeight w:val="288"/>
          <w:jc w:val="center"/>
        </w:trPr>
        <w:tc>
          <w:tcPr>
            <w:tcW w:w="2508" w:type="dxa"/>
            <w:tcBorders>
              <w:top w:val="single" w:sz="4" w:space="0" w:color="000000" w:themeColor="text1"/>
              <w:left w:val="single" w:sz="4" w:space="0" w:color="auto"/>
              <w:bottom w:val="single" w:sz="4" w:space="0" w:color="auto"/>
              <w:right w:val="single" w:sz="4" w:space="0" w:color="000000" w:themeColor="text1"/>
            </w:tcBorders>
            <w:vAlign w:val="center"/>
          </w:tcPr>
          <w:p w14:paraId="7AFC95EB" w14:textId="77777777" w:rsidR="00231AE4" w:rsidRPr="00F6205B" w:rsidRDefault="00231AE4" w:rsidP="004F23CF">
            <w:pPr>
              <w:keepNext/>
              <w:keepLines/>
              <w:spacing w:after="0"/>
              <w:rPr>
                <w:sz w:val="20"/>
                <w:szCs w:val="20"/>
              </w:rPr>
            </w:pPr>
            <w:r w:rsidRPr="00F6205B">
              <w:rPr>
                <w:sz w:val="20"/>
                <w:szCs w:val="20"/>
              </w:rPr>
              <w:t>Electricity (million kWh)</w:t>
            </w:r>
          </w:p>
        </w:tc>
        <w:tc>
          <w:tcPr>
            <w:tcW w:w="1080" w:type="dxa"/>
            <w:tcBorders>
              <w:top w:val="single" w:sz="4" w:space="0" w:color="000000" w:themeColor="text1"/>
              <w:bottom w:val="single" w:sz="4" w:space="0" w:color="auto"/>
              <w:right w:val="single" w:sz="4" w:space="0" w:color="000000" w:themeColor="text1"/>
            </w:tcBorders>
            <w:vAlign w:val="center"/>
          </w:tcPr>
          <w:p w14:paraId="47104B50" w14:textId="77777777" w:rsidR="00231AE4" w:rsidRPr="00F6205B" w:rsidRDefault="00231AE4" w:rsidP="004F23CF">
            <w:pPr>
              <w:keepNext/>
              <w:keepLines/>
              <w:spacing w:after="0"/>
              <w:jc w:val="center"/>
              <w:rPr>
                <w:sz w:val="20"/>
                <w:szCs w:val="20"/>
              </w:rPr>
            </w:pPr>
            <w:r w:rsidRPr="00F6205B">
              <w:rPr>
                <w:sz w:val="20"/>
                <w:szCs w:val="20"/>
              </w:rPr>
              <w:t>86%</w:t>
            </w:r>
          </w:p>
        </w:tc>
        <w:tc>
          <w:tcPr>
            <w:tcW w:w="1078" w:type="dxa"/>
            <w:tcBorders>
              <w:top w:val="single" w:sz="4" w:space="0" w:color="000000" w:themeColor="text1"/>
              <w:bottom w:val="single" w:sz="4" w:space="0" w:color="auto"/>
            </w:tcBorders>
            <w:vAlign w:val="center"/>
          </w:tcPr>
          <w:p w14:paraId="5726081D" w14:textId="77777777" w:rsidR="00231AE4" w:rsidRPr="00F6205B" w:rsidRDefault="00231AE4" w:rsidP="004F23CF">
            <w:pPr>
              <w:keepNext/>
              <w:keepLines/>
              <w:spacing w:after="0"/>
              <w:jc w:val="center"/>
              <w:rPr>
                <w:sz w:val="20"/>
                <w:szCs w:val="20"/>
              </w:rPr>
            </w:pPr>
            <w:r w:rsidRPr="00F6205B">
              <w:rPr>
                <w:sz w:val="20"/>
                <w:szCs w:val="20"/>
              </w:rPr>
              <w:t>14%</w:t>
            </w:r>
          </w:p>
        </w:tc>
        <w:tc>
          <w:tcPr>
            <w:tcW w:w="990" w:type="dxa"/>
            <w:tcBorders>
              <w:top w:val="single" w:sz="4" w:space="0" w:color="000000" w:themeColor="text1"/>
              <w:bottom w:val="single" w:sz="4" w:space="0" w:color="auto"/>
            </w:tcBorders>
            <w:vAlign w:val="center"/>
          </w:tcPr>
          <w:p w14:paraId="69122862" w14:textId="77777777" w:rsidR="00231AE4" w:rsidRPr="00F6205B" w:rsidRDefault="00231AE4" w:rsidP="004F23CF">
            <w:pPr>
              <w:keepNext/>
              <w:keepLines/>
              <w:spacing w:after="0"/>
              <w:jc w:val="center"/>
              <w:rPr>
                <w:sz w:val="20"/>
                <w:szCs w:val="20"/>
              </w:rPr>
            </w:pPr>
            <w:r w:rsidRPr="00F6205B">
              <w:rPr>
                <w:sz w:val="20"/>
                <w:szCs w:val="20"/>
              </w:rPr>
              <w:t>-</w:t>
            </w:r>
          </w:p>
        </w:tc>
        <w:tc>
          <w:tcPr>
            <w:tcW w:w="1267" w:type="dxa"/>
            <w:tcBorders>
              <w:top w:val="single" w:sz="4" w:space="0" w:color="000000" w:themeColor="text1"/>
              <w:bottom w:val="single" w:sz="4" w:space="0" w:color="auto"/>
              <w:right w:val="single" w:sz="4" w:space="0" w:color="auto"/>
            </w:tcBorders>
            <w:vAlign w:val="center"/>
          </w:tcPr>
          <w:p w14:paraId="78A42E5C" w14:textId="77777777" w:rsidR="00231AE4" w:rsidRPr="00F6205B" w:rsidRDefault="00231AE4" w:rsidP="004F23CF">
            <w:pPr>
              <w:keepNext/>
              <w:keepLines/>
              <w:spacing w:after="0"/>
              <w:jc w:val="center"/>
              <w:rPr>
                <w:sz w:val="20"/>
                <w:szCs w:val="20"/>
              </w:rPr>
            </w:pPr>
            <w:r w:rsidRPr="00F6205B">
              <w:rPr>
                <w:sz w:val="20"/>
                <w:szCs w:val="20"/>
              </w:rPr>
              <w:t>- 1,564.1</w:t>
            </w:r>
          </w:p>
        </w:tc>
      </w:tr>
      <w:tr w:rsidR="0046579C" w:rsidRPr="00F6205B" w14:paraId="0435C914" w14:textId="77777777" w:rsidTr="0046579C">
        <w:trPr>
          <w:trHeight w:val="288"/>
          <w:jc w:val="center"/>
        </w:trPr>
        <w:tc>
          <w:tcPr>
            <w:tcW w:w="6923" w:type="dxa"/>
            <w:gridSpan w:val="5"/>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2E015565" w14:textId="286DE700" w:rsidR="00231AE4" w:rsidRPr="00F6205B" w:rsidRDefault="00231AE4" w:rsidP="004F23CF">
            <w:pPr>
              <w:keepNext/>
              <w:keepLines/>
              <w:spacing w:after="0"/>
              <w:jc w:val="center"/>
              <w:rPr>
                <w:b/>
                <w:color w:val="FFFFFF" w:themeColor="background1"/>
                <w:sz w:val="20"/>
                <w:szCs w:val="20"/>
              </w:rPr>
            </w:pPr>
            <w:r w:rsidRPr="00F6205B">
              <w:rPr>
                <w:b/>
                <w:color w:val="FFFFFF" w:themeColor="background1"/>
                <w:sz w:val="20"/>
                <w:szCs w:val="20"/>
              </w:rPr>
              <w:t>Percent of Consumption Increase</w:t>
            </w:r>
            <w:r w:rsidR="0046579C" w:rsidRPr="00F6205B">
              <w:rPr>
                <w:b/>
                <w:color w:val="FFFFFF" w:themeColor="background1"/>
                <w:sz w:val="20"/>
                <w:szCs w:val="20"/>
              </w:rPr>
              <w:t xml:space="preserve"> f</w:t>
            </w:r>
            <w:r w:rsidRPr="00F6205B">
              <w:rPr>
                <w:b/>
                <w:color w:val="FFFFFF" w:themeColor="background1"/>
                <w:sz w:val="20"/>
                <w:szCs w:val="20"/>
              </w:rPr>
              <w:t>rom Base Case to Upgrade Case</w:t>
            </w:r>
          </w:p>
        </w:tc>
      </w:tr>
      <w:tr w:rsidR="00231AE4" w:rsidRPr="00F6205B" w14:paraId="0FA1001B" w14:textId="77777777" w:rsidTr="00720D5A">
        <w:trPr>
          <w:trHeight w:val="288"/>
          <w:jc w:val="center"/>
        </w:trPr>
        <w:tc>
          <w:tcPr>
            <w:tcW w:w="2508" w:type="dxa"/>
            <w:tcBorders>
              <w:top w:val="single" w:sz="4" w:space="0" w:color="auto"/>
              <w:left w:val="single" w:sz="4" w:space="0" w:color="auto"/>
              <w:bottom w:val="single" w:sz="4" w:space="0" w:color="000000" w:themeColor="text1"/>
              <w:right w:val="single" w:sz="4" w:space="0" w:color="000000" w:themeColor="text1"/>
            </w:tcBorders>
            <w:vAlign w:val="center"/>
          </w:tcPr>
          <w:p w14:paraId="1E6FBF63" w14:textId="77777777" w:rsidR="00231AE4" w:rsidRPr="00F6205B" w:rsidRDefault="00231AE4" w:rsidP="004F23CF">
            <w:pPr>
              <w:keepNext/>
              <w:keepLines/>
              <w:spacing w:after="0"/>
              <w:rPr>
                <w:sz w:val="20"/>
                <w:szCs w:val="20"/>
              </w:rPr>
            </w:pPr>
            <w:r w:rsidRPr="00F6205B">
              <w:rPr>
                <w:sz w:val="20"/>
                <w:szCs w:val="20"/>
              </w:rPr>
              <w:t>Fuel oil (million gallons)</w:t>
            </w:r>
          </w:p>
        </w:tc>
        <w:tc>
          <w:tcPr>
            <w:tcW w:w="1080" w:type="dxa"/>
            <w:tcBorders>
              <w:top w:val="single" w:sz="4" w:space="0" w:color="auto"/>
              <w:bottom w:val="single" w:sz="4" w:space="0" w:color="000000" w:themeColor="text1"/>
              <w:right w:val="single" w:sz="4" w:space="0" w:color="000000" w:themeColor="text1"/>
            </w:tcBorders>
            <w:vAlign w:val="center"/>
          </w:tcPr>
          <w:p w14:paraId="400DF881" w14:textId="77777777" w:rsidR="00231AE4" w:rsidRPr="00F6205B" w:rsidRDefault="00231AE4" w:rsidP="004F23CF">
            <w:pPr>
              <w:keepNext/>
              <w:keepLines/>
              <w:spacing w:after="0"/>
              <w:jc w:val="center"/>
              <w:rPr>
                <w:sz w:val="20"/>
                <w:szCs w:val="20"/>
              </w:rPr>
            </w:pPr>
            <w:r w:rsidRPr="00F6205B">
              <w:rPr>
                <w:sz w:val="20"/>
                <w:szCs w:val="20"/>
              </w:rPr>
              <w:t>100%</w:t>
            </w:r>
          </w:p>
        </w:tc>
        <w:tc>
          <w:tcPr>
            <w:tcW w:w="1078" w:type="dxa"/>
            <w:tcBorders>
              <w:top w:val="single" w:sz="4" w:space="0" w:color="auto"/>
              <w:bottom w:val="single" w:sz="4" w:space="0" w:color="000000" w:themeColor="text1"/>
            </w:tcBorders>
            <w:vAlign w:val="center"/>
          </w:tcPr>
          <w:p w14:paraId="730347E6" w14:textId="77777777" w:rsidR="00231AE4" w:rsidRPr="00F6205B" w:rsidRDefault="00231AE4" w:rsidP="004F23CF">
            <w:pPr>
              <w:keepNext/>
              <w:keepLines/>
              <w:spacing w:after="0"/>
              <w:jc w:val="center"/>
              <w:rPr>
                <w:sz w:val="20"/>
                <w:szCs w:val="20"/>
              </w:rPr>
            </w:pPr>
            <w:r w:rsidRPr="00F6205B">
              <w:rPr>
                <w:sz w:val="20"/>
                <w:szCs w:val="20"/>
              </w:rPr>
              <w:t>-</w:t>
            </w:r>
          </w:p>
        </w:tc>
        <w:tc>
          <w:tcPr>
            <w:tcW w:w="990" w:type="dxa"/>
            <w:tcBorders>
              <w:top w:val="single" w:sz="4" w:space="0" w:color="auto"/>
              <w:bottom w:val="single" w:sz="4" w:space="0" w:color="000000" w:themeColor="text1"/>
            </w:tcBorders>
            <w:vAlign w:val="center"/>
          </w:tcPr>
          <w:p w14:paraId="5FEA36FE" w14:textId="77777777" w:rsidR="00231AE4" w:rsidRPr="00F6205B" w:rsidRDefault="00231AE4" w:rsidP="004F23CF">
            <w:pPr>
              <w:keepNext/>
              <w:keepLines/>
              <w:spacing w:after="0"/>
              <w:jc w:val="center"/>
              <w:rPr>
                <w:sz w:val="20"/>
                <w:szCs w:val="20"/>
              </w:rPr>
            </w:pPr>
            <w:r w:rsidRPr="00F6205B">
              <w:rPr>
                <w:sz w:val="20"/>
                <w:szCs w:val="20"/>
              </w:rPr>
              <w:t>-</w:t>
            </w:r>
          </w:p>
        </w:tc>
        <w:tc>
          <w:tcPr>
            <w:tcW w:w="1267" w:type="dxa"/>
            <w:tcBorders>
              <w:top w:val="single" w:sz="4" w:space="0" w:color="auto"/>
              <w:bottom w:val="single" w:sz="4" w:space="0" w:color="000000" w:themeColor="text1"/>
              <w:right w:val="single" w:sz="4" w:space="0" w:color="auto"/>
            </w:tcBorders>
            <w:vAlign w:val="center"/>
          </w:tcPr>
          <w:p w14:paraId="374C929A" w14:textId="77777777" w:rsidR="00231AE4" w:rsidRPr="00F6205B" w:rsidRDefault="00231AE4" w:rsidP="004F23CF">
            <w:pPr>
              <w:keepNext/>
              <w:keepLines/>
              <w:spacing w:after="0"/>
              <w:jc w:val="center"/>
              <w:rPr>
                <w:sz w:val="20"/>
                <w:szCs w:val="20"/>
              </w:rPr>
            </w:pPr>
            <w:r w:rsidRPr="00F6205B">
              <w:rPr>
                <w:sz w:val="20"/>
                <w:szCs w:val="20"/>
              </w:rPr>
              <w:t>+ 6.2</w:t>
            </w:r>
          </w:p>
        </w:tc>
      </w:tr>
      <w:tr w:rsidR="00231AE4" w:rsidRPr="00F6205B" w14:paraId="41509BC3" w14:textId="77777777" w:rsidTr="00720D5A">
        <w:trPr>
          <w:trHeight w:val="288"/>
          <w:jc w:val="center"/>
        </w:trPr>
        <w:tc>
          <w:tcPr>
            <w:tcW w:w="250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E8DBD56" w14:textId="77777777" w:rsidR="00231AE4" w:rsidRPr="00F6205B" w:rsidRDefault="00231AE4" w:rsidP="004F23CF">
            <w:pPr>
              <w:keepNext/>
              <w:keepLines/>
              <w:spacing w:after="0"/>
              <w:rPr>
                <w:sz w:val="20"/>
                <w:szCs w:val="20"/>
              </w:rPr>
            </w:pPr>
            <w:r w:rsidRPr="00F6205B">
              <w:rPr>
                <w:sz w:val="20"/>
                <w:szCs w:val="20"/>
              </w:rPr>
              <w:t>Propane (million gallons)</w:t>
            </w:r>
          </w:p>
        </w:tc>
        <w:tc>
          <w:tcPr>
            <w:tcW w:w="1080" w:type="dxa"/>
            <w:tcBorders>
              <w:top w:val="single" w:sz="4" w:space="0" w:color="000000" w:themeColor="text1"/>
              <w:bottom w:val="single" w:sz="4" w:space="0" w:color="000000" w:themeColor="text1"/>
              <w:right w:val="single" w:sz="4" w:space="0" w:color="000000" w:themeColor="text1"/>
            </w:tcBorders>
            <w:vAlign w:val="center"/>
          </w:tcPr>
          <w:p w14:paraId="0EA5688F" w14:textId="77777777" w:rsidR="00231AE4" w:rsidRPr="00F6205B" w:rsidRDefault="00231AE4" w:rsidP="004F23CF">
            <w:pPr>
              <w:keepNext/>
              <w:keepLines/>
              <w:spacing w:after="0"/>
              <w:jc w:val="center"/>
              <w:rPr>
                <w:sz w:val="20"/>
                <w:szCs w:val="20"/>
              </w:rPr>
            </w:pPr>
            <w:r w:rsidRPr="00F6205B">
              <w:rPr>
                <w:sz w:val="20"/>
                <w:szCs w:val="20"/>
              </w:rPr>
              <w:t>100%</w:t>
            </w:r>
          </w:p>
        </w:tc>
        <w:tc>
          <w:tcPr>
            <w:tcW w:w="1078" w:type="dxa"/>
            <w:tcBorders>
              <w:top w:val="single" w:sz="4" w:space="0" w:color="000000" w:themeColor="text1"/>
              <w:bottom w:val="single" w:sz="4" w:space="0" w:color="000000" w:themeColor="text1"/>
            </w:tcBorders>
            <w:vAlign w:val="center"/>
          </w:tcPr>
          <w:p w14:paraId="7AA8E108" w14:textId="77777777" w:rsidR="00231AE4" w:rsidRPr="00F6205B" w:rsidRDefault="00231AE4" w:rsidP="004F23CF">
            <w:pPr>
              <w:keepNext/>
              <w:keepLines/>
              <w:spacing w:after="0"/>
              <w:jc w:val="center"/>
              <w:rPr>
                <w:sz w:val="20"/>
                <w:szCs w:val="20"/>
              </w:rPr>
            </w:pPr>
            <w:r w:rsidRPr="00F6205B">
              <w:rPr>
                <w:sz w:val="20"/>
                <w:szCs w:val="20"/>
              </w:rPr>
              <w:t>-</w:t>
            </w:r>
          </w:p>
        </w:tc>
        <w:tc>
          <w:tcPr>
            <w:tcW w:w="990" w:type="dxa"/>
            <w:tcBorders>
              <w:top w:val="single" w:sz="4" w:space="0" w:color="000000" w:themeColor="text1"/>
              <w:bottom w:val="single" w:sz="4" w:space="0" w:color="000000" w:themeColor="text1"/>
            </w:tcBorders>
            <w:vAlign w:val="center"/>
          </w:tcPr>
          <w:p w14:paraId="3BCDDAC1" w14:textId="77777777" w:rsidR="00231AE4" w:rsidRPr="00F6205B" w:rsidRDefault="00231AE4" w:rsidP="004F23CF">
            <w:pPr>
              <w:keepNext/>
              <w:keepLines/>
              <w:spacing w:after="0"/>
              <w:jc w:val="center"/>
              <w:rPr>
                <w:sz w:val="20"/>
                <w:szCs w:val="20"/>
              </w:rPr>
            </w:pPr>
            <w:r w:rsidRPr="00F6205B">
              <w:rPr>
                <w:sz w:val="20"/>
                <w:szCs w:val="20"/>
              </w:rPr>
              <w:t>-</w:t>
            </w:r>
          </w:p>
        </w:tc>
        <w:tc>
          <w:tcPr>
            <w:tcW w:w="1267" w:type="dxa"/>
            <w:tcBorders>
              <w:top w:val="single" w:sz="4" w:space="0" w:color="000000" w:themeColor="text1"/>
              <w:bottom w:val="single" w:sz="4" w:space="0" w:color="000000" w:themeColor="text1"/>
              <w:right w:val="single" w:sz="4" w:space="0" w:color="auto"/>
            </w:tcBorders>
            <w:vAlign w:val="center"/>
          </w:tcPr>
          <w:p w14:paraId="634DF8DA" w14:textId="77777777" w:rsidR="00231AE4" w:rsidRPr="00F6205B" w:rsidRDefault="00231AE4" w:rsidP="004F23CF">
            <w:pPr>
              <w:keepNext/>
              <w:keepLines/>
              <w:spacing w:after="0"/>
              <w:jc w:val="center"/>
              <w:rPr>
                <w:sz w:val="20"/>
                <w:szCs w:val="20"/>
              </w:rPr>
            </w:pPr>
            <w:r w:rsidRPr="00F6205B">
              <w:rPr>
                <w:sz w:val="20"/>
                <w:szCs w:val="20"/>
              </w:rPr>
              <w:t>+ 0.5</w:t>
            </w:r>
          </w:p>
        </w:tc>
      </w:tr>
      <w:tr w:rsidR="00231AE4" w:rsidRPr="00F6205B" w14:paraId="2195EB93" w14:textId="77777777" w:rsidTr="00720D5A">
        <w:trPr>
          <w:trHeight w:val="288"/>
          <w:jc w:val="center"/>
        </w:trPr>
        <w:tc>
          <w:tcPr>
            <w:tcW w:w="250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C745624" w14:textId="77777777" w:rsidR="00231AE4" w:rsidRPr="00F6205B" w:rsidRDefault="00231AE4" w:rsidP="004F23CF">
            <w:pPr>
              <w:keepNext/>
              <w:keepLines/>
              <w:spacing w:after="0"/>
              <w:rPr>
                <w:sz w:val="20"/>
                <w:szCs w:val="20"/>
              </w:rPr>
            </w:pPr>
            <w:r w:rsidRPr="00F6205B">
              <w:rPr>
                <w:sz w:val="20"/>
                <w:szCs w:val="20"/>
              </w:rPr>
              <w:t>Natural gas (million ccf)</w:t>
            </w:r>
          </w:p>
        </w:tc>
        <w:tc>
          <w:tcPr>
            <w:tcW w:w="1080" w:type="dxa"/>
            <w:tcBorders>
              <w:top w:val="single" w:sz="4" w:space="0" w:color="000000" w:themeColor="text1"/>
              <w:bottom w:val="single" w:sz="4" w:space="0" w:color="000000" w:themeColor="text1"/>
              <w:right w:val="single" w:sz="4" w:space="0" w:color="000000" w:themeColor="text1"/>
            </w:tcBorders>
            <w:vAlign w:val="center"/>
          </w:tcPr>
          <w:p w14:paraId="261975CD" w14:textId="77777777" w:rsidR="00231AE4" w:rsidRPr="00F6205B" w:rsidRDefault="00231AE4" w:rsidP="004F23CF">
            <w:pPr>
              <w:keepNext/>
              <w:keepLines/>
              <w:spacing w:after="0"/>
              <w:jc w:val="center"/>
              <w:rPr>
                <w:sz w:val="20"/>
                <w:szCs w:val="20"/>
              </w:rPr>
            </w:pPr>
            <w:r w:rsidRPr="00F6205B">
              <w:rPr>
                <w:sz w:val="20"/>
                <w:szCs w:val="20"/>
              </w:rPr>
              <w:t>-</w:t>
            </w:r>
          </w:p>
        </w:tc>
        <w:tc>
          <w:tcPr>
            <w:tcW w:w="1078" w:type="dxa"/>
            <w:tcBorders>
              <w:top w:val="single" w:sz="4" w:space="0" w:color="000000" w:themeColor="text1"/>
              <w:bottom w:val="single" w:sz="4" w:space="0" w:color="000000" w:themeColor="text1"/>
            </w:tcBorders>
            <w:vAlign w:val="center"/>
          </w:tcPr>
          <w:p w14:paraId="39C90154" w14:textId="77777777" w:rsidR="00231AE4" w:rsidRPr="00F6205B" w:rsidRDefault="00231AE4" w:rsidP="004F23CF">
            <w:pPr>
              <w:keepNext/>
              <w:keepLines/>
              <w:spacing w:after="0"/>
              <w:jc w:val="center"/>
              <w:rPr>
                <w:sz w:val="20"/>
                <w:szCs w:val="20"/>
              </w:rPr>
            </w:pPr>
            <w:r w:rsidRPr="00F6205B">
              <w:rPr>
                <w:sz w:val="20"/>
                <w:szCs w:val="20"/>
              </w:rPr>
              <w:t>-</w:t>
            </w:r>
          </w:p>
        </w:tc>
        <w:tc>
          <w:tcPr>
            <w:tcW w:w="990" w:type="dxa"/>
            <w:tcBorders>
              <w:top w:val="single" w:sz="4" w:space="0" w:color="000000" w:themeColor="text1"/>
              <w:bottom w:val="single" w:sz="4" w:space="0" w:color="000000" w:themeColor="text1"/>
            </w:tcBorders>
            <w:vAlign w:val="center"/>
          </w:tcPr>
          <w:p w14:paraId="6F44D4C5" w14:textId="77777777" w:rsidR="00231AE4" w:rsidRPr="00F6205B" w:rsidRDefault="00231AE4" w:rsidP="004F23CF">
            <w:pPr>
              <w:keepNext/>
              <w:keepLines/>
              <w:spacing w:after="0"/>
              <w:jc w:val="center"/>
              <w:rPr>
                <w:sz w:val="20"/>
                <w:szCs w:val="20"/>
              </w:rPr>
            </w:pPr>
            <w:r w:rsidRPr="00F6205B">
              <w:rPr>
                <w:sz w:val="20"/>
                <w:szCs w:val="20"/>
              </w:rPr>
              <w:t>-</w:t>
            </w:r>
          </w:p>
        </w:tc>
        <w:tc>
          <w:tcPr>
            <w:tcW w:w="1267" w:type="dxa"/>
            <w:tcBorders>
              <w:top w:val="single" w:sz="4" w:space="0" w:color="000000" w:themeColor="text1"/>
              <w:bottom w:val="single" w:sz="4" w:space="0" w:color="000000" w:themeColor="text1"/>
              <w:right w:val="single" w:sz="4" w:space="0" w:color="auto"/>
            </w:tcBorders>
            <w:vAlign w:val="center"/>
          </w:tcPr>
          <w:p w14:paraId="3EA380ED" w14:textId="77777777" w:rsidR="00231AE4" w:rsidRPr="00F6205B" w:rsidRDefault="00231AE4" w:rsidP="004F23CF">
            <w:pPr>
              <w:keepNext/>
              <w:keepLines/>
              <w:spacing w:after="0"/>
              <w:jc w:val="center"/>
              <w:rPr>
                <w:sz w:val="20"/>
                <w:szCs w:val="20"/>
              </w:rPr>
            </w:pPr>
            <w:r w:rsidRPr="00F6205B">
              <w:rPr>
                <w:sz w:val="20"/>
                <w:szCs w:val="20"/>
              </w:rPr>
              <w:t>-</w:t>
            </w:r>
          </w:p>
        </w:tc>
      </w:tr>
      <w:tr w:rsidR="00231AE4" w:rsidRPr="00F6205B" w14:paraId="463950CB" w14:textId="77777777" w:rsidTr="00720D5A">
        <w:trPr>
          <w:trHeight w:val="288"/>
          <w:jc w:val="center"/>
        </w:trPr>
        <w:tc>
          <w:tcPr>
            <w:tcW w:w="2508" w:type="dxa"/>
            <w:tcBorders>
              <w:top w:val="single" w:sz="4" w:space="0" w:color="000000" w:themeColor="text1"/>
              <w:left w:val="single" w:sz="4" w:space="0" w:color="auto"/>
              <w:bottom w:val="single" w:sz="4" w:space="0" w:color="auto"/>
              <w:right w:val="single" w:sz="4" w:space="0" w:color="000000" w:themeColor="text1"/>
            </w:tcBorders>
            <w:vAlign w:val="center"/>
          </w:tcPr>
          <w:p w14:paraId="0F7B3A53" w14:textId="77777777" w:rsidR="00231AE4" w:rsidRPr="00F6205B" w:rsidRDefault="00231AE4" w:rsidP="004F23CF">
            <w:pPr>
              <w:keepNext/>
              <w:keepLines/>
              <w:spacing w:after="0"/>
              <w:rPr>
                <w:sz w:val="20"/>
                <w:szCs w:val="20"/>
              </w:rPr>
            </w:pPr>
            <w:r w:rsidRPr="00F6205B">
              <w:rPr>
                <w:sz w:val="20"/>
                <w:szCs w:val="20"/>
              </w:rPr>
              <w:t>Electricity (million kWh)</w:t>
            </w:r>
          </w:p>
        </w:tc>
        <w:tc>
          <w:tcPr>
            <w:tcW w:w="1080" w:type="dxa"/>
            <w:tcBorders>
              <w:top w:val="single" w:sz="4" w:space="0" w:color="000000" w:themeColor="text1"/>
              <w:bottom w:val="single" w:sz="4" w:space="0" w:color="auto"/>
              <w:right w:val="single" w:sz="4" w:space="0" w:color="000000" w:themeColor="text1"/>
            </w:tcBorders>
            <w:vAlign w:val="center"/>
          </w:tcPr>
          <w:p w14:paraId="0579466A" w14:textId="77777777" w:rsidR="00231AE4" w:rsidRPr="00F6205B" w:rsidRDefault="00231AE4" w:rsidP="004F23CF">
            <w:pPr>
              <w:keepNext/>
              <w:keepLines/>
              <w:spacing w:after="0"/>
              <w:jc w:val="center"/>
              <w:rPr>
                <w:sz w:val="20"/>
                <w:szCs w:val="20"/>
              </w:rPr>
            </w:pPr>
            <w:r w:rsidRPr="00F6205B">
              <w:rPr>
                <w:sz w:val="20"/>
                <w:szCs w:val="20"/>
              </w:rPr>
              <w:t>-</w:t>
            </w:r>
          </w:p>
        </w:tc>
        <w:tc>
          <w:tcPr>
            <w:tcW w:w="1078" w:type="dxa"/>
            <w:tcBorders>
              <w:top w:val="single" w:sz="4" w:space="0" w:color="000000" w:themeColor="text1"/>
              <w:bottom w:val="single" w:sz="4" w:space="0" w:color="auto"/>
            </w:tcBorders>
            <w:vAlign w:val="center"/>
          </w:tcPr>
          <w:p w14:paraId="188F1632" w14:textId="77777777" w:rsidR="00231AE4" w:rsidRPr="00F6205B" w:rsidRDefault="00231AE4" w:rsidP="004F23CF">
            <w:pPr>
              <w:keepNext/>
              <w:keepLines/>
              <w:spacing w:after="0"/>
              <w:jc w:val="center"/>
              <w:rPr>
                <w:sz w:val="20"/>
                <w:szCs w:val="20"/>
              </w:rPr>
            </w:pPr>
            <w:r w:rsidRPr="00F6205B">
              <w:rPr>
                <w:sz w:val="20"/>
                <w:szCs w:val="20"/>
              </w:rPr>
              <w:t>-</w:t>
            </w:r>
          </w:p>
        </w:tc>
        <w:tc>
          <w:tcPr>
            <w:tcW w:w="990" w:type="dxa"/>
            <w:tcBorders>
              <w:top w:val="single" w:sz="4" w:space="0" w:color="000000" w:themeColor="text1"/>
              <w:bottom w:val="single" w:sz="4" w:space="0" w:color="auto"/>
            </w:tcBorders>
            <w:vAlign w:val="center"/>
          </w:tcPr>
          <w:p w14:paraId="44532CCB" w14:textId="77777777" w:rsidR="00231AE4" w:rsidRPr="00F6205B" w:rsidRDefault="00231AE4" w:rsidP="004F23CF">
            <w:pPr>
              <w:keepNext/>
              <w:keepLines/>
              <w:spacing w:after="0"/>
              <w:jc w:val="center"/>
              <w:rPr>
                <w:sz w:val="20"/>
                <w:szCs w:val="20"/>
              </w:rPr>
            </w:pPr>
            <w:r w:rsidRPr="00F6205B">
              <w:rPr>
                <w:sz w:val="20"/>
                <w:szCs w:val="20"/>
              </w:rPr>
              <w:t>100%</w:t>
            </w:r>
          </w:p>
        </w:tc>
        <w:tc>
          <w:tcPr>
            <w:tcW w:w="1267" w:type="dxa"/>
            <w:tcBorders>
              <w:top w:val="single" w:sz="4" w:space="0" w:color="000000" w:themeColor="text1"/>
              <w:bottom w:val="single" w:sz="4" w:space="0" w:color="auto"/>
              <w:right w:val="single" w:sz="4" w:space="0" w:color="auto"/>
            </w:tcBorders>
            <w:vAlign w:val="center"/>
          </w:tcPr>
          <w:p w14:paraId="45EA3D2A" w14:textId="77777777" w:rsidR="00231AE4" w:rsidRPr="00F6205B" w:rsidRDefault="00231AE4" w:rsidP="004F23CF">
            <w:pPr>
              <w:keepNext/>
              <w:keepLines/>
              <w:spacing w:after="0"/>
              <w:jc w:val="center"/>
              <w:rPr>
                <w:sz w:val="20"/>
                <w:szCs w:val="20"/>
              </w:rPr>
            </w:pPr>
            <w:r w:rsidRPr="00F6205B">
              <w:rPr>
                <w:sz w:val="20"/>
                <w:szCs w:val="20"/>
              </w:rPr>
              <w:t>+ 556.7</w:t>
            </w:r>
          </w:p>
        </w:tc>
      </w:tr>
    </w:tbl>
    <w:p w14:paraId="1FDD621A" w14:textId="77777777" w:rsidR="00231AE4" w:rsidRPr="00F6205B" w:rsidRDefault="00231AE4" w:rsidP="00231AE4"/>
    <w:p w14:paraId="0B093792" w14:textId="541AEC33" w:rsidR="00231AE4" w:rsidRPr="00F6205B" w:rsidRDefault="00231AE4" w:rsidP="00231AE4">
      <w:pPr>
        <w:keepNext/>
      </w:pPr>
      <w:r w:rsidRPr="00F6205B">
        <w:t>Impacts from base case fuel switching occur mostly at the heating end use, regardless of fuel (</w:t>
      </w:r>
      <w:r w:rsidR="0046579C" w:rsidRPr="00F6205B">
        <w:fldChar w:fldCharType="begin"/>
      </w:r>
      <w:r w:rsidR="0046579C" w:rsidRPr="00F6205B">
        <w:instrText xml:space="preserve"> REF _Ref439334397 \h </w:instrText>
      </w:r>
      <w:r w:rsidR="00F6205B">
        <w:instrText xml:space="preserve"> \* MERGEFORMAT </w:instrText>
      </w:r>
      <w:r w:rsidR="0046579C" w:rsidRPr="00F6205B">
        <w:fldChar w:fldCharType="separate"/>
      </w:r>
      <w:r w:rsidR="00FA26A9" w:rsidRPr="00F6205B">
        <w:t xml:space="preserve">Figure </w:t>
      </w:r>
      <w:r w:rsidR="00FA26A9">
        <w:rPr>
          <w:noProof/>
        </w:rPr>
        <w:t>37</w:t>
      </w:r>
      <w:r w:rsidR="0046579C" w:rsidRPr="00F6205B">
        <w:fldChar w:fldCharType="end"/>
      </w:r>
      <w:r w:rsidRPr="00F6205B">
        <w:t xml:space="preserve">). This is unsurprising—most existing consumption occurs at the heating end </w:t>
      </w:r>
      <w:r w:rsidRPr="00F6205B">
        <w:lastRenderedPageBreak/>
        <w:t>use, and 85 (63%) of the 134 sites in the sample for which a fuel switch was modeled did not receive a water heater upgrade in the base case (see</w:t>
      </w:r>
      <w:r w:rsidR="00380843">
        <w:t xml:space="preserve"> </w:t>
      </w:r>
      <w:r w:rsidR="00380843">
        <w:fldChar w:fldCharType="begin"/>
      </w:r>
      <w:r w:rsidR="00380843">
        <w:instrText xml:space="preserve"> REF _Ref439771323 \h </w:instrText>
      </w:r>
      <w:r w:rsidR="00380843">
        <w:fldChar w:fldCharType="separate"/>
      </w:r>
      <w:r w:rsidR="00380843" w:rsidRPr="00F6205B">
        <w:t xml:space="preserve">Table </w:t>
      </w:r>
      <w:r w:rsidR="00380843">
        <w:rPr>
          <w:noProof/>
        </w:rPr>
        <w:t>7</w:t>
      </w:r>
      <w:r w:rsidR="00380843">
        <w:fldChar w:fldCharType="end"/>
      </w:r>
      <w:r w:rsidRPr="00F6205B">
        <w:t>).</w:t>
      </w:r>
    </w:p>
    <w:p w14:paraId="7BA59162" w14:textId="5958ADD0" w:rsidR="00231AE4" w:rsidRPr="00F6205B" w:rsidRDefault="00231AE4" w:rsidP="00787578">
      <w:pPr>
        <w:pStyle w:val="Caption"/>
      </w:pPr>
      <w:bookmarkStart w:id="468" w:name="_Ref371589646"/>
      <w:bookmarkStart w:id="469" w:name="_Ref439334397"/>
      <w:bookmarkStart w:id="470" w:name="_Toc373318465"/>
      <w:bookmarkStart w:id="471" w:name="_Toc391887423"/>
      <w:bookmarkStart w:id="472" w:name="_Toc439931830"/>
      <w:r w:rsidRPr="00F6205B">
        <w:t>Figure</w:t>
      </w:r>
      <w:bookmarkEnd w:id="468"/>
      <w:r w:rsidR="00787578" w:rsidRPr="00F6205B">
        <w:t xml:space="preserve"> </w:t>
      </w:r>
      <w:fldSimple w:instr=" SEQ Figure \* ARABIC ">
        <w:r w:rsidR="00FA26A9">
          <w:rPr>
            <w:noProof/>
          </w:rPr>
          <w:t>37</w:t>
        </w:r>
      </w:fldSimple>
      <w:bookmarkEnd w:id="469"/>
      <w:r w:rsidRPr="00F6205B">
        <w:t xml:space="preserve">: </w:t>
      </w:r>
      <w:r w:rsidR="00501AE4">
        <w:t>Fuel Switching—</w:t>
      </w:r>
      <w:r w:rsidRPr="00F6205B">
        <w:t>Base Case Annual Savings in MMBtu at Year Ten, by End Use* (100% Conversion Rate)</w:t>
      </w:r>
      <w:bookmarkEnd w:id="470"/>
      <w:bookmarkEnd w:id="471"/>
      <w:bookmarkEnd w:id="472"/>
    </w:p>
    <w:p w14:paraId="3B2B4D67" w14:textId="480F2AF5" w:rsidR="00346A82" w:rsidRPr="00F6205B" w:rsidRDefault="00346A82" w:rsidP="00346A82">
      <w:pPr>
        <w:pStyle w:val="Caption"/>
        <w:spacing w:before="0" w:after="120"/>
        <w:rPr>
          <w:b w:val="0"/>
          <w:bCs w:val="0"/>
          <w:sz w:val="18"/>
        </w:rPr>
      </w:pPr>
      <w:r w:rsidRPr="00F6205B">
        <w:rPr>
          <w:b w:val="0"/>
          <w:bCs w:val="0"/>
          <w:sz w:val="18"/>
        </w:rPr>
        <w:t>Base: all single-family homes (population-weighted)</w:t>
      </w:r>
    </w:p>
    <w:p w14:paraId="19C76965" w14:textId="77777777" w:rsidR="00231AE4" w:rsidRPr="00F6205B" w:rsidRDefault="00231AE4" w:rsidP="00231AE4">
      <w:pPr>
        <w:keepNext/>
        <w:spacing w:after="0"/>
        <w:jc w:val="center"/>
      </w:pPr>
      <w:r w:rsidRPr="00F6205B">
        <w:rPr>
          <w:noProof/>
          <w:lang w:bidi="ar-SA"/>
        </w:rPr>
        <w:drawing>
          <wp:inline distT="0" distB="0" distL="0" distR="0" wp14:anchorId="6225FBFD" wp14:editId="616428A1">
            <wp:extent cx="4810797" cy="4896534"/>
            <wp:effectExtent l="0" t="0" r="889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 Case End Use Bars.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810797" cy="4896534"/>
                    </a:xfrm>
                    <a:prstGeom prst="rect">
                      <a:avLst/>
                    </a:prstGeom>
                  </pic:spPr>
                </pic:pic>
              </a:graphicData>
            </a:graphic>
          </wp:inline>
        </w:drawing>
      </w:r>
    </w:p>
    <w:p w14:paraId="122306DC" w14:textId="77777777" w:rsidR="00231AE4" w:rsidRPr="00F6205B" w:rsidRDefault="00231AE4" w:rsidP="0046579C">
      <w:pPr>
        <w:keepNext/>
        <w:ind w:left="720"/>
        <w:rPr>
          <w:sz w:val="18"/>
        </w:rPr>
      </w:pPr>
      <w:r w:rsidRPr="00F6205B">
        <w:rPr>
          <w:sz w:val="18"/>
        </w:rPr>
        <w:t>* Negative savings indicate a consumption increase.</w:t>
      </w:r>
    </w:p>
    <w:p w14:paraId="64CADE1E" w14:textId="77777777" w:rsidR="00231AE4" w:rsidRPr="00F6205B" w:rsidRDefault="00231AE4" w:rsidP="00231AE4"/>
    <w:p w14:paraId="55B80794" w14:textId="0303D723" w:rsidR="00231AE4" w:rsidRPr="00F6205B" w:rsidRDefault="00231AE4" w:rsidP="00231AE4">
      <w:r w:rsidRPr="00F6205B">
        <w:t xml:space="preserve">Additionally, there is a negative impact on electricity consumption at the cooling end use in the base case. This shows that, while the models result in some extra electric consumption for cooling in homes where a ductless mini-split was modeled and no cooling equipment currently exists, that extra consumption is offset by savings from more efficient cooling in homes where ductless mini-splits were modeled and cooling equipment does currently exist. See </w:t>
      </w:r>
      <w:r w:rsidR="008D6967">
        <w:fldChar w:fldCharType="begin"/>
      </w:r>
      <w:r w:rsidR="008D6967">
        <w:instrText xml:space="preserve"> REF _Ref439680605 \h </w:instrText>
      </w:r>
      <w:r w:rsidR="008D6967">
        <w:fldChar w:fldCharType="separate"/>
      </w:r>
      <w:r w:rsidR="00FA26A9">
        <w:t xml:space="preserve">Table </w:t>
      </w:r>
      <w:r w:rsidR="00FA26A9">
        <w:rPr>
          <w:noProof/>
        </w:rPr>
        <w:t>50</w:t>
      </w:r>
      <w:r w:rsidR="008D6967">
        <w:fldChar w:fldCharType="end"/>
      </w:r>
      <w:r w:rsidR="008D6967">
        <w:t xml:space="preserve"> </w:t>
      </w:r>
      <w:r w:rsidRPr="00F6205B">
        <w:t xml:space="preserve">in </w:t>
      </w:r>
      <w:r w:rsidR="008D6967">
        <w:fldChar w:fldCharType="begin"/>
      </w:r>
      <w:r w:rsidR="008D6967">
        <w:instrText xml:space="preserve"> REF _Ref439690329 \n \h </w:instrText>
      </w:r>
      <w:r w:rsidR="008D6967">
        <w:fldChar w:fldCharType="separate"/>
      </w:r>
      <w:r w:rsidR="00FA26A9">
        <w:t>Appendix D</w:t>
      </w:r>
      <w:r w:rsidR="008D6967">
        <w:fldChar w:fldCharType="end"/>
      </w:r>
      <w:r w:rsidR="008D6967">
        <w:t xml:space="preserve"> </w:t>
      </w:r>
      <w:r w:rsidRPr="00F6205B">
        <w:t>for more details regarding fuel switching impacts by end use.</w:t>
      </w:r>
    </w:p>
    <w:p w14:paraId="10079B13" w14:textId="7664C294" w:rsidR="00231AE4" w:rsidRPr="00F6205B" w:rsidRDefault="00231AE4" w:rsidP="00231AE4">
      <w:r w:rsidRPr="00F6205B">
        <w:lastRenderedPageBreak/>
        <w:t>Added impact attributable to a possible incentive for higher-efficiency equipment takes place primarily at the heating end use for electric consumption, but at the water heating end use for all other fuels (</w:t>
      </w:r>
      <w:r w:rsidR="00517FC3">
        <w:fldChar w:fldCharType="begin"/>
      </w:r>
      <w:r w:rsidR="00517FC3">
        <w:instrText xml:space="preserve"> REF _Ref439334319 \h </w:instrText>
      </w:r>
      <w:r w:rsidR="00517FC3">
        <w:fldChar w:fldCharType="separate"/>
      </w:r>
      <w:r w:rsidR="00FA26A9" w:rsidRPr="00F6205B">
        <w:t xml:space="preserve">Table </w:t>
      </w:r>
      <w:r w:rsidR="00FA26A9">
        <w:rPr>
          <w:noProof/>
        </w:rPr>
        <w:t>40</w:t>
      </w:r>
      <w:r w:rsidR="00517FC3">
        <w:fldChar w:fldCharType="end"/>
      </w:r>
      <w:r w:rsidR="00C57787">
        <w:t xml:space="preserve"> and</w:t>
      </w:r>
      <w:r w:rsidR="0046579C" w:rsidRPr="00F6205B">
        <w:t xml:space="preserve"> </w:t>
      </w:r>
      <w:r w:rsidR="0046579C" w:rsidRPr="00F6205B">
        <w:fldChar w:fldCharType="begin"/>
      </w:r>
      <w:r w:rsidR="0046579C" w:rsidRPr="00F6205B">
        <w:instrText xml:space="preserve"> REF _Ref439334469 \h </w:instrText>
      </w:r>
      <w:r w:rsidR="00F6205B">
        <w:instrText xml:space="preserve"> \* MERGEFORMAT </w:instrText>
      </w:r>
      <w:r w:rsidR="0046579C" w:rsidRPr="00F6205B">
        <w:fldChar w:fldCharType="separate"/>
      </w:r>
      <w:r w:rsidR="00FA26A9" w:rsidRPr="00F6205B">
        <w:t xml:space="preserve">Figure </w:t>
      </w:r>
      <w:r w:rsidR="00FA26A9">
        <w:rPr>
          <w:noProof/>
        </w:rPr>
        <w:t>38</w:t>
      </w:r>
      <w:r w:rsidR="0046579C" w:rsidRPr="00F6205B">
        <w:fldChar w:fldCharType="end"/>
      </w:r>
      <w:r w:rsidRPr="00F6205B">
        <w:t>). For oil and propane, this is because most consumption of those fuels was eliminated in the base case models, limiting the impact of the upgrade case models to water heating.</w:t>
      </w:r>
    </w:p>
    <w:p w14:paraId="0ED4E75F" w14:textId="366C0C0E" w:rsidR="00231AE4" w:rsidRPr="00F6205B" w:rsidRDefault="00231AE4" w:rsidP="00787578">
      <w:pPr>
        <w:pStyle w:val="Caption"/>
      </w:pPr>
      <w:bookmarkStart w:id="473" w:name="_Ref371589825"/>
      <w:bookmarkStart w:id="474" w:name="_Ref439334469"/>
      <w:bookmarkStart w:id="475" w:name="_Toc373318466"/>
      <w:bookmarkStart w:id="476" w:name="_Toc391887424"/>
      <w:bookmarkStart w:id="477" w:name="_Toc439931831"/>
      <w:r w:rsidRPr="00F6205B">
        <w:t>Figure</w:t>
      </w:r>
      <w:bookmarkEnd w:id="473"/>
      <w:r w:rsidR="00787578" w:rsidRPr="00F6205B">
        <w:t xml:space="preserve"> </w:t>
      </w:r>
      <w:fldSimple w:instr=" SEQ Figure \* ARABIC ">
        <w:r w:rsidR="00FA26A9">
          <w:rPr>
            <w:noProof/>
          </w:rPr>
          <w:t>38</w:t>
        </w:r>
      </w:fldSimple>
      <w:bookmarkEnd w:id="474"/>
      <w:r w:rsidRPr="00F6205B">
        <w:t xml:space="preserve">: </w:t>
      </w:r>
      <w:r w:rsidR="00501AE4">
        <w:t>Fuel Switching—</w:t>
      </w:r>
      <w:r w:rsidRPr="00F6205B">
        <w:t>Upgrade Case Annual Savings from Base Case in MMBtu at Year Ten, by End Use (100% Conversion Rate)</w:t>
      </w:r>
      <w:bookmarkEnd w:id="475"/>
      <w:bookmarkEnd w:id="476"/>
      <w:bookmarkEnd w:id="477"/>
    </w:p>
    <w:p w14:paraId="23895B6B" w14:textId="1759624D" w:rsidR="00346A82" w:rsidRPr="00F6205B" w:rsidRDefault="00346A82" w:rsidP="00346A82">
      <w:pPr>
        <w:pStyle w:val="Caption"/>
        <w:spacing w:before="0" w:after="120"/>
        <w:rPr>
          <w:b w:val="0"/>
          <w:bCs w:val="0"/>
          <w:sz w:val="18"/>
        </w:rPr>
      </w:pPr>
      <w:r w:rsidRPr="00F6205B">
        <w:rPr>
          <w:b w:val="0"/>
          <w:bCs w:val="0"/>
          <w:sz w:val="18"/>
        </w:rPr>
        <w:t>Base: all single-family homes (population-weighted)</w:t>
      </w:r>
    </w:p>
    <w:p w14:paraId="18BCD539" w14:textId="77777777" w:rsidR="00231AE4" w:rsidRPr="00F6205B" w:rsidRDefault="00231AE4" w:rsidP="00231AE4">
      <w:pPr>
        <w:jc w:val="center"/>
      </w:pPr>
      <w:r w:rsidRPr="00F6205B">
        <w:rPr>
          <w:noProof/>
          <w:lang w:bidi="ar-SA"/>
        </w:rPr>
        <w:drawing>
          <wp:inline distT="0" distB="0" distL="0" distR="0" wp14:anchorId="69B5477B" wp14:editId="5A77A398">
            <wp:extent cx="5734851" cy="2810267"/>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grade Case End Use Bars.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734851" cy="2810267"/>
                    </a:xfrm>
                    <a:prstGeom prst="rect">
                      <a:avLst/>
                    </a:prstGeom>
                  </pic:spPr>
                </pic:pic>
              </a:graphicData>
            </a:graphic>
          </wp:inline>
        </w:drawing>
      </w:r>
    </w:p>
    <w:p w14:paraId="1F4C978B" w14:textId="77777777" w:rsidR="00231AE4" w:rsidRPr="00F6205B" w:rsidRDefault="00231AE4" w:rsidP="00231AE4"/>
    <w:p w14:paraId="585E6CF0" w14:textId="1063F15F" w:rsidR="00231AE4" w:rsidRPr="00F6205B" w:rsidRDefault="00231AE4" w:rsidP="00231AE4">
      <w:r w:rsidRPr="00F6205B">
        <w:t>The models also show a nominal increase in oil and propane use between the base case and upgrade case (</w:t>
      </w:r>
      <w:r w:rsidR="00517FC3">
        <w:fldChar w:fldCharType="begin"/>
      </w:r>
      <w:r w:rsidR="00517FC3">
        <w:instrText xml:space="preserve"> REF _Ref439334319 \h </w:instrText>
      </w:r>
      <w:r w:rsidR="00517FC3">
        <w:fldChar w:fldCharType="separate"/>
      </w:r>
      <w:r w:rsidR="00FA26A9" w:rsidRPr="00F6205B">
        <w:t xml:space="preserve">Table </w:t>
      </w:r>
      <w:r w:rsidR="00FA26A9">
        <w:rPr>
          <w:noProof/>
        </w:rPr>
        <w:t>40</w:t>
      </w:r>
      <w:r w:rsidR="00517FC3">
        <w:fldChar w:fldCharType="end"/>
      </w:r>
      <w:r w:rsidR="00517FC3">
        <w:t xml:space="preserve"> </w:t>
      </w:r>
      <w:r w:rsidRPr="00F6205B">
        <w:t>and</w:t>
      </w:r>
      <w:r w:rsidR="00517FC3">
        <w:t xml:space="preserve"> </w:t>
      </w:r>
      <w:r w:rsidR="00517FC3">
        <w:fldChar w:fldCharType="begin"/>
      </w:r>
      <w:r w:rsidR="00517FC3">
        <w:instrText xml:space="preserve"> REF _Ref439680567 \h </w:instrText>
      </w:r>
      <w:r w:rsidR="00517FC3">
        <w:fldChar w:fldCharType="separate"/>
      </w:r>
      <w:r w:rsidR="00FA26A9">
        <w:t xml:space="preserve">Table </w:t>
      </w:r>
      <w:r w:rsidR="00FA26A9">
        <w:rPr>
          <w:noProof/>
        </w:rPr>
        <w:t>49</w:t>
      </w:r>
      <w:r w:rsidR="00517FC3">
        <w:fldChar w:fldCharType="end"/>
      </w:r>
      <w:r w:rsidRPr="00F6205B">
        <w:t>). This is because of interactive effects in the models. All the sites showing an increase in oil or propane use from the base case to the upgrade case are in Groups B or C, which were modeled with existing water heating in the base case and heat pump water heaters in the upgrade case. In these models, existing heating equipment remained in a backup capacity to supplement heat provided by ductless mini-splits. Since heat pump water heaters draw heat from the air around them in a manner that other water heaters do not, more backup heating fuel is consumed to make up for the difference.</w:t>
      </w:r>
    </w:p>
    <w:p w14:paraId="56960B58" w14:textId="77777777" w:rsidR="00A50E67" w:rsidRPr="00F6205B" w:rsidRDefault="00A50E67" w:rsidP="0044249F">
      <w:pPr>
        <w:rPr>
          <w:lang w:bidi="ar-SA"/>
        </w:rPr>
      </w:pPr>
    </w:p>
    <w:p w14:paraId="3E968945" w14:textId="77777777" w:rsidR="00A83E9C" w:rsidRPr="00F6205B" w:rsidRDefault="00A83E9C" w:rsidP="0044249F">
      <w:pPr>
        <w:rPr>
          <w:lang w:bidi="ar-SA"/>
        </w:rPr>
      </w:pPr>
    </w:p>
    <w:p w14:paraId="533B7BC8" w14:textId="26BFD19F" w:rsidR="0044249F" w:rsidRPr="00F6205B" w:rsidRDefault="0044249F" w:rsidP="0044249F">
      <w:pPr>
        <w:rPr>
          <w:lang w:bidi="ar-SA"/>
        </w:rPr>
      </w:pPr>
    </w:p>
    <w:p w14:paraId="1726719A" w14:textId="0A441A87" w:rsidR="0044249F" w:rsidRPr="00F6205B" w:rsidRDefault="0044249F" w:rsidP="0044249F">
      <w:pPr>
        <w:rPr>
          <w:lang w:bidi="ar-SA"/>
        </w:rPr>
      </w:pPr>
    </w:p>
    <w:p w14:paraId="71BA6875" w14:textId="77777777" w:rsidR="0044249F" w:rsidRPr="00F6205B" w:rsidRDefault="0044249F" w:rsidP="0044249F">
      <w:pPr>
        <w:rPr>
          <w:lang w:bidi="ar-SA"/>
        </w:rPr>
        <w:sectPr w:rsidR="0044249F" w:rsidRPr="00F6205B" w:rsidSect="009B5AD3">
          <w:pgSz w:w="12240" w:h="15840"/>
          <w:pgMar w:top="1440" w:right="1872" w:bottom="1440" w:left="1440" w:header="0" w:footer="0" w:gutter="0"/>
          <w:cols w:space="720"/>
          <w:docGrid w:linePitch="272"/>
        </w:sectPr>
      </w:pPr>
    </w:p>
    <w:bookmarkStart w:id="478" w:name="AppendixA"/>
    <w:bookmarkStart w:id="479" w:name="_Toc439939417"/>
    <w:p w14:paraId="35501552" w14:textId="40D1AE79" w:rsidR="00AD4771" w:rsidRPr="00F6205B" w:rsidRDefault="00D778B5" w:rsidP="00380843">
      <w:pPr>
        <w:pStyle w:val="ApHeading1"/>
        <w:rPr>
          <w:rFonts w:hint="eastAsia"/>
        </w:rPr>
      </w:pPr>
      <w:r w:rsidRPr="00F6205B">
        <w:rPr>
          <w:noProof/>
        </w:rPr>
        <w:lastRenderedPageBreak/>
        <mc:AlternateContent>
          <mc:Choice Requires="wps">
            <w:drawing>
              <wp:anchor distT="0" distB="0" distL="114300" distR="114300" simplePos="0" relativeHeight="251613184" behindDoc="0" locked="0" layoutInCell="1" allowOverlap="1" wp14:anchorId="4CE6461A" wp14:editId="419EEEA4">
                <wp:simplePos x="0" y="0"/>
                <wp:positionH relativeFrom="margin">
                  <wp:align>left</wp:align>
                </wp:positionH>
                <wp:positionV relativeFrom="paragraph">
                  <wp:posOffset>0</wp:posOffset>
                </wp:positionV>
                <wp:extent cx="1143000" cy="114300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9DA1BEA" w14:textId="77777777" w:rsidR="009027EC" w:rsidRPr="00691F20" w:rsidRDefault="009027EC" w:rsidP="007D72BD">
                            <w:pPr>
                              <w:spacing w:after="0"/>
                              <w:jc w:val="center"/>
                              <w:rPr>
                                <w:b/>
                                <w:color w:val="FFFFFF" w:themeColor="background1"/>
                                <w:sz w:val="134"/>
                                <w:szCs w:val="134"/>
                              </w:rPr>
                            </w:pPr>
                            <w:r w:rsidRPr="00691F20">
                              <w:rPr>
                                <w:b/>
                                <w:color w:val="FFFFFF" w:themeColor="background1"/>
                                <w:sz w:val="134"/>
                                <w:szCs w:val="13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4CE6461A" id="Text Box 8" o:spid="_x0000_s1035" type="#_x0000_t202" style="position:absolute;left:0;text-align:left;margin-left:0;margin-top:0;width:90pt;height:90pt;z-index:251613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WDUxgIAAO0FAAAOAAAAZHJzL2Uyb0RvYy54bWysVFtv2jAUfp+0/2D5nSah9AJqqFIqpklo&#10;rdZOfTaODVEdH882EDbtv+/YSSjt9tJpL4nt853bdy5X102tyFZYV4HOaXaSUiI0h7LSq5x+e5wP&#10;LilxnumSKdAip3vh6PX044ernZmIIaxBlcISNKLdZGdyuvbeTJLE8bWomTsBIzQKJdiaebzaVVJa&#10;tkPrtUqGaXqe7MCWxgIXzuHrbSuk02hfSsH9nZROeKJyirH5+LXxuwzfZHrFJivLzLriXRjsH6Ko&#10;WaXR6cHULfOMbGz1h6m64hYcSH/CoU5AyoqLmANmk6VvsnlYMyNiLkiOMwea3P8zy79s7y2pypxi&#10;oTSrsUSPovHkBhpyGdjZGTdB0INBmG/wGascM3VmAfzZISQ5wrQKDtGBjUbaOvwxT4KKWID9gfTg&#10;hQdr2eg0TVHEUdZfgtUXdWOd/ySgJuGQU4tVjSGw7cL5FtpDgjcHqirnlVLxYlfLmbJky0IHzM8v&#10;Tm9CWmj9FUzpANYQ1Fpx+yJiD7Vu2ARjxmNAhuhjfX/Ozi6GxcXZeHBenGWDUZZeDooiHQ5u50Va&#10;pKP5bDy6+dW57PUjYy1JgTvn90oEq0p/FRKrEbmK0Yc5EIf4GedC+6yzFtEBJTHo9yh2+JhHzO89&#10;yi0jqBE9g/YH5brSYNveeB12+dyHLFt81zNd3oEC3yyb2IbjvumWUO6x5yy0M+sMn1dY/gVz/p5Z&#10;HFJsGVw8/g4/UsEup9CdKFmD/fG394DH2UEpJTsc+py67xtmBSXqs8apGmejUdgS8TLCwuLFHkuW&#10;xxK9qWeAXZXhijM8HgPeq/4oLdRPuJ+K4BVFTHP0nVPfH2e+XUW437goigjCvWCYX+gHw/tRC839&#10;2Dwxa7oJ8NhIX6BfD2zyZhBabKiPhmLjQVZxSgLPLasd/7hT4iR0+y8sreN7RL1s6elvAAAA//8D&#10;AFBLAwQUAAYACAAAACEAYeBkptcAAAAFAQAADwAAAGRycy9kb3ducmV2LnhtbEyPQUvDQBCF74L/&#10;YRnBm91URGPMpohQxaNVpN622TEJZmfj7rRd/71TEfQyzOMNb75XL7If1Q5jGgIZmM8KUEhtcAN1&#10;Bl6el2clqMSWnB0DoYEvTLBojo9qW7mwpyfcrbhTEkKpsgZ65qnSOrU9eptmYUIS7z1Eb1lk7LSL&#10;di/hftTnRXGpvR1IPvR2wrse24/V1hvImeLV9Pb5WF486HlaX78u13xvzOlJvr0BxZj57xgO+IIO&#10;jTBtwpZcUqMBKcI/8+CVhcjN76KbWv+nb74BAAD//wMAUEsBAi0AFAAGAAgAAAAhALaDOJL+AAAA&#10;4QEAABMAAAAAAAAAAAAAAAAAAAAAAFtDb250ZW50X1R5cGVzXS54bWxQSwECLQAUAAYACAAAACEA&#10;OP0h/9YAAACUAQAACwAAAAAAAAAAAAAAAAAvAQAAX3JlbHMvLnJlbHNQSwECLQAUAAYACAAAACEA&#10;OjFg1MYCAADtBQAADgAAAAAAAAAAAAAAAAAuAgAAZHJzL2Uyb0RvYy54bWxQSwECLQAUAAYACAAA&#10;ACEAYeBkptcAAAAFAQAADwAAAAAAAAAAAAAAAAAgBQAAZHJzL2Rvd25yZXYueG1sUEsFBgAAAAAE&#10;AAQA8wAAACQGAAAAAA==&#10;" fillcolor="#0f673b" stroked="f">
                <v:path arrowok="t"/>
                <v:textbox>
                  <w:txbxContent>
                    <w:p w14:paraId="69DA1BEA" w14:textId="77777777" w:rsidR="009027EC" w:rsidRPr="00691F20" w:rsidRDefault="009027EC" w:rsidP="007D72BD">
                      <w:pPr>
                        <w:spacing w:after="0"/>
                        <w:jc w:val="center"/>
                        <w:rPr>
                          <w:b/>
                          <w:color w:val="FFFFFF" w:themeColor="background1"/>
                          <w:sz w:val="134"/>
                          <w:szCs w:val="134"/>
                        </w:rPr>
                      </w:pPr>
                      <w:r w:rsidRPr="00691F20">
                        <w:rPr>
                          <w:b/>
                          <w:color w:val="FFFFFF" w:themeColor="background1"/>
                          <w:sz w:val="134"/>
                          <w:szCs w:val="134"/>
                        </w:rPr>
                        <w:t>A</w:t>
                      </w:r>
                    </w:p>
                  </w:txbxContent>
                </v:textbox>
                <w10:wrap type="square" anchorx="margin"/>
              </v:shape>
            </w:pict>
          </mc:Fallback>
        </mc:AlternateContent>
      </w:r>
      <w:bookmarkEnd w:id="478"/>
      <w:r w:rsidR="004F1E0B" w:rsidRPr="00F6205B">
        <w:t>Major Changes from Original Draft</w:t>
      </w:r>
      <w:bookmarkEnd w:id="479"/>
    </w:p>
    <w:p w14:paraId="471F3F5C" w14:textId="4D5EAE73" w:rsidR="004F1E0B" w:rsidRPr="00F6205B" w:rsidRDefault="004F1E0B" w:rsidP="004F1E0B">
      <w:pPr>
        <w:rPr>
          <w:lang w:bidi="ar-SA"/>
        </w:rPr>
      </w:pPr>
      <w:r w:rsidRPr="00F6205B">
        <w:rPr>
          <w:lang w:bidi="ar-SA"/>
        </w:rPr>
        <w:t xml:space="preserve">The first draft </w:t>
      </w:r>
      <w:r w:rsidR="00655D81">
        <w:rPr>
          <w:lang w:bidi="ar-SA"/>
        </w:rPr>
        <w:t xml:space="preserve">report </w:t>
      </w:r>
      <w:r w:rsidRPr="00F6205B">
        <w:rPr>
          <w:lang w:bidi="ar-SA"/>
        </w:rPr>
        <w:t xml:space="preserve">of this study was submitted to the EEB on July 3, 2014. A review of that draft </w:t>
      </w:r>
      <w:r w:rsidR="00655D81">
        <w:rPr>
          <w:lang w:bidi="ar-SA"/>
        </w:rPr>
        <w:t xml:space="preserve">report </w:t>
      </w:r>
      <w:r w:rsidRPr="00F6205B">
        <w:rPr>
          <w:lang w:bidi="ar-SA"/>
        </w:rPr>
        <w:t xml:space="preserve">resulted in an agreement that several methodological changes </w:t>
      </w:r>
      <w:r w:rsidR="00655D81">
        <w:rPr>
          <w:lang w:bidi="ar-SA"/>
        </w:rPr>
        <w:t>should</w:t>
      </w:r>
      <w:r w:rsidRPr="00F6205B">
        <w:rPr>
          <w:lang w:bidi="ar-SA"/>
        </w:rPr>
        <w:t xml:space="preserve"> be made, of which this report is the result. These changes in methodology included:</w:t>
      </w:r>
    </w:p>
    <w:p w14:paraId="0A252214" w14:textId="334A94B0" w:rsidR="002D1B9C" w:rsidRPr="00F6205B" w:rsidRDefault="002D1B9C" w:rsidP="00F52E2F">
      <w:pPr>
        <w:pStyle w:val="ListParagraph"/>
        <w:numPr>
          <w:ilvl w:val="0"/>
          <w:numId w:val="34"/>
        </w:numPr>
        <w:rPr>
          <w:lang w:bidi="ar-SA"/>
        </w:rPr>
      </w:pPr>
      <w:r w:rsidRPr="00F6205B">
        <w:rPr>
          <w:lang w:bidi="ar-SA"/>
        </w:rPr>
        <w:t xml:space="preserve">Accounting for changes in codes and standards in </w:t>
      </w:r>
      <w:r w:rsidR="00AB52FD">
        <w:rPr>
          <w:lang w:bidi="ar-SA"/>
        </w:rPr>
        <w:t>the cost-effective potential stage, rather than solely in the achievable potential stage</w:t>
      </w:r>
    </w:p>
    <w:p w14:paraId="1F5403D8" w14:textId="7E1F1993" w:rsidR="004F1E0B" w:rsidRPr="00F6205B" w:rsidRDefault="002D1B9C" w:rsidP="00F52E2F">
      <w:pPr>
        <w:pStyle w:val="ListParagraph"/>
        <w:numPr>
          <w:ilvl w:val="0"/>
          <w:numId w:val="34"/>
        </w:numPr>
        <w:rPr>
          <w:lang w:bidi="ar-SA"/>
        </w:rPr>
      </w:pPr>
      <w:r w:rsidRPr="00F6205B">
        <w:rPr>
          <w:lang w:bidi="ar-SA"/>
        </w:rPr>
        <w:t>Using a net measure cost rather than full upgrade cost in benefit/cost ratios in the cost-effective potential stage</w:t>
      </w:r>
    </w:p>
    <w:p w14:paraId="6980ACEE" w14:textId="02133133" w:rsidR="002D1B9C" w:rsidRPr="00F6205B" w:rsidRDefault="002D1B9C" w:rsidP="00F52E2F">
      <w:pPr>
        <w:pStyle w:val="ListParagraph"/>
        <w:numPr>
          <w:ilvl w:val="0"/>
          <w:numId w:val="34"/>
        </w:numPr>
        <w:rPr>
          <w:lang w:bidi="ar-SA"/>
        </w:rPr>
      </w:pPr>
      <w:r w:rsidRPr="00F6205B">
        <w:rPr>
          <w:lang w:bidi="ar-SA"/>
        </w:rPr>
        <w:t>Updating the study window from 2013-2022 to 2016-2025, and updating avoided costs accordingly</w:t>
      </w:r>
    </w:p>
    <w:p w14:paraId="1CB6932B" w14:textId="44574E9D" w:rsidR="004F1E0B" w:rsidRPr="00F6205B" w:rsidRDefault="004F1E0B" w:rsidP="004F1E0B">
      <w:pPr>
        <w:rPr>
          <w:lang w:bidi="ar-SA"/>
        </w:rPr>
      </w:pPr>
      <w:r w:rsidRPr="00F6205B">
        <w:rPr>
          <w:lang w:bidi="ar-SA"/>
        </w:rPr>
        <w:t xml:space="preserve">This appendix describes the major changes to the study’s results that sprang from these </w:t>
      </w:r>
      <w:r w:rsidR="00246FCD">
        <w:rPr>
          <w:lang w:bidi="ar-SA"/>
        </w:rPr>
        <w:t>methodological changes</w:t>
      </w:r>
      <w:r w:rsidRPr="00F6205B">
        <w:rPr>
          <w:lang w:bidi="ar-SA"/>
        </w:rPr>
        <w:t>.</w:t>
      </w:r>
      <w:r w:rsidR="004C3D75">
        <w:rPr>
          <w:lang w:bidi="ar-SA"/>
        </w:rPr>
        <w:t xml:space="preserve"> More details regarding methodology can be found in the </w:t>
      </w:r>
      <w:r w:rsidR="004C3D75">
        <w:rPr>
          <w:lang w:bidi="ar-SA"/>
        </w:rPr>
        <w:fldChar w:fldCharType="begin"/>
      </w:r>
      <w:r w:rsidR="004C3D75">
        <w:rPr>
          <w:lang w:bidi="ar-SA"/>
        </w:rPr>
        <w:instrText xml:space="preserve"> REF _Ref439250164 \h </w:instrText>
      </w:r>
      <w:r w:rsidR="004C3D75">
        <w:rPr>
          <w:lang w:bidi="ar-SA"/>
        </w:rPr>
      </w:r>
      <w:r w:rsidR="004C3D75">
        <w:rPr>
          <w:lang w:bidi="ar-SA"/>
        </w:rPr>
        <w:fldChar w:fldCharType="separate"/>
      </w:r>
      <w:r w:rsidR="00FA26A9" w:rsidRPr="00F6205B">
        <w:t>Methodology</w:t>
      </w:r>
      <w:r w:rsidR="004C3D75">
        <w:rPr>
          <w:lang w:bidi="ar-SA"/>
        </w:rPr>
        <w:fldChar w:fldCharType="end"/>
      </w:r>
      <w:r w:rsidR="004C3D75">
        <w:rPr>
          <w:lang w:bidi="ar-SA"/>
        </w:rPr>
        <w:t xml:space="preserve"> section of this report.</w:t>
      </w:r>
    </w:p>
    <w:p w14:paraId="523F442A" w14:textId="06EFB0AA" w:rsidR="00AD5689" w:rsidRPr="00F6205B" w:rsidRDefault="004F1E0B" w:rsidP="00AB52FD">
      <w:pPr>
        <w:pStyle w:val="ApHeading2"/>
        <w:numPr>
          <w:ilvl w:val="0"/>
          <w:numId w:val="0"/>
        </w:numPr>
        <w:rPr>
          <w:rFonts w:hint="eastAsia"/>
        </w:rPr>
      </w:pPr>
      <w:bookmarkStart w:id="480" w:name="_Toc439939418"/>
      <w:r w:rsidRPr="00F6205B">
        <w:t>Ductless Mini-Splits</w:t>
      </w:r>
      <w:bookmarkEnd w:id="480"/>
    </w:p>
    <w:p w14:paraId="6026D5A6" w14:textId="646FB8E5" w:rsidR="00ED3FFA" w:rsidRDefault="00AB52FD" w:rsidP="00913FCE">
      <w:r>
        <w:t xml:space="preserve">In the original report draft, ductless mini-splits screened as cost-effective in 62% of applicable cases (109 out of 176 sites), with an average TRC ratio of 1.46. </w:t>
      </w:r>
      <w:r w:rsidR="00137430">
        <w:t>In this draft, just 6% of cases screened as cost-effective (10 of 176), with an average TRC ratio of -1.83.</w:t>
      </w:r>
      <w:r w:rsidR="00E535C8">
        <w:t xml:space="preserve"> This shift in average TRC resulted in massive changes in cost-effective and maximum achievable potential savings estimates.</w:t>
      </w:r>
    </w:p>
    <w:p w14:paraId="0168667E" w14:textId="2D2777D3" w:rsidR="00E535C8" w:rsidRDefault="00E535C8" w:rsidP="00913FCE">
      <w:r>
        <w:t>Because ductless mini-splits are a fuel switch</w:t>
      </w:r>
      <w:r w:rsidR="00CE0429">
        <w:t>ing</w:t>
      </w:r>
      <w:r>
        <w:t xml:space="preserve"> measure, replacement schedule is irrelevant and therefore full cost was used in screening rather than the net measure cost. Changes in efficiency standards impacted the savings used in screening, but only for the fossil fuels that the mini-splits replace, not the additional electric consumption that results from installing them. For the 99 sites that screened as cost-effective in the original draft but not in this revised version, the difference was due almost entirely to changes in avoided costs.</w:t>
      </w:r>
    </w:p>
    <w:p w14:paraId="349E85C8" w14:textId="77777777" w:rsidR="0075062E" w:rsidRDefault="007748DC" w:rsidP="00913FCE">
      <w:r>
        <w:t xml:space="preserve">Relative to the 2013 avoided costs that were used for the original draft, </w:t>
      </w:r>
      <w:r w:rsidR="00E3405D">
        <w:t xml:space="preserve">the 2016 avoided costs </w:t>
      </w:r>
      <w:r w:rsidR="00042765">
        <w:t xml:space="preserve">are slightly lower for electric energy (by about $0.01 per kWh per year), much lower for oil and propane (by about $7.30 for oil and $9.40 for propane per MMBtu per year), and much higher for natural gas (by about $5.50 per MMBtu per year). </w:t>
      </w:r>
      <w:r w:rsidR="00C74750">
        <w:t xml:space="preserve">Indeed, of the 99 sites that screened as cost-effective for ductless mini-splits in the original draft but not in the revised draft, </w:t>
      </w:r>
      <w:r w:rsidR="009678CF">
        <w:t>all but one used either oil (94 sites) or propane (4 sites) as their primary heating fuel.</w:t>
      </w:r>
    </w:p>
    <w:p w14:paraId="7E51F560" w14:textId="6444FFD0" w:rsidR="00E535C8" w:rsidRPr="00F6205B" w:rsidRDefault="0075062E" w:rsidP="00913FCE">
      <w:r>
        <w:t>Put another way, because of the decrease in oil and propane avoided costs, the benefits of fuel switching were not enough to eclipse the detriments associated with the increase in electric consumption caused by the mini-splits for many homes.</w:t>
      </w:r>
    </w:p>
    <w:p w14:paraId="4CDF2BB4" w14:textId="7CB6A952" w:rsidR="00ED3FFA" w:rsidRPr="00F6205B" w:rsidRDefault="004F1E0B" w:rsidP="00D166F9">
      <w:pPr>
        <w:pStyle w:val="ApHeading2"/>
        <w:keepNext/>
        <w:numPr>
          <w:ilvl w:val="0"/>
          <w:numId w:val="0"/>
        </w:numPr>
        <w:rPr>
          <w:rFonts w:hint="eastAsia"/>
        </w:rPr>
      </w:pPr>
      <w:bookmarkStart w:id="481" w:name="_Toc439939419"/>
      <w:r w:rsidRPr="00F6205B">
        <w:lastRenderedPageBreak/>
        <w:t>Appliances</w:t>
      </w:r>
      <w:bookmarkEnd w:id="481"/>
    </w:p>
    <w:p w14:paraId="181DE823" w14:textId="4746831F" w:rsidR="00756A1F" w:rsidRDefault="00867389" w:rsidP="00E261ED">
      <w:r>
        <w:t>Another major change relative to the original draft of this study is in the number of appliance replacements that screened as cost-effective.</w:t>
      </w:r>
      <w:r w:rsidR="00CC51F7">
        <w:t xml:space="preserve"> </w:t>
      </w:r>
      <w:r w:rsidR="00CC51F7">
        <w:fldChar w:fldCharType="begin"/>
      </w:r>
      <w:r w:rsidR="00CC51F7">
        <w:instrText xml:space="preserve"> REF _Ref439687520 \h </w:instrText>
      </w:r>
      <w:r w:rsidR="00CC51F7">
        <w:fldChar w:fldCharType="separate"/>
      </w:r>
      <w:r w:rsidR="00FA26A9">
        <w:t xml:space="preserve">Table </w:t>
      </w:r>
      <w:r w:rsidR="00FA26A9">
        <w:rPr>
          <w:noProof/>
        </w:rPr>
        <w:t>41</w:t>
      </w:r>
      <w:r w:rsidR="00CC51F7">
        <w:fldChar w:fldCharType="end"/>
      </w:r>
      <w:r w:rsidR="00CC51F7">
        <w:t xml:space="preserve"> shows the change in the percentage of applicable sites that passed cost-effectiveness screening and mean TRC ratio for </w:t>
      </w:r>
      <w:r w:rsidR="00D166F9">
        <w:t>refrigerators, dishwashers, and clothes washers, each of which saw a substantial change</w:t>
      </w:r>
      <w:r w:rsidR="00CC51F7">
        <w:t>.</w:t>
      </w:r>
    </w:p>
    <w:p w14:paraId="2D2287A3" w14:textId="5F8DCFA2" w:rsidR="00867389" w:rsidRPr="00F6205B" w:rsidRDefault="00CC51F7" w:rsidP="00CC51F7">
      <w:pPr>
        <w:pStyle w:val="Caption"/>
      </w:pPr>
      <w:bookmarkStart w:id="482" w:name="_Ref439687520"/>
      <w:bookmarkStart w:id="483" w:name="_Toc439931872"/>
      <w:r>
        <w:t xml:space="preserve">Table </w:t>
      </w:r>
      <w:fldSimple w:instr=" SEQ Table \* ARABIC ">
        <w:r w:rsidR="00FA26A9">
          <w:rPr>
            <w:noProof/>
          </w:rPr>
          <w:t>41</w:t>
        </w:r>
      </w:fldSimple>
      <w:bookmarkEnd w:id="482"/>
      <w:r>
        <w:t>: Appliance Cost-Effectiveness Screening Comparison</w:t>
      </w:r>
      <w:bookmarkEnd w:id="483"/>
    </w:p>
    <w:tbl>
      <w:tblPr>
        <w:tblStyle w:val="TableGrid"/>
        <w:tblW w:w="10646"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2110"/>
        <w:gridCol w:w="1260"/>
        <w:gridCol w:w="1212"/>
        <w:gridCol w:w="1213"/>
        <w:gridCol w:w="1212"/>
        <w:gridCol w:w="1213"/>
        <w:gridCol w:w="1213"/>
        <w:gridCol w:w="1213"/>
      </w:tblGrid>
      <w:tr w:rsidR="008E3398" w:rsidRPr="00F6205B" w14:paraId="116CF502" w14:textId="77777777" w:rsidTr="008E3398">
        <w:trPr>
          <w:trHeight w:val="288"/>
          <w:jc w:val="center"/>
        </w:trPr>
        <w:tc>
          <w:tcPr>
            <w:tcW w:w="2110" w:type="dxa"/>
            <w:vMerge w:val="restart"/>
            <w:tcBorders>
              <w:top w:val="single" w:sz="4" w:space="0" w:color="auto"/>
              <w:left w:val="single" w:sz="4" w:space="0" w:color="auto"/>
              <w:right w:val="single" w:sz="4" w:space="0" w:color="auto"/>
            </w:tcBorders>
            <w:shd w:val="clear" w:color="auto" w:fill="0B4D2C" w:themeFill="background2" w:themeFillShade="BF"/>
            <w:vAlign w:val="center"/>
          </w:tcPr>
          <w:p w14:paraId="7BAA2E6B" w14:textId="5BF43820" w:rsidR="008E3398" w:rsidRPr="00F6205B" w:rsidRDefault="008E3398" w:rsidP="008E3398">
            <w:pPr>
              <w:keepNext/>
              <w:keepLines/>
              <w:spacing w:after="0"/>
              <w:rPr>
                <w:b/>
                <w:sz w:val="20"/>
                <w:szCs w:val="20"/>
              </w:rPr>
            </w:pPr>
            <w:r>
              <w:rPr>
                <w:b/>
                <w:sz w:val="20"/>
                <w:szCs w:val="20"/>
              </w:rPr>
              <w:t>Appliance</w:t>
            </w:r>
          </w:p>
        </w:tc>
        <w:tc>
          <w:tcPr>
            <w:tcW w:w="1260" w:type="dxa"/>
            <w:vMerge w:val="restart"/>
            <w:tcBorders>
              <w:top w:val="single" w:sz="4" w:space="0" w:color="auto"/>
            </w:tcBorders>
            <w:shd w:val="clear" w:color="auto" w:fill="0B4D2C" w:themeFill="background2" w:themeFillShade="BF"/>
            <w:vAlign w:val="center"/>
          </w:tcPr>
          <w:p w14:paraId="29D11DBC" w14:textId="50EC6E20" w:rsidR="008E3398" w:rsidRDefault="008E3398" w:rsidP="008E3398">
            <w:pPr>
              <w:keepNext/>
              <w:keepLines/>
              <w:spacing w:after="0"/>
              <w:jc w:val="center"/>
              <w:rPr>
                <w:b/>
                <w:sz w:val="20"/>
                <w:szCs w:val="20"/>
              </w:rPr>
            </w:pPr>
            <w:r>
              <w:rPr>
                <w:b/>
                <w:sz w:val="20"/>
                <w:szCs w:val="20"/>
              </w:rPr>
              <w:t>Applicable</w:t>
            </w:r>
          </w:p>
        </w:tc>
        <w:tc>
          <w:tcPr>
            <w:tcW w:w="1212" w:type="dxa"/>
            <w:vMerge w:val="restart"/>
            <w:tcBorders>
              <w:top w:val="single" w:sz="4" w:space="0" w:color="auto"/>
            </w:tcBorders>
            <w:shd w:val="clear" w:color="auto" w:fill="0B4D2C" w:themeFill="background2" w:themeFillShade="BF"/>
            <w:vAlign w:val="center"/>
          </w:tcPr>
          <w:p w14:paraId="79CF2DFF" w14:textId="67AC90DE" w:rsidR="008E3398" w:rsidRDefault="008E3398" w:rsidP="008E3398">
            <w:pPr>
              <w:keepNext/>
              <w:keepLines/>
              <w:spacing w:after="0"/>
              <w:jc w:val="center"/>
              <w:rPr>
                <w:b/>
                <w:sz w:val="20"/>
                <w:szCs w:val="20"/>
              </w:rPr>
            </w:pPr>
            <w:r>
              <w:rPr>
                <w:b/>
                <w:sz w:val="20"/>
                <w:szCs w:val="20"/>
              </w:rPr>
              <w:t>Average Age of Existing</w:t>
            </w:r>
          </w:p>
        </w:tc>
        <w:tc>
          <w:tcPr>
            <w:tcW w:w="1213" w:type="dxa"/>
            <w:vMerge w:val="restart"/>
            <w:tcBorders>
              <w:top w:val="single" w:sz="4" w:space="0" w:color="auto"/>
            </w:tcBorders>
            <w:shd w:val="clear" w:color="auto" w:fill="0B4D2C" w:themeFill="background2" w:themeFillShade="BF"/>
            <w:vAlign w:val="center"/>
          </w:tcPr>
          <w:p w14:paraId="6F3AB66E" w14:textId="07F295D9" w:rsidR="008E3398" w:rsidRDefault="008E3398" w:rsidP="008E3398">
            <w:pPr>
              <w:keepNext/>
              <w:keepLines/>
              <w:spacing w:after="0"/>
              <w:jc w:val="center"/>
              <w:rPr>
                <w:b/>
                <w:sz w:val="20"/>
                <w:szCs w:val="20"/>
              </w:rPr>
            </w:pPr>
            <w:r>
              <w:rPr>
                <w:b/>
                <w:sz w:val="20"/>
                <w:szCs w:val="20"/>
              </w:rPr>
              <w:t>PSD Measure Lifetime</w:t>
            </w:r>
          </w:p>
        </w:tc>
        <w:tc>
          <w:tcPr>
            <w:tcW w:w="2425" w:type="dxa"/>
            <w:gridSpan w:val="2"/>
            <w:tcBorders>
              <w:top w:val="single" w:sz="4" w:space="0" w:color="auto"/>
              <w:bottom w:val="single" w:sz="4" w:space="0" w:color="000000" w:themeColor="text1"/>
            </w:tcBorders>
            <w:shd w:val="clear" w:color="auto" w:fill="0B4D2C" w:themeFill="background2" w:themeFillShade="BF"/>
            <w:vAlign w:val="center"/>
          </w:tcPr>
          <w:p w14:paraId="156D8B1D" w14:textId="552B0A65" w:rsidR="008E3398" w:rsidRPr="00F6205B" w:rsidRDefault="008E3398" w:rsidP="008E3398">
            <w:pPr>
              <w:keepNext/>
              <w:keepLines/>
              <w:spacing w:after="0"/>
              <w:jc w:val="center"/>
              <w:rPr>
                <w:b/>
                <w:sz w:val="20"/>
                <w:szCs w:val="20"/>
              </w:rPr>
            </w:pPr>
            <w:r>
              <w:rPr>
                <w:b/>
                <w:sz w:val="20"/>
                <w:szCs w:val="20"/>
              </w:rPr>
              <w:t>Original Analysis</w:t>
            </w:r>
          </w:p>
        </w:tc>
        <w:tc>
          <w:tcPr>
            <w:tcW w:w="2426" w:type="dxa"/>
            <w:gridSpan w:val="2"/>
            <w:tcBorders>
              <w:top w:val="single" w:sz="4" w:space="0" w:color="auto"/>
              <w:bottom w:val="single" w:sz="4" w:space="0" w:color="000000" w:themeColor="text1"/>
              <w:right w:val="single" w:sz="4" w:space="0" w:color="auto"/>
            </w:tcBorders>
            <w:shd w:val="clear" w:color="auto" w:fill="0B4D2C" w:themeFill="background2" w:themeFillShade="BF"/>
            <w:vAlign w:val="center"/>
          </w:tcPr>
          <w:p w14:paraId="52974CDF" w14:textId="780B5FFA" w:rsidR="008E3398" w:rsidRPr="00F6205B" w:rsidRDefault="008E3398" w:rsidP="008E3398">
            <w:pPr>
              <w:keepNext/>
              <w:keepLines/>
              <w:spacing w:after="0"/>
              <w:jc w:val="center"/>
              <w:rPr>
                <w:b/>
                <w:sz w:val="20"/>
                <w:szCs w:val="20"/>
              </w:rPr>
            </w:pPr>
            <w:r>
              <w:rPr>
                <w:b/>
                <w:sz w:val="20"/>
                <w:szCs w:val="20"/>
              </w:rPr>
              <w:t>Revised Analysis</w:t>
            </w:r>
          </w:p>
        </w:tc>
      </w:tr>
      <w:tr w:rsidR="008E3398" w:rsidRPr="00F6205B" w14:paraId="07283E4E" w14:textId="77777777" w:rsidTr="008E3398">
        <w:trPr>
          <w:trHeight w:val="288"/>
          <w:jc w:val="center"/>
        </w:trPr>
        <w:tc>
          <w:tcPr>
            <w:tcW w:w="2110" w:type="dxa"/>
            <w:vMerge/>
            <w:tcBorders>
              <w:left w:val="single" w:sz="4" w:space="0" w:color="auto"/>
              <w:bottom w:val="single" w:sz="4" w:space="0" w:color="000000" w:themeColor="text1"/>
              <w:right w:val="single" w:sz="4" w:space="0" w:color="auto"/>
            </w:tcBorders>
            <w:shd w:val="clear" w:color="auto" w:fill="0B4D2C" w:themeFill="background2" w:themeFillShade="BF"/>
            <w:vAlign w:val="center"/>
          </w:tcPr>
          <w:p w14:paraId="1CCDA9AD" w14:textId="77777777" w:rsidR="008E3398" w:rsidRDefault="008E3398" w:rsidP="008E3398">
            <w:pPr>
              <w:keepNext/>
              <w:keepLines/>
              <w:spacing w:after="0"/>
              <w:rPr>
                <w:b/>
                <w:sz w:val="20"/>
                <w:szCs w:val="20"/>
              </w:rPr>
            </w:pPr>
          </w:p>
        </w:tc>
        <w:tc>
          <w:tcPr>
            <w:tcW w:w="1260" w:type="dxa"/>
            <w:vMerge/>
            <w:tcBorders>
              <w:bottom w:val="single" w:sz="4" w:space="0" w:color="000000" w:themeColor="text1"/>
            </w:tcBorders>
            <w:shd w:val="clear" w:color="auto" w:fill="0B4D2C" w:themeFill="background2" w:themeFillShade="BF"/>
            <w:vAlign w:val="center"/>
          </w:tcPr>
          <w:p w14:paraId="6756E756" w14:textId="77777777" w:rsidR="008E3398" w:rsidRDefault="008E3398" w:rsidP="008E3398">
            <w:pPr>
              <w:keepNext/>
              <w:keepLines/>
              <w:spacing w:after="0"/>
              <w:jc w:val="center"/>
              <w:rPr>
                <w:b/>
                <w:sz w:val="20"/>
                <w:szCs w:val="20"/>
              </w:rPr>
            </w:pPr>
          </w:p>
        </w:tc>
        <w:tc>
          <w:tcPr>
            <w:tcW w:w="1212" w:type="dxa"/>
            <w:vMerge/>
            <w:tcBorders>
              <w:bottom w:val="single" w:sz="4" w:space="0" w:color="000000" w:themeColor="text1"/>
            </w:tcBorders>
            <w:shd w:val="clear" w:color="auto" w:fill="0B4D2C" w:themeFill="background2" w:themeFillShade="BF"/>
            <w:vAlign w:val="center"/>
          </w:tcPr>
          <w:p w14:paraId="421F17E2" w14:textId="566E7A4E" w:rsidR="008E3398" w:rsidRDefault="008E3398" w:rsidP="008E3398">
            <w:pPr>
              <w:keepNext/>
              <w:keepLines/>
              <w:spacing w:after="0"/>
              <w:jc w:val="center"/>
              <w:rPr>
                <w:b/>
                <w:sz w:val="20"/>
                <w:szCs w:val="20"/>
              </w:rPr>
            </w:pPr>
          </w:p>
        </w:tc>
        <w:tc>
          <w:tcPr>
            <w:tcW w:w="1213" w:type="dxa"/>
            <w:vMerge/>
            <w:tcBorders>
              <w:bottom w:val="single" w:sz="4" w:space="0" w:color="000000" w:themeColor="text1"/>
            </w:tcBorders>
            <w:shd w:val="clear" w:color="auto" w:fill="0B4D2C" w:themeFill="background2" w:themeFillShade="BF"/>
            <w:vAlign w:val="center"/>
          </w:tcPr>
          <w:p w14:paraId="4B1B60DA" w14:textId="77777777" w:rsidR="008E3398" w:rsidRDefault="008E3398" w:rsidP="008E3398">
            <w:pPr>
              <w:keepNext/>
              <w:keepLines/>
              <w:spacing w:after="0"/>
              <w:jc w:val="center"/>
              <w:rPr>
                <w:b/>
                <w:sz w:val="20"/>
                <w:szCs w:val="20"/>
              </w:rPr>
            </w:pPr>
          </w:p>
        </w:tc>
        <w:tc>
          <w:tcPr>
            <w:tcW w:w="1212" w:type="dxa"/>
            <w:tcBorders>
              <w:top w:val="single" w:sz="4" w:space="0" w:color="auto"/>
              <w:bottom w:val="single" w:sz="4" w:space="0" w:color="000000" w:themeColor="text1"/>
              <w:right w:val="single" w:sz="4" w:space="0" w:color="auto"/>
            </w:tcBorders>
            <w:shd w:val="clear" w:color="auto" w:fill="0B4D2C" w:themeFill="background2" w:themeFillShade="BF"/>
            <w:vAlign w:val="center"/>
          </w:tcPr>
          <w:p w14:paraId="18F31A02" w14:textId="3A758FD3" w:rsidR="008E3398" w:rsidRPr="00F6205B" w:rsidRDefault="008E3398" w:rsidP="008E3398">
            <w:pPr>
              <w:keepNext/>
              <w:keepLines/>
              <w:spacing w:after="0"/>
              <w:jc w:val="center"/>
              <w:rPr>
                <w:b/>
                <w:sz w:val="20"/>
                <w:szCs w:val="20"/>
              </w:rPr>
            </w:pPr>
            <w:r>
              <w:rPr>
                <w:b/>
                <w:sz w:val="20"/>
                <w:szCs w:val="20"/>
              </w:rPr>
              <w:t>Pass Percent</w:t>
            </w:r>
          </w:p>
        </w:tc>
        <w:tc>
          <w:tcPr>
            <w:tcW w:w="1213" w:type="dxa"/>
            <w:tcBorders>
              <w:top w:val="single" w:sz="4" w:space="0" w:color="auto"/>
              <w:bottom w:val="single" w:sz="4" w:space="0" w:color="000000" w:themeColor="text1"/>
            </w:tcBorders>
            <w:shd w:val="clear" w:color="auto" w:fill="0B4D2C" w:themeFill="background2" w:themeFillShade="BF"/>
            <w:vAlign w:val="center"/>
          </w:tcPr>
          <w:p w14:paraId="41396F21" w14:textId="715D2BE8" w:rsidR="008E3398" w:rsidRPr="00F6205B" w:rsidRDefault="008E3398" w:rsidP="008E3398">
            <w:pPr>
              <w:keepNext/>
              <w:keepLines/>
              <w:spacing w:after="0"/>
              <w:jc w:val="center"/>
              <w:rPr>
                <w:b/>
                <w:sz w:val="20"/>
                <w:szCs w:val="20"/>
              </w:rPr>
            </w:pPr>
            <w:r>
              <w:rPr>
                <w:b/>
                <w:sz w:val="20"/>
                <w:szCs w:val="20"/>
              </w:rPr>
              <w:t>Average TRC</w:t>
            </w:r>
          </w:p>
        </w:tc>
        <w:tc>
          <w:tcPr>
            <w:tcW w:w="1213" w:type="dxa"/>
            <w:tcBorders>
              <w:top w:val="single" w:sz="4" w:space="0" w:color="auto"/>
              <w:bottom w:val="single" w:sz="4" w:space="0" w:color="000000" w:themeColor="text1"/>
            </w:tcBorders>
            <w:shd w:val="clear" w:color="auto" w:fill="0B4D2C" w:themeFill="background2" w:themeFillShade="BF"/>
            <w:vAlign w:val="center"/>
          </w:tcPr>
          <w:p w14:paraId="53692BDD" w14:textId="5B28D7E4" w:rsidR="008E3398" w:rsidRPr="00F6205B" w:rsidRDefault="008E3398" w:rsidP="008E3398">
            <w:pPr>
              <w:keepNext/>
              <w:keepLines/>
              <w:spacing w:after="0"/>
              <w:jc w:val="center"/>
              <w:rPr>
                <w:b/>
                <w:sz w:val="20"/>
                <w:szCs w:val="20"/>
              </w:rPr>
            </w:pPr>
            <w:r>
              <w:rPr>
                <w:b/>
                <w:sz w:val="20"/>
                <w:szCs w:val="20"/>
              </w:rPr>
              <w:t>Pass Percent</w:t>
            </w:r>
          </w:p>
        </w:tc>
        <w:tc>
          <w:tcPr>
            <w:tcW w:w="1213" w:type="dxa"/>
            <w:tcBorders>
              <w:top w:val="single" w:sz="4" w:space="0" w:color="auto"/>
              <w:bottom w:val="single" w:sz="4" w:space="0" w:color="000000" w:themeColor="text1"/>
              <w:right w:val="single" w:sz="4" w:space="0" w:color="auto"/>
            </w:tcBorders>
            <w:shd w:val="clear" w:color="auto" w:fill="0B4D2C" w:themeFill="background2" w:themeFillShade="BF"/>
            <w:vAlign w:val="center"/>
          </w:tcPr>
          <w:p w14:paraId="04C4A630" w14:textId="4DCFAC6E" w:rsidR="008E3398" w:rsidRPr="00F6205B" w:rsidRDefault="008E3398" w:rsidP="008E3398">
            <w:pPr>
              <w:keepNext/>
              <w:keepLines/>
              <w:spacing w:after="0"/>
              <w:jc w:val="center"/>
              <w:rPr>
                <w:b/>
                <w:sz w:val="20"/>
                <w:szCs w:val="20"/>
              </w:rPr>
            </w:pPr>
            <w:r>
              <w:rPr>
                <w:b/>
                <w:sz w:val="20"/>
                <w:szCs w:val="20"/>
              </w:rPr>
              <w:t>Average TRC</w:t>
            </w:r>
          </w:p>
        </w:tc>
      </w:tr>
      <w:tr w:rsidR="008E3398" w:rsidRPr="00F6205B" w14:paraId="17F1E4F0" w14:textId="77777777" w:rsidTr="008E3398">
        <w:trPr>
          <w:trHeight w:val="288"/>
          <w:jc w:val="center"/>
        </w:trPr>
        <w:tc>
          <w:tcPr>
            <w:tcW w:w="2110" w:type="dxa"/>
            <w:tcBorders>
              <w:top w:val="single" w:sz="4" w:space="0" w:color="auto"/>
              <w:left w:val="single" w:sz="4" w:space="0" w:color="auto"/>
              <w:bottom w:val="single" w:sz="4" w:space="0" w:color="000000" w:themeColor="text1"/>
              <w:right w:val="single" w:sz="4" w:space="0" w:color="000000" w:themeColor="text1"/>
            </w:tcBorders>
            <w:vAlign w:val="center"/>
          </w:tcPr>
          <w:p w14:paraId="1C001A15" w14:textId="0213BC60" w:rsidR="008E3398" w:rsidRPr="00F6205B" w:rsidRDefault="008E3398" w:rsidP="008E3398">
            <w:pPr>
              <w:keepNext/>
              <w:keepLines/>
              <w:spacing w:after="0"/>
              <w:rPr>
                <w:sz w:val="20"/>
                <w:szCs w:val="20"/>
              </w:rPr>
            </w:pPr>
            <w:r>
              <w:rPr>
                <w:sz w:val="20"/>
                <w:szCs w:val="20"/>
              </w:rPr>
              <w:t>Refrigerator</w:t>
            </w:r>
          </w:p>
        </w:tc>
        <w:tc>
          <w:tcPr>
            <w:tcW w:w="1260" w:type="dxa"/>
            <w:tcBorders>
              <w:top w:val="single" w:sz="4" w:space="0" w:color="auto"/>
              <w:bottom w:val="single" w:sz="4" w:space="0" w:color="000000" w:themeColor="text1"/>
            </w:tcBorders>
            <w:vAlign w:val="center"/>
          </w:tcPr>
          <w:p w14:paraId="6F2346EA" w14:textId="1949A163" w:rsidR="008E3398" w:rsidRDefault="008E3398" w:rsidP="008E3398">
            <w:pPr>
              <w:keepNext/>
              <w:keepLines/>
              <w:spacing w:after="0"/>
              <w:jc w:val="center"/>
              <w:rPr>
                <w:sz w:val="20"/>
                <w:szCs w:val="20"/>
              </w:rPr>
            </w:pPr>
            <w:r>
              <w:rPr>
                <w:sz w:val="20"/>
                <w:szCs w:val="20"/>
              </w:rPr>
              <w:t>180</w:t>
            </w:r>
          </w:p>
        </w:tc>
        <w:tc>
          <w:tcPr>
            <w:tcW w:w="1212" w:type="dxa"/>
            <w:tcBorders>
              <w:top w:val="single" w:sz="4" w:space="0" w:color="auto"/>
              <w:bottom w:val="single" w:sz="4" w:space="0" w:color="000000" w:themeColor="text1"/>
            </w:tcBorders>
            <w:vAlign w:val="center"/>
          </w:tcPr>
          <w:p w14:paraId="72A60E7C" w14:textId="03B2AB7C" w:rsidR="008E3398" w:rsidRDefault="008E3398" w:rsidP="008E3398">
            <w:pPr>
              <w:keepNext/>
              <w:keepLines/>
              <w:spacing w:after="0"/>
              <w:jc w:val="center"/>
              <w:rPr>
                <w:sz w:val="20"/>
                <w:szCs w:val="20"/>
              </w:rPr>
            </w:pPr>
            <w:r>
              <w:rPr>
                <w:sz w:val="20"/>
                <w:szCs w:val="20"/>
              </w:rPr>
              <w:t>11 years</w:t>
            </w:r>
          </w:p>
        </w:tc>
        <w:tc>
          <w:tcPr>
            <w:tcW w:w="1213" w:type="dxa"/>
            <w:tcBorders>
              <w:top w:val="single" w:sz="4" w:space="0" w:color="auto"/>
              <w:bottom w:val="single" w:sz="4" w:space="0" w:color="000000" w:themeColor="text1"/>
            </w:tcBorders>
            <w:vAlign w:val="center"/>
          </w:tcPr>
          <w:p w14:paraId="0AAB3C55" w14:textId="7AC2C249" w:rsidR="008E3398" w:rsidRDefault="008E3398" w:rsidP="008E3398">
            <w:pPr>
              <w:keepNext/>
              <w:keepLines/>
              <w:spacing w:after="0"/>
              <w:jc w:val="center"/>
              <w:rPr>
                <w:sz w:val="20"/>
                <w:szCs w:val="20"/>
              </w:rPr>
            </w:pPr>
            <w:r>
              <w:rPr>
                <w:sz w:val="20"/>
                <w:szCs w:val="20"/>
              </w:rPr>
              <w:t>12 years</w:t>
            </w:r>
          </w:p>
        </w:tc>
        <w:tc>
          <w:tcPr>
            <w:tcW w:w="1212" w:type="dxa"/>
            <w:tcBorders>
              <w:top w:val="single" w:sz="4" w:space="0" w:color="auto"/>
              <w:bottom w:val="single" w:sz="4" w:space="0" w:color="000000" w:themeColor="text1"/>
            </w:tcBorders>
            <w:vAlign w:val="center"/>
          </w:tcPr>
          <w:p w14:paraId="4AF54EA0" w14:textId="745F64CF" w:rsidR="008E3398" w:rsidRPr="00F6205B" w:rsidRDefault="008E3398" w:rsidP="008E3398">
            <w:pPr>
              <w:keepNext/>
              <w:keepLines/>
              <w:spacing w:after="0"/>
              <w:jc w:val="center"/>
              <w:rPr>
                <w:sz w:val="20"/>
                <w:szCs w:val="20"/>
              </w:rPr>
            </w:pPr>
            <w:r>
              <w:rPr>
                <w:sz w:val="20"/>
                <w:szCs w:val="20"/>
              </w:rPr>
              <w:t>26%</w:t>
            </w:r>
          </w:p>
        </w:tc>
        <w:tc>
          <w:tcPr>
            <w:tcW w:w="1213" w:type="dxa"/>
            <w:tcBorders>
              <w:top w:val="single" w:sz="4" w:space="0" w:color="000000" w:themeColor="text1"/>
              <w:bottom w:val="single" w:sz="4" w:space="0" w:color="000000" w:themeColor="text1"/>
              <w:right w:val="single" w:sz="4" w:space="0" w:color="000000" w:themeColor="text1"/>
            </w:tcBorders>
            <w:vAlign w:val="center"/>
          </w:tcPr>
          <w:p w14:paraId="607F5A10" w14:textId="40E14B84" w:rsidR="008E3398" w:rsidRPr="00F6205B" w:rsidRDefault="008E3398" w:rsidP="008E3398">
            <w:pPr>
              <w:keepNext/>
              <w:keepLines/>
              <w:spacing w:after="0"/>
              <w:ind w:left="171"/>
              <w:rPr>
                <w:sz w:val="20"/>
                <w:szCs w:val="20"/>
              </w:rPr>
            </w:pPr>
            <w:r>
              <w:rPr>
                <w:sz w:val="20"/>
                <w:szCs w:val="20"/>
              </w:rPr>
              <w:t>0.82</w:t>
            </w:r>
          </w:p>
        </w:tc>
        <w:tc>
          <w:tcPr>
            <w:tcW w:w="1213" w:type="dxa"/>
            <w:tcBorders>
              <w:top w:val="single" w:sz="4" w:space="0" w:color="000000" w:themeColor="text1"/>
              <w:bottom w:val="single" w:sz="4" w:space="0" w:color="000000" w:themeColor="text1"/>
              <w:right w:val="single" w:sz="4" w:space="0" w:color="000000" w:themeColor="text1"/>
            </w:tcBorders>
            <w:vAlign w:val="center"/>
          </w:tcPr>
          <w:p w14:paraId="3322C589" w14:textId="6E5A3EF3" w:rsidR="008E3398" w:rsidRPr="00F6205B" w:rsidRDefault="008E3398" w:rsidP="008E3398">
            <w:pPr>
              <w:keepNext/>
              <w:keepLines/>
              <w:spacing w:after="0"/>
              <w:ind w:left="136"/>
              <w:rPr>
                <w:sz w:val="20"/>
                <w:szCs w:val="20"/>
              </w:rPr>
            </w:pPr>
            <w:r>
              <w:rPr>
                <w:sz w:val="20"/>
                <w:szCs w:val="20"/>
              </w:rPr>
              <w:t>78%</w:t>
            </w:r>
          </w:p>
        </w:tc>
        <w:tc>
          <w:tcPr>
            <w:tcW w:w="1213"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FD63667" w14:textId="0463C0FA" w:rsidR="008E3398" w:rsidRPr="00F6205B" w:rsidRDefault="008E3398" w:rsidP="008E3398">
            <w:pPr>
              <w:keepNext/>
              <w:keepLines/>
              <w:spacing w:after="0"/>
              <w:ind w:left="172"/>
              <w:rPr>
                <w:sz w:val="20"/>
                <w:szCs w:val="20"/>
              </w:rPr>
            </w:pPr>
            <w:r>
              <w:rPr>
                <w:sz w:val="20"/>
                <w:szCs w:val="20"/>
              </w:rPr>
              <w:t>1.77</w:t>
            </w:r>
          </w:p>
        </w:tc>
      </w:tr>
      <w:tr w:rsidR="008E3398" w:rsidRPr="00F6205B" w14:paraId="77457B16" w14:textId="77777777" w:rsidTr="008E3398">
        <w:trPr>
          <w:trHeight w:val="288"/>
          <w:jc w:val="center"/>
        </w:trPr>
        <w:tc>
          <w:tcPr>
            <w:tcW w:w="211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A9D6B01" w14:textId="2F435EB6" w:rsidR="008E3398" w:rsidRPr="00F6205B" w:rsidRDefault="008E3398" w:rsidP="008E3398">
            <w:pPr>
              <w:keepNext/>
              <w:keepLines/>
              <w:spacing w:after="0"/>
              <w:rPr>
                <w:sz w:val="20"/>
                <w:szCs w:val="20"/>
              </w:rPr>
            </w:pPr>
            <w:r>
              <w:rPr>
                <w:sz w:val="20"/>
                <w:szCs w:val="20"/>
              </w:rPr>
              <w:t>Dishwasher</w:t>
            </w:r>
          </w:p>
        </w:tc>
        <w:tc>
          <w:tcPr>
            <w:tcW w:w="1260" w:type="dxa"/>
            <w:tcBorders>
              <w:top w:val="single" w:sz="4" w:space="0" w:color="000000" w:themeColor="text1"/>
              <w:bottom w:val="single" w:sz="4" w:space="0" w:color="000000" w:themeColor="text1"/>
            </w:tcBorders>
            <w:vAlign w:val="center"/>
          </w:tcPr>
          <w:p w14:paraId="2091847E" w14:textId="38C10BB0" w:rsidR="008E3398" w:rsidRDefault="008E3398" w:rsidP="008E3398">
            <w:pPr>
              <w:keepNext/>
              <w:keepLines/>
              <w:spacing w:after="0"/>
              <w:jc w:val="center"/>
              <w:rPr>
                <w:sz w:val="20"/>
                <w:szCs w:val="20"/>
              </w:rPr>
            </w:pPr>
            <w:r>
              <w:rPr>
                <w:sz w:val="20"/>
                <w:szCs w:val="20"/>
              </w:rPr>
              <w:t>153</w:t>
            </w:r>
          </w:p>
        </w:tc>
        <w:tc>
          <w:tcPr>
            <w:tcW w:w="1212" w:type="dxa"/>
            <w:tcBorders>
              <w:top w:val="single" w:sz="4" w:space="0" w:color="000000" w:themeColor="text1"/>
              <w:bottom w:val="single" w:sz="4" w:space="0" w:color="000000" w:themeColor="text1"/>
            </w:tcBorders>
            <w:vAlign w:val="center"/>
          </w:tcPr>
          <w:p w14:paraId="34CEE323" w14:textId="0FDCB480" w:rsidR="008E3398" w:rsidRDefault="008E3398" w:rsidP="008E3398">
            <w:pPr>
              <w:keepNext/>
              <w:keepLines/>
              <w:spacing w:after="0"/>
              <w:jc w:val="center"/>
              <w:rPr>
                <w:sz w:val="20"/>
                <w:szCs w:val="20"/>
              </w:rPr>
            </w:pPr>
            <w:r>
              <w:rPr>
                <w:sz w:val="20"/>
                <w:szCs w:val="20"/>
              </w:rPr>
              <w:t>9 years</w:t>
            </w:r>
          </w:p>
        </w:tc>
        <w:tc>
          <w:tcPr>
            <w:tcW w:w="1213" w:type="dxa"/>
            <w:tcBorders>
              <w:top w:val="single" w:sz="4" w:space="0" w:color="000000" w:themeColor="text1"/>
              <w:bottom w:val="single" w:sz="4" w:space="0" w:color="000000" w:themeColor="text1"/>
            </w:tcBorders>
            <w:vAlign w:val="center"/>
          </w:tcPr>
          <w:p w14:paraId="4B822C0A" w14:textId="27EF583B" w:rsidR="008E3398" w:rsidRDefault="008E3398" w:rsidP="008E3398">
            <w:pPr>
              <w:keepNext/>
              <w:keepLines/>
              <w:spacing w:after="0"/>
              <w:jc w:val="center"/>
              <w:rPr>
                <w:sz w:val="20"/>
                <w:szCs w:val="20"/>
              </w:rPr>
            </w:pPr>
            <w:r>
              <w:rPr>
                <w:sz w:val="20"/>
                <w:szCs w:val="20"/>
              </w:rPr>
              <w:t>10 years</w:t>
            </w:r>
          </w:p>
        </w:tc>
        <w:tc>
          <w:tcPr>
            <w:tcW w:w="1212" w:type="dxa"/>
            <w:tcBorders>
              <w:top w:val="single" w:sz="4" w:space="0" w:color="000000" w:themeColor="text1"/>
              <w:bottom w:val="single" w:sz="4" w:space="0" w:color="000000" w:themeColor="text1"/>
            </w:tcBorders>
            <w:vAlign w:val="center"/>
          </w:tcPr>
          <w:p w14:paraId="641EF8FA" w14:textId="66364857" w:rsidR="008E3398" w:rsidRPr="00F6205B" w:rsidRDefault="008E3398" w:rsidP="008E3398">
            <w:pPr>
              <w:keepNext/>
              <w:keepLines/>
              <w:spacing w:after="0"/>
              <w:jc w:val="center"/>
              <w:rPr>
                <w:sz w:val="20"/>
                <w:szCs w:val="20"/>
              </w:rPr>
            </w:pPr>
            <w:r>
              <w:rPr>
                <w:sz w:val="20"/>
                <w:szCs w:val="20"/>
              </w:rPr>
              <w:t>1%</w:t>
            </w:r>
          </w:p>
        </w:tc>
        <w:tc>
          <w:tcPr>
            <w:tcW w:w="1213" w:type="dxa"/>
            <w:tcBorders>
              <w:top w:val="single" w:sz="4" w:space="0" w:color="000000" w:themeColor="text1"/>
              <w:bottom w:val="single" w:sz="4" w:space="0" w:color="000000" w:themeColor="text1"/>
              <w:right w:val="single" w:sz="4" w:space="0" w:color="000000" w:themeColor="text1"/>
            </w:tcBorders>
            <w:vAlign w:val="center"/>
          </w:tcPr>
          <w:p w14:paraId="639874C3" w14:textId="3D434F9D" w:rsidR="008E3398" w:rsidRPr="00F6205B" w:rsidRDefault="008E3398" w:rsidP="008E3398">
            <w:pPr>
              <w:keepNext/>
              <w:keepLines/>
              <w:spacing w:after="0"/>
              <w:ind w:left="171"/>
              <w:rPr>
                <w:sz w:val="20"/>
                <w:szCs w:val="20"/>
              </w:rPr>
            </w:pPr>
            <w:r>
              <w:rPr>
                <w:sz w:val="20"/>
                <w:szCs w:val="20"/>
              </w:rPr>
              <w:t>0.10</w:t>
            </w:r>
          </w:p>
        </w:tc>
        <w:tc>
          <w:tcPr>
            <w:tcW w:w="1213" w:type="dxa"/>
            <w:tcBorders>
              <w:top w:val="single" w:sz="4" w:space="0" w:color="000000" w:themeColor="text1"/>
              <w:bottom w:val="single" w:sz="4" w:space="0" w:color="000000" w:themeColor="text1"/>
              <w:right w:val="single" w:sz="4" w:space="0" w:color="000000" w:themeColor="text1"/>
            </w:tcBorders>
            <w:vAlign w:val="center"/>
          </w:tcPr>
          <w:p w14:paraId="3DD02331" w14:textId="3F12A88D" w:rsidR="008E3398" w:rsidRPr="00F6205B" w:rsidRDefault="008E3398" w:rsidP="008E3398">
            <w:pPr>
              <w:keepNext/>
              <w:keepLines/>
              <w:spacing w:after="0"/>
              <w:ind w:left="136"/>
              <w:rPr>
                <w:sz w:val="20"/>
                <w:szCs w:val="20"/>
              </w:rPr>
            </w:pPr>
            <w:r>
              <w:rPr>
                <w:sz w:val="20"/>
                <w:szCs w:val="20"/>
              </w:rPr>
              <w:t>55%</w:t>
            </w:r>
          </w:p>
        </w:tc>
        <w:tc>
          <w:tcPr>
            <w:tcW w:w="1213"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3427314" w14:textId="7EE704CF" w:rsidR="008E3398" w:rsidRPr="00F6205B" w:rsidRDefault="008E3398" w:rsidP="008E3398">
            <w:pPr>
              <w:keepNext/>
              <w:keepLines/>
              <w:spacing w:after="0"/>
              <w:ind w:left="172"/>
              <w:rPr>
                <w:sz w:val="20"/>
                <w:szCs w:val="20"/>
              </w:rPr>
            </w:pPr>
            <w:r>
              <w:rPr>
                <w:sz w:val="20"/>
                <w:szCs w:val="20"/>
              </w:rPr>
              <w:t>8.49</w:t>
            </w:r>
          </w:p>
        </w:tc>
      </w:tr>
      <w:tr w:rsidR="008E3398" w:rsidRPr="00F6205B" w14:paraId="52174975" w14:textId="77777777" w:rsidTr="008E3398">
        <w:trPr>
          <w:trHeight w:val="288"/>
          <w:jc w:val="center"/>
        </w:trPr>
        <w:tc>
          <w:tcPr>
            <w:tcW w:w="2110" w:type="dxa"/>
            <w:tcBorders>
              <w:top w:val="single" w:sz="4" w:space="0" w:color="000000" w:themeColor="text1"/>
              <w:left w:val="single" w:sz="4" w:space="0" w:color="auto"/>
              <w:bottom w:val="single" w:sz="4" w:space="0" w:color="auto"/>
              <w:right w:val="single" w:sz="4" w:space="0" w:color="000000" w:themeColor="text1"/>
            </w:tcBorders>
            <w:vAlign w:val="center"/>
          </w:tcPr>
          <w:p w14:paraId="3F8FFD5E" w14:textId="230A2A57" w:rsidR="008E3398" w:rsidRPr="00F6205B" w:rsidRDefault="008E3398" w:rsidP="008E3398">
            <w:pPr>
              <w:keepNext/>
              <w:keepLines/>
              <w:spacing w:after="0"/>
              <w:rPr>
                <w:sz w:val="20"/>
                <w:szCs w:val="20"/>
              </w:rPr>
            </w:pPr>
            <w:r>
              <w:rPr>
                <w:sz w:val="20"/>
                <w:szCs w:val="20"/>
              </w:rPr>
              <w:t>Clothes washer</w:t>
            </w:r>
          </w:p>
        </w:tc>
        <w:tc>
          <w:tcPr>
            <w:tcW w:w="1260" w:type="dxa"/>
            <w:tcBorders>
              <w:top w:val="single" w:sz="4" w:space="0" w:color="000000" w:themeColor="text1"/>
              <w:bottom w:val="single" w:sz="4" w:space="0" w:color="auto"/>
            </w:tcBorders>
            <w:vAlign w:val="center"/>
          </w:tcPr>
          <w:p w14:paraId="26EE598C" w14:textId="60EA25AB" w:rsidR="008E3398" w:rsidRDefault="008E3398" w:rsidP="008E3398">
            <w:pPr>
              <w:keepNext/>
              <w:keepLines/>
              <w:spacing w:after="0"/>
              <w:jc w:val="center"/>
              <w:rPr>
                <w:sz w:val="20"/>
                <w:szCs w:val="20"/>
              </w:rPr>
            </w:pPr>
            <w:r>
              <w:rPr>
                <w:sz w:val="20"/>
                <w:szCs w:val="20"/>
              </w:rPr>
              <w:t>177</w:t>
            </w:r>
          </w:p>
        </w:tc>
        <w:tc>
          <w:tcPr>
            <w:tcW w:w="1212" w:type="dxa"/>
            <w:tcBorders>
              <w:top w:val="single" w:sz="4" w:space="0" w:color="000000" w:themeColor="text1"/>
              <w:bottom w:val="single" w:sz="4" w:space="0" w:color="auto"/>
            </w:tcBorders>
            <w:vAlign w:val="center"/>
          </w:tcPr>
          <w:p w14:paraId="31602B5B" w14:textId="3BC32CCB" w:rsidR="008E3398" w:rsidRDefault="008E3398" w:rsidP="008E3398">
            <w:pPr>
              <w:keepNext/>
              <w:keepLines/>
              <w:spacing w:after="0"/>
              <w:jc w:val="center"/>
              <w:rPr>
                <w:sz w:val="20"/>
                <w:szCs w:val="20"/>
              </w:rPr>
            </w:pPr>
            <w:r>
              <w:rPr>
                <w:sz w:val="20"/>
                <w:szCs w:val="20"/>
              </w:rPr>
              <w:t>10 years</w:t>
            </w:r>
          </w:p>
        </w:tc>
        <w:tc>
          <w:tcPr>
            <w:tcW w:w="1213" w:type="dxa"/>
            <w:tcBorders>
              <w:top w:val="single" w:sz="4" w:space="0" w:color="000000" w:themeColor="text1"/>
              <w:bottom w:val="single" w:sz="4" w:space="0" w:color="auto"/>
            </w:tcBorders>
            <w:vAlign w:val="center"/>
          </w:tcPr>
          <w:p w14:paraId="4716A1D2" w14:textId="39F22476" w:rsidR="008E3398" w:rsidRDefault="008E3398" w:rsidP="008E3398">
            <w:pPr>
              <w:keepNext/>
              <w:keepLines/>
              <w:spacing w:after="0"/>
              <w:jc w:val="center"/>
              <w:rPr>
                <w:sz w:val="20"/>
                <w:szCs w:val="20"/>
              </w:rPr>
            </w:pPr>
            <w:r>
              <w:rPr>
                <w:sz w:val="20"/>
                <w:szCs w:val="20"/>
              </w:rPr>
              <w:t>11 years</w:t>
            </w:r>
          </w:p>
        </w:tc>
        <w:tc>
          <w:tcPr>
            <w:tcW w:w="1212" w:type="dxa"/>
            <w:tcBorders>
              <w:top w:val="single" w:sz="4" w:space="0" w:color="000000" w:themeColor="text1"/>
              <w:bottom w:val="single" w:sz="4" w:space="0" w:color="auto"/>
            </w:tcBorders>
            <w:vAlign w:val="center"/>
          </w:tcPr>
          <w:p w14:paraId="11F7DB17" w14:textId="5BE04DD4" w:rsidR="008E3398" w:rsidRPr="00F6205B" w:rsidRDefault="008E3398" w:rsidP="008E3398">
            <w:pPr>
              <w:keepNext/>
              <w:keepLines/>
              <w:spacing w:after="0"/>
              <w:jc w:val="center"/>
              <w:rPr>
                <w:sz w:val="20"/>
                <w:szCs w:val="20"/>
              </w:rPr>
            </w:pPr>
            <w:r>
              <w:rPr>
                <w:sz w:val="20"/>
                <w:szCs w:val="20"/>
              </w:rPr>
              <w:t>47%</w:t>
            </w:r>
          </w:p>
        </w:tc>
        <w:tc>
          <w:tcPr>
            <w:tcW w:w="1213" w:type="dxa"/>
            <w:tcBorders>
              <w:top w:val="single" w:sz="4" w:space="0" w:color="000000" w:themeColor="text1"/>
              <w:bottom w:val="single" w:sz="4" w:space="0" w:color="000000" w:themeColor="text1"/>
              <w:right w:val="single" w:sz="4" w:space="0" w:color="000000" w:themeColor="text1"/>
            </w:tcBorders>
            <w:vAlign w:val="center"/>
          </w:tcPr>
          <w:p w14:paraId="094F2AE3" w14:textId="4CBE017B" w:rsidR="008E3398" w:rsidRPr="00F6205B" w:rsidRDefault="008E3398" w:rsidP="008E3398">
            <w:pPr>
              <w:keepNext/>
              <w:keepLines/>
              <w:spacing w:after="0"/>
              <w:ind w:left="171"/>
              <w:rPr>
                <w:sz w:val="20"/>
                <w:szCs w:val="20"/>
              </w:rPr>
            </w:pPr>
            <w:r>
              <w:rPr>
                <w:sz w:val="20"/>
                <w:szCs w:val="20"/>
              </w:rPr>
              <w:t>0.97</w:t>
            </w:r>
          </w:p>
        </w:tc>
        <w:tc>
          <w:tcPr>
            <w:tcW w:w="1213" w:type="dxa"/>
            <w:tcBorders>
              <w:top w:val="single" w:sz="4" w:space="0" w:color="000000" w:themeColor="text1"/>
              <w:bottom w:val="single" w:sz="4" w:space="0" w:color="000000" w:themeColor="text1"/>
              <w:right w:val="single" w:sz="4" w:space="0" w:color="000000" w:themeColor="text1"/>
            </w:tcBorders>
            <w:vAlign w:val="center"/>
          </w:tcPr>
          <w:p w14:paraId="3F34B690" w14:textId="0AEB5B3D" w:rsidR="008E3398" w:rsidRPr="00F6205B" w:rsidRDefault="008E3398" w:rsidP="008E3398">
            <w:pPr>
              <w:keepNext/>
              <w:keepLines/>
              <w:spacing w:after="0"/>
              <w:ind w:left="136"/>
              <w:rPr>
                <w:sz w:val="20"/>
                <w:szCs w:val="20"/>
              </w:rPr>
            </w:pPr>
            <w:r>
              <w:rPr>
                <w:sz w:val="20"/>
                <w:szCs w:val="20"/>
              </w:rPr>
              <w:t>98%</w:t>
            </w:r>
          </w:p>
        </w:tc>
        <w:tc>
          <w:tcPr>
            <w:tcW w:w="1213"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C9CAFF5" w14:textId="15DA21C8" w:rsidR="008E3398" w:rsidRPr="00F6205B" w:rsidRDefault="008E3398" w:rsidP="008E3398">
            <w:pPr>
              <w:keepNext/>
              <w:keepLines/>
              <w:spacing w:after="0"/>
              <w:ind w:left="172"/>
              <w:rPr>
                <w:sz w:val="20"/>
                <w:szCs w:val="20"/>
              </w:rPr>
            </w:pPr>
            <w:r>
              <w:rPr>
                <w:sz w:val="20"/>
                <w:szCs w:val="20"/>
              </w:rPr>
              <w:t>2.09</w:t>
            </w:r>
          </w:p>
        </w:tc>
      </w:tr>
    </w:tbl>
    <w:p w14:paraId="4E5F4774" w14:textId="6056A6B6" w:rsidR="00ED3FFA" w:rsidRDefault="00ED3FFA" w:rsidP="00ED3FFA">
      <w:pPr>
        <w:spacing w:line="280" w:lineRule="exact"/>
        <w:ind w:right="540"/>
        <w:rPr>
          <w:b/>
          <w:color w:val="0F673B"/>
          <w:szCs w:val="20"/>
        </w:rPr>
      </w:pPr>
    </w:p>
    <w:p w14:paraId="77468555" w14:textId="4A89130E" w:rsidR="00CC51F7" w:rsidRDefault="00906B8E" w:rsidP="00906B8E">
      <w:r>
        <w:t xml:space="preserve">For these appliances, the reason for the change relative to the original draft of this study stems from the use of net measure cost, rather than full replacement cost, in cost-effectiveness screening. Net measure cost accounts for the benefit of deferred equipment replacement, and is therefore smaller the older a piece of equipment is. </w:t>
      </w:r>
      <w:r w:rsidR="008E3398">
        <w:t>For units older than their expected useful lifetime, replacement cost is equal to incremental cost.</w:t>
      </w:r>
    </w:p>
    <w:p w14:paraId="07ACEDDC" w14:textId="6BCF8978" w:rsidR="003C743D" w:rsidRPr="00F6205B" w:rsidRDefault="003C743D" w:rsidP="00906B8E">
      <w:r>
        <w:t xml:space="preserve">Refrigerators, dishwashers, and clothes washers in the sample are, on average, close to the end of their respective useful lifetimes. Additionally, the incremental cost of replacement for refrigerators and dishwashers is low compared to many other measures. While electric avoided costs declined slightly in 2016 relative to the 2013 version, the switch to net measure cost instead of full replacement cost more than compensated for the decline in benefits for the appliances listed in </w:t>
      </w:r>
      <w:r>
        <w:fldChar w:fldCharType="begin"/>
      </w:r>
      <w:r>
        <w:instrText xml:space="preserve"> REF _Ref439687520 \h </w:instrText>
      </w:r>
      <w:r>
        <w:fldChar w:fldCharType="separate"/>
      </w:r>
      <w:r w:rsidR="00FA26A9">
        <w:t xml:space="preserve">Table </w:t>
      </w:r>
      <w:r w:rsidR="00FA26A9">
        <w:rPr>
          <w:noProof/>
        </w:rPr>
        <w:t>41</w:t>
      </w:r>
      <w:r>
        <w:fldChar w:fldCharType="end"/>
      </w:r>
      <w:r>
        <w:t>.</w:t>
      </w:r>
    </w:p>
    <w:p w14:paraId="38450495" w14:textId="77777777" w:rsidR="00ED3FFA" w:rsidRPr="00F6205B" w:rsidRDefault="00ED3FFA" w:rsidP="00ED3FFA">
      <w:pPr>
        <w:spacing w:line="280" w:lineRule="exact"/>
        <w:ind w:right="540"/>
        <w:rPr>
          <w:szCs w:val="20"/>
        </w:rPr>
      </w:pPr>
    </w:p>
    <w:p w14:paraId="4ACDA0FE" w14:textId="77777777" w:rsidR="00ED3FFA" w:rsidRPr="00F6205B" w:rsidRDefault="00ED3FFA" w:rsidP="00ED3FFA">
      <w:pPr>
        <w:spacing w:line="280" w:lineRule="exact"/>
        <w:ind w:right="540"/>
        <w:rPr>
          <w:szCs w:val="20"/>
        </w:rPr>
      </w:pPr>
    </w:p>
    <w:p w14:paraId="4DA61A72" w14:textId="6B4E05F0" w:rsidR="00ED3FFA" w:rsidRPr="00F6205B" w:rsidRDefault="00ED3FFA" w:rsidP="00ED3FFA">
      <w:pPr>
        <w:spacing w:line="280" w:lineRule="exact"/>
        <w:ind w:right="540"/>
        <w:rPr>
          <w:szCs w:val="20"/>
        </w:rPr>
      </w:pPr>
    </w:p>
    <w:p w14:paraId="78517003" w14:textId="77777777" w:rsidR="00ED3FFA" w:rsidRPr="00F6205B" w:rsidRDefault="00ED3FFA" w:rsidP="00ED3FFA">
      <w:pPr>
        <w:spacing w:line="280" w:lineRule="exact"/>
        <w:ind w:right="540"/>
        <w:rPr>
          <w:szCs w:val="20"/>
        </w:rPr>
      </w:pPr>
      <w:r w:rsidRPr="00F6205B">
        <w:rPr>
          <w:szCs w:val="20"/>
        </w:rPr>
        <w:t xml:space="preserve">  </w:t>
      </w:r>
    </w:p>
    <w:p w14:paraId="674312CE" w14:textId="77777777" w:rsidR="005C5258" w:rsidRPr="00F6205B" w:rsidRDefault="005C5258" w:rsidP="00B22725">
      <w:pPr>
        <w:ind w:right="540"/>
        <w:rPr>
          <w:color w:val="0F673B"/>
          <w:sz w:val="36"/>
          <w:szCs w:val="36"/>
        </w:rPr>
        <w:sectPr w:rsidR="005C5258" w:rsidRPr="00F6205B" w:rsidSect="007C5BAD">
          <w:headerReference w:type="default" r:id="rId77"/>
          <w:footerReference w:type="default" r:id="rId78"/>
          <w:pgSz w:w="12240" w:h="15840"/>
          <w:pgMar w:top="1440" w:right="1872" w:bottom="1440" w:left="1440" w:header="0" w:footer="0" w:gutter="0"/>
          <w:pgNumType w:start="1"/>
          <w:cols w:space="720"/>
          <w:docGrid w:linePitch="272"/>
        </w:sectPr>
      </w:pPr>
      <w:bookmarkStart w:id="484" w:name="AppendixB"/>
    </w:p>
    <w:bookmarkStart w:id="485" w:name="_Ref439690252"/>
    <w:bookmarkStart w:id="486" w:name="_Toc439939420"/>
    <w:p w14:paraId="13356273" w14:textId="34F8147D" w:rsidR="00ED3FFA" w:rsidRPr="00F6205B" w:rsidRDefault="00D778B5" w:rsidP="00E537F3">
      <w:pPr>
        <w:pStyle w:val="ApHeading1"/>
        <w:rPr>
          <w:rFonts w:hint="eastAsia"/>
        </w:rPr>
      </w:pPr>
      <w:r w:rsidRPr="00F6205B">
        <w:rPr>
          <w:rFonts w:hint="eastAsia"/>
          <w:noProof/>
        </w:rPr>
        <w:lastRenderedPageBreak/>
        <mc:AlternateContent>
          <mc:Choice Requires="wps">
            <w:drawing>
              <wp:anchor distT="0" distB="0" distL="114300" distR="114300" simplePos="0" relativeHeight="251636736" behindDoc="0" locked="0" layoutInCell="1" allowOverlap="1" wp14:anchorId="5AFE1FE1" wp14:editId="3BAD8C48">
                <wp:simplePos x="0" y="0"/>
                <wp:positionH relativeFrom="column">
                  <wp:posOffset>-165100</wp:posOffset>
                </wp:positionH>
                <wp:positionV relativeFrom="paragraph">
                  <wp:posOffset>97790</wp:posOffset>
                </wp:positionV>
                <wp:extent cx="1143000" cy="114300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C966939" w14:textId="77777777" w:rsidR="009027EC" w:rsidRPr="00691F20" w:rsidRDefault="009027EC" w:rsidP="007D72BD">
                            <w:pPr>
                              <w:spacing w:after="0"/>
                              <w:jc w:val="center"/>
                              <w:rPr>
                                <w:b/>
                                <w:color w:val="FFFFFF" w:themeColor="background1"/>
                                <w:sz w:val="134"/>
                                <w:szCs w:val="134"/>
                              </w:rPr>
                            </w:pPr>
                            <w:r w:rsidRPr="00691F20">
                              <w:rPr>
                                <w:b/>
                                <w:color w:val="FFFFFF" w:themeColor="background1"/>
                                <w:sz w:val="134"/>
                                <w:szCs w:val="13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AFE1FE1" id="Text Box 10" o:spid="_x0000_s1036" type="#_x0000_t202" style="position:absolute;left:0;text-align:left;margin-left:-13pt;margin-top:7.7pt;width:90pt;height:90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dv2xAIAAPAFAAAOAAAAZHJzL2Uyb0RvYy54bWysVFtP2zAUfp+0/2D5vSQp5VaRolDUaVIF&#10;aDDx7Dp2G+H4eLbbpkP77zt2klLYXpj2ktg+37l953J51dSKbIR1FeicZkcpJUJzKCu9zOn3x9ng&#10;nBLnmS6ZAi1yuhOOXk0+f7rcmrEYwgpUKSxBI9qNtyanK+/NOEkcX4mauSMwQqNQgq2Zx6tdJqVl&#10;W7Req2SYpqfJFmxpLHDhHL7etEI6ifalFNzfSemEJyqnGJuPXxu/i/BNJpdsvLTMrCrehcH+IYqa&#10;VRqd7k3dMM/I2lZ/mKorbsGB9Ecc6gSkrLiIOWA2Wfoum4cVMyLmguQ4s6fJ/T+z/HZzb0lVYu2Q&#10;Hs1qrNGjaDy5hobgE/KzNW6MsAeDQN/gO2Jjrs7MgT87hCQHmFbBITrw0Uhbhz9mSlARfez2tAc3&#10;PFjLRsdpiiKOsv4SrL6qG+v8FwE1CYecWqxrDIFt5s630B4SvDlQVTmrlIoXu1xMlSUbFnpgdnp2&#10;fB3SQutvYEoHsIag1orbFxG7qHXDxhgzHgMyRB8r/DI9ORsWZycXg9PiJBuMsvR8UBTpcHAzK9Ii&#10;Hc2mF6PrX53LXj8y1pIUuHN+p0SwqvQ3IbEekasYfZgEsY+fcS60zzprER1QEoP+iGKHj3nE/D6i&#10;3DKCGtEzaL9XrisNtu2Nt2GXz33IssV3PdPlHSjwzaLpGxH5D08LKHfYdBbasXWGzyqs/5w5f88s&#10;zin2DO4ef4cfqWCbU+hOlKzA/vzbe8Dj+KCUki3OfU7djzWzghL1VeNgXWSjEZr18TLCyuLFHkoW&#10;hxK9rqeAbZXhljM8HgPeq/4oLdRPuKKK4BVFTHP0nVPfH6e+3Ua44rgoigjC1WCYn+sHw/tZC939&#10;2Dwxa7oR8NhJt9BvCDZ+NwktNhRIQ7H2IKs4Jq+sdgXAtRJHoVuBYW8d3iPqdVFPfgMAAP//AwBQ&#10;SwMEFAAGAAgAAAAhAOnxeDbdAAAACgEAAA8AAABkcnMvZG93bnJldi54bWxMT01PAjEQvZv4H5ox&#10;8QZdyIKwbJcYEzQeRWPgVrbj7sbtdG0L1H/vcMLbvI+8ea9cJ9uLE/rQOVIwGWcgkGpnOmoUfLxv&#10;RgsQIWoyuneECn4xwLq6vSl1YdyZ3vC0jY3gEAqFVtDGOBRShrpFq8PYDUisfTlvdWToG2m8PnO4&#10;7eU0y+bS6o74Q6sHfGqx/t4erYKUyD8M+5/XRf4iJ2G3/Nzs4rNS93fpcQUiYopXM1zqc3WouNPB&#10;HckE0SsYTee8JbIwy0FcDLOciQMfS2ZkVcr/E6o/AAAA//8DAFBLAQItABQABgAIAAAAIQC2gziS&#10;/gAAAOEBAAATAAAAAAAAAAAAAAAAAAAAAABbQ29udGVudF9UeXBlc10ueG1sUEsBAi0AFAAGAAgA&#10;AAAhADj9If/WAAAAlAEAAAsAAAAAAAAAAAAAAAAALwEAAF9yZWxzLy5yZWxzUEsBAi0AFAAGAAgA&#10;AAAhABu52/bEAgAA8AUAAA4AAAAAAAAAAAAAAAAALgIAAGRycy9lMm9Eb2MueG1sUEsBAi0AFAAG&#10;AAgAAAAhAOnxeDbdAAAACgEAAA8AAAAAAAAAAAAAAAAAHgUAAGRycy9kb3ducmV2LnhtbFBLBQYA&#10;AAAABAAEAPMAAAAoBgAAAAA=&#10;" fillcolor="#0f673b" stroked="f">
                <v:path arrowok="t"/>
                <v:textbox>
                  <w:txbxContent>
                    <w:p w14:paraId="6C966939" w14:textId="77777777" w:rsidR="009027EC" w:rsidRPr="00691F20" w:rsidRDefault="009027EC" w:rsidP="007D72BD">
                      <w:pPr>
                        <w:spacing w:after="0"/>
                        <w:jc w:val="center"/>
                        <w:rPr>
                          <w:b/>
                          <w:color w:val="FFFFFF" w:themeColor="background1"/>
                          <w:sz w:val="134"/>
                          <w:szCs w:val="134"/>
                        </w:rPr>
                      </w:pPr>
                      <w:r w:rsidRPr="00691F20">
                        <w:rPr>
                          <w:b/>
                          <w:color w:val="FFFFFF" w:themeColor="background1"/>
                          <w:sz w:val="134"/>
                          <w:szCs w:val="134"/>
                        </w:rPr>
                        <w:t>B</w:t>
                      </w:r>
                    </w:p>
                  </w:txbxContent>
                </v:textbox>
                <w10:wrap type="square"/>
              </v:shape>
            </w:pict>
          </mc:Fallback>
        </mc:AlternateContent>
      </w:r>
      <w:bookmarkEnd w:id="484"/>
      <w:r w:rsidR="00991670">
        <w:t>Potential Upgrade Measures</w:t>
      </w:r>
      <w:bookmarkEnd w:id="485"/>
      <w:bookmarkEnd w:id="486"/>
    </w:p>
    <w:p w14:paraId="020E81B0" w14:textId="43414654" w:rsidR="008E6DDE" w:rsidRDefault="00991670" w:rsidP="00FA1926">
      <w:r>
        <w:t>This appendix contains tables detailing the 43 measure upgrades which were considered as part of this study.</w:t>
      </w:r>
    </w:p>
    <w:p w14:paraId="3A33E65F" w14:textId="70E19A1D" w:rsidR="00991670" w:rsidRDefault="00991670" w:rsidP="00FA1926"/>
    <w:p w14:paraId="0E036DFC" w14:textId="341DD9A0" w:rsidR="00991670" w:rsidRPr="00F6205B" w:rsidRDefault="00FE6F97" w:rsidP="00FE6F97">
      <w:pPr>
        <w:pStyle w:val="Caption"/>
      </w:pPr>
      <w:bookmarkStart w:id="487" w:name="_Toc439931873"/>
      <w:r>
        <w:t xml:space="preserve">Table </w:t>
      </w:r>
      <w:fldSimple w:instr=" SEQ Table \* ARABIC ">
        <w:r w:rsidR="00FA26A9">
          <w:rPr>
            <w:noProof/>
          </w:rPr>
          <w:t>42</w:t>
        </w:r>
      </w:fldSimple>
      <w:r>
        <w:t>: Building Shell Measure Upgrades</w:t>
      </w:r>
      <w:bookmarkEnd w:id="487"/>
    </w:p>
    <w:tbl>
      <w:tblPr>
        <w:tblStyle w:val="TableGrid"/>
        <w:tblW w:w="10287"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3282"/>
        <w:gridCol w:w="1290"/>
        <w:gridCol w:w="5715"/>
      </w:tblGrid>
      <w:tr w:rsidR="00FE6F97" w:rsidRPr="00F6205B" w14:paraId="72181DEA" w14:textId="77777777" w:rsidTr="005E17EB">
        <w:trPr>
          <w:trHeight w:val="288"/>
          <w:jc w:val="center"/>
        </w:trPr>
        <w:tc>
          <w:tcPr>
            <w:tcW w:w="3282" w:type="dxa"/>
            <w:tcBorders>
              <w:top w:val="single" w:sz="4" w:space="0" w:color="auto"/>
              <w:left w:val="single" w:sz="4" w:space="0" w:color="auto"/>
              <w:bottom w:val="single" w:sz="4" w:space="0" w:color="000000" w:themeColor="text1"/>
              <w:right w:val="single" w:sz="4" w:space="0" w:color="auto"/>
            </w:tcBorders>
            <w:shd w:val="clear" w:color="auto" w:fill="0B4D2C" w:themeFill="background2" w:themeFillShade="BF"/>
            <w:vAlign w:val="center"/>
          </w:tcPr>
          <w:p w14:paraId="616D6DAA" w14:textId="53B57899" w:rsidR="00FE6F97" w:rsidRPr="00F6205B" w:rsidRDefault="005E17EB" w:rsidP="005E17EB">
            <w:pPr>
              <w:keepNext/>
              <w:keepLines/>
              <w:spacing w:after="0"/>
              <w:rPr>
                <w:b/>
                <w:sz w:val="20"/>
                <w:szCs w:val="20"/>
              </w:rPr>
            </w:pPr>
            <w:r>
              <w:rPr>
                <w:b/>
                <w:sz w:val="20"/>
                <w:szCs w:val="20"/>
              </w:rPr>
              <w:t>Measure</w:t>
            </w:r>
          </w:p>
        </w:tc>
        <w:tc>
          <w:tcPr>
            <w:tcW w:w="1290" w:type="dxa"/>
            <w:tcBorders>
              <w:top w:val="single" w:sz="4" w:space="0" w:color="auto"/>
              <w:bottom w:val="single" w:sz="4" w:space="0" w:color="000000" w:themeColor="text1"/>
              <w:right w:val="single" w:sz="4" w:space="0" w:color="auto"/>
            </w:tcBorders>
            <w:shd w:val="clear" w:color="auto" w:fill="0B4D2C" w:themeFill="background2" w:themeFillShade="BF"/>
            <w:vAlign w:val="center"/>
          </w:tcPr>
          <w:p w14:paraId="4917FDF4" w14:textId="1612F838" w:rsidR="00FE6F97" w:rsidRPr="00F6205B" w:rsidRDefault="005E17EB" w:rsidP="00AD4AA9">
            <w:pPr>
              <w:keepNext/>
              <w:keepLines/>
              <w:spacing w:after="0"/>
              <w:jc w:val="center"/>
              <w:rPr>
                <w:b/>
                <w:sz w:val="20"/>
                <w:szCs w:val="20"/>
              </w:rPr>
            </w:pPr>
            <w:r>
              <w:rPr>
                <w:b/>
                <w:sz w:val="20"/>
                <w:szCs w:val="20"/>
              </w:rPr>
              <w:t>Applicable Sites</w:t>
            </w:r>
          </w:p>
        </w:tc>
        <w:tc>
          <w:tcPr>
            <w:tcW w:w="5715" w:type="dxa"/>
            <w:tcBorders>
              <w:top w:val="single" w:sz="4" w:space="0" w:color="auto"/>
              <w:bottom w:val="single" w:sz="4" w:space="0" w:color="000000" w:themeColor="text1"/>
              <w:right w:val="single" w:sz="4" w:space="0" w:color="auto"/>
            </w:tcBorders>
            <w:shd w:val="clear" w:color="auto" w:fill="0B4D2C" w:themeFill="background2" w:themeFillShade="BF"/>
            <w:vAlign w:val="center"/>
          </w:tcPr>
          <w:p w14:paraId="6F8C3D49" w14:textId="447CC3E6" w:rsidR="00FE6F97" w:rsidRPr="00F6205B" w:rsidRDefault="005E17EB" w:rsidP="00AD4AA9">
            <w:pPr>
              <w:keepNext/>
              <w:keepLines/>
              <w:spacing w:after="0"/>
              <w:jc w:val="center"/>
              <w:rPr>
                <w:b/>
                <w:sz w:val="20"/>
                <w:szCs w:val="20"/>
              </w:rPr>
            </w:pPr>
            <w:r>
              <w:rPr>
                <w:b/>
                <w:sz w:val="20"/>
                <w:szCs w:val="20"/>
              </w:rPr>
              <w:t>Upgrade</w:t>
            </w:r>
          </w:p>
        </w:tc>
      </w:tr>
      <w:tr w:rsidR="005E17EB" w:rsidRPr="00F6205B" w14:paraId="78971D1D" w14:textId="77777777" w:rsidTr="005E17EB">
        <w:trPr>
          <w:trHeight w:val="288"/>
          <w:jc w:val="center"/>
        </w:trPr>
        <w:tc>
          <w:tcPr>
            <w:tcW w:w="3282" w:type="dxa"/>
            <w:tcBorders>
              <w:top w:val="single" w:sz="4" w:space="0" w:color="auto"/>
              <w:left w:val="single" w:sz="4" w:space="0" w:color="auto"/>
              <w:bottom w:val="single" w:sz="4" w:space="0" w:color="000000" w:themeColor="text1"/>
              <w:right w:val="single" w:sz="4" w:space="0" w:color="000000" w:themeColor="text1"/>
            </w:tcBorders>
            <w:vAlign w:val="center"/>
          </w:tcPr>
          <w:p w14:paraId="25A2E051" w14:textId="77D20D02" w:rsidR="005E17EB" w:rsidRPr="00F6205B" w:rsidRDefault="005E17EB" w:rsidP="005E17EB">
            <w:pPr>
              <w:keepNext/>
              <w:keepLines/>
              <w:spacing w:after="0"/>
              <w:rPr>
                <w:sz w:val="20"/>
                <w:szCs w:val="20"/>
              </w:rPr>
            </w:pPr>
            <w:r>
              <w:rPr>
                <w:sz w:val="20"/>
                <w:szCs w:val="20"/>
              </w:rPr>
              <w:t>Add flat attic insulation</w:t>
            </w:r>
          </w:p>
        </w:tc>
        <w:tc>
          <w:tcPr>
            <w:tcW w:w="1290" w:type="dxa"/>
            <w:tcBorders>
              <w:top w:val="single" w:sz="4" w:space="0" w:color="auto"/>
              <w:bottom w:val="single" w:sz="4" w:space="0" w:color="000000" w:themeColor="text1"/>
            </w:tcBorders>
            <w:vAlign w:val="center"/>
          </w:tcPr>
          <w:p w14:paraId="1165D4A2" w14:textId="328D8B7C" w:rsidR="005E17EB" w:rsidRPr="00F6205B" w:rsidRDefault="005E17EB" w:rsidP="005E17EB">
            <w:pPr>
              <w:keepNext/>
              <w:keepLines/>
              <w:spacing w:after="0"/>
              <w:jc w:val="center"/>
              <w:rPr>
                <w:sz w:val="20"/>
                <w:szCs w:val="20"/>
              </w:rPr>
            </w:pPr>
            <w:r>
              <w:rPr>
                <w:sz w:val="20"/>
                <w:szCs w:val="20"/>
              </w:rPr>
              <w:t>166</w:t>
            </w:r>
          </w:p>
        </w:tc>
        <w:tc>
          <w:tcPr>
            <w:tcW w:w="571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A9B0839" w14:textId="53490404" w:rsidR="005E17EB" w:rsidRPr="00F6205B" w:rsidRDefault="005E17EB" w:rsidP="005E17EB">
            <w:pPr>
              <w:keepNext/>
              <w:keepLines/>
              <w:spacing w:after="0"/>
              <w:rPr>
                <w:sz w:val="20"/>
                <w:szCs w:val="20"/>
              </w:rPr>
            </w:pPr>
            <w:r>
              <w:rPr>
                <w:sz w:val="20"/>
                <w:szCs w:val="20"/>
              </w:rPr>
              <w:t>R-38, grade I</w:t>
            </w:r>
          </w:p>
        </w:tc>
      </w:tr>
      <w:tr w:rsidR="005E17EB" w:rsidRPr="00F6205B" w14:paraId="77CF18EC" w14:textId="77777777" w:rsidTr="005E17EB">
        <w:trPr>
          <w:trHeight w:val="288"/>
          <w:jc w:val="center"/>
        </w:trPr>
        <w:tc>
          <w:tcPr>
            <w:tcW w:w="3282" w:type="dxa"/>
            <w:tcBorders>
              <w:top w:val="single" w:sz="4" w:space="0" w:color="auto"/>
              <w:left w:val="single" w:sz="4" w:space="0" w:color="auto"/>
              <w:bottom w:val="single" w:sz="4" w:space="0" w:color="000000" w:themeColor="text1"/>
              <w:right w:val="single" w:sz="4" w:space="0" w:color="000000" w:themeColor="text1"/>
            </w:tcBorders>
            <w:vAlign w:val="center"/>
          </w:tcPr>
          <w:p w14:paraId="6066F184" w14:textId="3BC787FE" w:rsidR="005E17EB" w:rsidRPr="00F6205B" w:rsidRDefault="005E17EB" w:rsidP="005E17EB">
            <w:pPr>
              <w:keepNext/>
              <w:keepLines/>
              <w:spacing w:after="0"/>
              <w:rPr>
                <w:sz w:val="20"/>
                <w:szCs w:val="20"/>
              </w:rPr>
            </w:pPr>
            <w:r w:rsidRPr="003F2F7C">
              <w:rPr>
                <w:sz w:val="20"/>
                <w:szCs w:val="20"/>
              </w:rPr>
              <w:t>Add vaulted ceiling insulation</w:t>
            </w:r>
          </w:p>
        </w:tc>
        <w:tc>
          <w:tcPr>
            <w:tcW w:w="1290" w:type="dxa"/>
            <w:tcBorders>
              <w:top w:val="single" w:sz="4" w:space="0" w:color="auto"/>
              <w:bottom w:val="single" w:sz="4" w:space="0" w:color="000000" w:themeColor="text1"/>
            </w:tcBorders>
            <w:vAlign w:val="center"/>
          </w:tcPr>
          <w:p w14:paraId="684C3CBA" w14:textId="1DEF5DC0" w:rsidR="005E17EB" w:rsidRPr="00F6205B" w:rsidRDefault="005E17EB" w:rsidP="005E17EB">
            <w:pPr>
              <w:keepNext/>
              <w:keepLines/>
              <w:spacing w:after="0"/>
              <w:jc w:val="center"/>
              <w:rPr>
                <w:sz w:val="20"/>
                <w:szCs w:val="20"/>
              </w:rPr>
            </w:pPr>
            <w:r>
              <w:rPr>
                <w:sz w:val="20"/>
                <w:szCs w:val="20"/>
              </w:rPr>
              <w:t>75</w:t>
            </w:r>
          </w:p>
        </w:tc>
        <w:tc>
          <w:tcPr>
            <w:tcW w:w="571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FC29B5D" w14:textId="332BEC2A" w:rsidR="005E17EB" w:rsidRPr="00F6205B" w:rsidRDefault="005E17EB" w:rsidP="005E17EB">
            <w:pPr>
              <w:keepNext/>
              <w:keepLines/>
              <w:spacing w:after="0"/>
              <w:rPr>
                <w:sz w:val="20"/>
                <w:szCs w:val="20"/>
              </w:rPr>
            </w:pPr>
            <w:r>
              <w:rPr>
                <w:sz w:val="20"/>
                <w:szCs w:val="20"/>
              </w:rPr>
              <w:t>R-38, grade II or maximum achievable by framing</w:t>
            </w:r>
          </w:p>
        </w:tc>
      </w:tr>
      <w:tr w:rsidR="005E17EB" w:rsidRPr="00F6205B" w14:paraId="65D8F7AA" w14:textId="77777777" w:rsidTr="005E17EB">
        <w:trPr>
          <w:trHeight w:val="288"/>
          <w:jc w:val="center"/>
        </w:trPr>
        <w:tc>
          <w:tcPr>
            <w:tcW w:w="3282"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47B2E14" w14:textId="70B8EDB1" w:rsidR="005E17EB" w:rsidRPr="00F6205B" w:rsidRDefault="005E17EB" w:rsidP="005E17EB">
            <w:pPr>
              <w:keepNext/>
              <w:keepLines/>
              <w:spacing w:after="0"/>
              <w:rPr>
                <w:sz w:val="20"/>
                <w:szCs w:val="20"/>
              </w:rPr>
            </w:pPr>
            <w:r w:rsidRPr="003F2F7C">
              <w:rPr>
                <w:sz w:val="20"/>
                <w:szCs w:val="20"/>
              </w:rPr>
              <w:t>Add above grade wall insulation</w:t>
            </w:r>
          </w:p>
        </w:tc>
        <w:tc>
          <w:tcPr>
            <w:tcW w:w="1290" w:type="dxa"/>
            <w:tcBorders>
              <w:top w:val="single" w:sz="4" w:space="0" w:color="000000" w:themeColor="text1"/>
              <w:bottom w:val="single" w:sz="4" w:space="0" w:color="000000" w:themeColor="text1"/>
            </w:tcBorders>
            <w:vAlign w:val="center"/>
          </w:tcPr>
          <w:p w14:paraId="75B8024F" w14:textId="02EC4DC5" w:rsidR="005E17EB" w:rsidRPr="00F6205B" w:rsidRDefault="005E17EB" w:rsidP="005E17EB">
            <w:pPr>
              <w:keepNext/>
              <w:keepLines/>
              <w:spacing w:after="0"/>
              <w:jc w:val="center"/>
              <w:rPr>
                <w:sz w:val="20"/>
                <w:szCs w:val="20"/>
              </w:rPr>
            </w:pPr>
            <w:r>
              <w:rPr>
                <w:sz w:val="20"/>
                <w:szCs w:val="20"/>
              </w:rPr>
              <w:t>165</w:t>
            </w:r>
          </w:p>
        </w:tc>
        <w:tc>
          <w:tcPr>
            <w:tcW w:w="571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F3D830B" w14:textId="370FD183" w:rsidR="005E17EB" w:rsidRPr="00F6205B" w:rsidRDefault="005E17EB" w:rsidP="005E17EB">
            <w:pPr>
              <w:keepNext/>
              <w:keepLines/>
              <w:spacing w:after="0"/>
              <w:rPr>
                <w:sz w:val="20"/>
                <w:szCs w:val="20"/>
              </w:rPr>
            </w:pPr>
            <w:r>
              <w:rPr>
                <w:sz w:val="20"/>
                <w:szCs w:val="20"/>
              </w:rPr>
              <w:t>R-20, grade II or maximum achievable by framing</w:t>
            </w:r>
          </w:p>
        </w:tc>
      </w:tr>
      <w:tr w:rsidR="005E17EB" w:rsidRPr="00F6205B" w14:paraId="640CC2C2" w14:textId="77777777" w:rsidTr="005E17EB">
        <w:trPr>
          <w:trHeight w:val="288"/>
          <w:jc w:val="center"/>
        </w:trPr>
        <w:tc>
          <w:tcPr>
            <w:tcW w:w="3282"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8616662" w14:textId="01839804" w:rsidR="005E17EB" w:rsidRPr="00F6205B" w:rsidRDefault="005E17EB" w:rsidP="005E17EB">
            <w:pPr>
              <w:keepNext/>
              <w:keepLines/>
              <w:spacing w:after="0"/>
              <w:rPr>
                <w:sz w:val="20"/>
                <w:szCs w:val="20"/>
              </w:rPr>
            </w:pPr>
            <w:r w:rsidRPr="003F2F7C">
              <w:rPr>
                <w:sz w:val="20"/>
                <w:szCs w:val="20"/>
              </w:rPr>
              <w:t>Add foundation wall insulation</w:t>
            </w:r>
          </w:p>
        </w:tc>
        <w:tc>
          <w:tcPr>
            <w:tcW w:w="1290" w:type="dxa"/>
            <w:tcBorders>
              <w:top w:val="single" w:sz="4" w:space="0" w:color="000000" w:themeColor="text1"/>
              <w:bottom w:val="single" w:sz="4" w:space="0" w:color="000000" w:themeColor="text1"/>
            </w:tcBorders>
            <w:vAlign w:val="center"/>
          </w:tcPr>
          <w:p w14:paraId="2F2213E8" w14:textId="3E7028D4" w:rsidR="005E17EB" w:rsidRPr="00F6205B" w:rsidRDefault="005E17EB" w:rsidP="005E17EB">
            <w:pPr>
              <w:keepNext/>
              <w:keepLines/>
              <w:spacing w:after="0"/>
              <w:jc w:val="center"/>
              <w:rPr>
                <w:sz w:val="20"/>
                <w:szCs w:val="20"/>
              </w:rPr>
            </w:pPr>
            <w:r>
              <w:rPr>
                <w:sz w:val="20"/>
                <w:szCs w:val="20"/>
              </w:rPr>
              <w:t>91</w:t>
            </w:r>
          </w:p>
        </w:tc>
        <w:tc>
          <w:tcPr>
            <w:tcW w:w="571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962881E" w14:textId="74E568A7" w:rsidR="005E17EB" w:rsidRPr="00F6205B" w:rsidRDefault="005E17EB" w:rsidP="005E17EB">
            <w:pPr>
              <w:keepNext/>
              <w:keepLines/>
              <w:spacing w:after="0"/>
              <w:rPr>
                <w:sz w:val="20"/>
                <w:szCs w:val="20"/>
              </w:rPr>
            </w:pPr>
            <w:r>
              <w:rPr>
                <w:sz w:val="20"/>
                <w:szCs w:val="20"/>
              </w:rPr>
              <w:t>R-13, grade II cavity insulation</w:t>
            </w:r>
          </w:p>
        </w:tc>
      </w:tr>
      <w:tr w:rsidR="005E17EB" w:rsidRPr="00F6205B" w14:paraId="755318C3" w14:textId="77777777" w:rsidTr="005E17EB">
        <w:trPr>
          <w:trHeight w:val="288"/>
          <w:jc w:val="center"/>
        </w:trPr>
        <w:tc>
          <w:tcPr>
            <w:tcW w:w="3282" w:type="dxa"/>
            <w:tcBorders>
              <w:top w:val="single" w:sz="4" w:space="0" w:color="000000" w:themeColor="text1"/>
              <w:left w:val="single" w:sz="4" w:space="0" w:color="auto"/>
              <w:bottom w:val="single" w:sz="4" w:space="0" w:color="auto"/>
              <w:right w:val="single" w:sz="4" w:space="0" w:color="000000" w:themeColor="text1"/>
            </w:tcBorders>
            <w:vAlign w:val="center"/>
          </w:tcPr>
          <w:p w14:paraId="6D939550" w14:textId="306B768B" w:rsidR="005E17EB" w:rsidRPr="00F6205B" w:rsidRDefault="005E17EB" w:rsidP="005E17EB">
            <w:pPr>
              <w:keepNext/>
              <w:keepLines/>
              <w:spacing w:after="0"/>
              <w:rPr>
                <w:sz w:val="20"/>
                <w:szCs w:val="20"/>
              </w:rPr>
            </w:pPr>
            <w:r w:rsidRPr="003F2F7C">
              <w:rPr>
                <w:sz w:val="20"/>
                <w:szCs w:val="20"/>
              </w:rPr>
              <w:t>Add rim joist insulation</w:t>
            </w:r>
          </w:p>
        </w:tc>
        <w:tc>
          <w:tcPr>
            <w:tcW w:w="1290" w:type="dxa"/>
            <w:tcBorders>
              <w:top w:val="single" w:sz="4" w:space="0" w:color="000000" w:themeColor="text1"/>
              <w:bottom w:val="single" w:sz="4" w:space="0" w:color="auto"/>
            </w:tcBorders>
            <w:vAlign w:val="center"/>
          </w:tcPr>
          <w:p w14:paraId="51606B09" w14:textId="6FDB1193" w:rsidR="005E17EB" w:rsidRPr="00F6205B" w:rsidRDefault="005E17EB" w:rsidP="005E17EB">
            <w:pPr>
              <w:keepNext/>
              <w:keepLines/>
              <w:spacing w:after="0"/>
              <w:jc w:val="center"/>
              <w:rPr>
                <w:sz w:val="20"/>
                <w:szCs w:val="20"/>
              </w:rPr>
            </w:pPr>
            <w:r>
              <w:rPr>
                <w:sz w:val="20"/>
                <w:szCs w:val="20"/>
              </w:rPr>
              <w:t>109</w:t>
            </w:r>
          </w:p>
        </w:tc>
        <w:tc>
          <w:tcPr>
            <w:tcW w:w="571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AF71E52" w14:textId="1FECB53F" w:rsidR="005E17EB" w:rsidRPr="00F6205B" w:rsidRDefault="005E17EB" w:rsidP="005E17EB">
            <w:pPr>
              <w:keepNext/>
              <w:keepLines/>
              <w:spacing w:after="0"/>
              <w:rPr>
                <w:sz w:val="20"/>
                <w:szCs w:val="20"/>
              </w:rPr>
            </w:pPr>
            <w:r>
              <w:rPr>
                <w:sz w:val="20"/>
                <w:szCs w:val="20"/>
              </w:rPr>
              <w:t>R-20, grade II</w:t>
            </w:r>
          </w:p>
        </w:tc>
      </w:tr>
      <w:tr w:rsidR="005E17EB" w:rsidRPr="00F6205B" w14:paraId="1ECE6AEB" w14:textId="77777777" w:rsidTr="005E17EB">
        <w:trPr>
          <w:trHeight w:val="288"/>
          <w:jc w:val="center"/>
        </w:trPr>
        <w:tc>
          <w:tcPr>
            <w:tcW w:w="3282" w:type="dxa"/>
            <w:tcBorders>
              <w:top w:val="single" w:sz="4" w:space="0" w:color="auto"/>
              <w:left w:val="single" w:sz="4" w:space="0" w:color="auto"/>
              <w:bottom w:val="single" w:sz="4" w:space="0" w:color="000000" w:themeColor="text1"/>
              <w:right w:val="single" w:sz="4" w:space="0" w:color="000000" w:themeColor="text1"/>
            </w:tcBorders>
            <w:vAlign w:val="center"/>
          </w:tcPr>
          <w:p w14:paraId="1B1B9CC6" w14:textId="25AF88F7" w:rsidR="005E17EB" w:rsidRPr="00F6205B" w:rsidRDefault="005E17EB" w:rsidP="005E17EB">
            <w:pPr>
              <w:keepNext/>
              <w:keepLines/>
              <w:spacing w:after="0"/>
              <w:rPr>
                <w:sz w:val="20"/>
                <w:szCs w:val="20"/>
              </w:rPr>
            </w:pPr>
            <w:r w:rsidRPr="003F2F7C">
              <w:rPr>
                <w:sz w:val="20"/>
                <w:szCs w:val="20"/>
              </w:rPr>
              <w:t>Add frame floor insulation</w:t>
            </w:r>
          </w:p>
        </w:tc>
        <w:tc>
          <w:tcPr>
            <w:tcW w:w="1290" w:type="dxa"/>
            <w:tcBorders>
              <w:top w:val="single" w:sz="4" w:space="0" w:color="auto"/>
              <w:bottom w:val="single" w:sz="4" w:space="0" w:color="000000" w:themeColor="text1"/>
            </w:tcBorders>
            <w:vAlign w:val="center"/>
          </w:tcPr>
          <w:p w14:paraId="52CD8271" w14:textId="423E2CF6" w:rsidR="005E17EB" w:rsidRPr="00F6205B" w:rsidRDefault="005E17EB" w:rsidP="005E17EB">
            <w:pPr>
              <w:keepNext/>
              <w:keepLines/>
              <w:spacing w:after="0"/>
              <w:jc w:val="center"/>
              <w:rPr>
                <w:sz w:val="20"/>
                <w:szCs w:val="20"/>
              </w:rPr>
            </w:pPr>
            <w:r>
              <w:rPr>
                <w:sz w:val="20"/>
                <w:szCs w:val="20"/>
              </w:rPr>
              <w:t>161</w:t>
            </w:r>
          </w:p>
        </w:tc>
        <w:tc>
          <w:tcPr>
            <w:tcW w:w="571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1121C24" w14:textId="56F1FEFD" w:rsidR="005E17EB" w:rsidRPr="00F6205B" w:rsidRDefault="005E17EB" w:rsidP="005E17EB">
            <w:pPr>
              <w:keepNext/>
              <w:keepLines/>
              <w:spacing w:after="0"/>
              <w:rPr>
                <w:sz w:val="20"/>
                <w:szCs w:val="20"/>
              </w:rPr>
            </w:pPr>
            <w:r>
              <w:rPr>
                <w:sz w:val="20"/>
                <w:szCs w:val="20"/>
              </w:rPr>
              <w:t>R-30, grade II or maximum achievable by framing</w:t>
            </w:r>
          </w:p>
        </w:tc>
      </w:tr>
      <w:tr w:rsidR="005E17EB" w:rsidRPr="00F6205B" w14:paraId="383DB966" w14:textId="77777777" w:rsidTr="005E17EB">
        <w:trPr>
          <w:trHeight w:val="288"/>
          <w:jc w:val="center"/>
        </w:trPr>
        <w:tc>
          <w:tcPr>
            <w:tcW w:w="3282"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72AFE63" w14:textId="5A26423C" w:rsidR="005E17EB" w:rsidRPr="00F6205B" w:rsidRDefault="005E17EB" w:rsidP="005E17EB">
            <w:pPr>
              <w:keepNext/>
              <w:keepLines/>
              <w:spacing w:after="0"/>
              <w:rPr>
                <w:sz w:val="20"/>
                <w:szCs w:val="20"/>
              </w:rPr>
            </w:pPr>
            <w:r w:rsidRPr="003F2F7C">
              <w:rPr>
                <w:sz w:val="20"/>
                <w:szCs w:val="20"/>
              </w:rPr>
              <w:t>Reduce air infiltration</w:t>
            </w:r>
          </w:p>
        </w:tc>
        <w:tc>
          <w:tcPr>
            <w:tcW w:w="1290" w:type="dxa"/>
            <w:tcBorders>
              <w:top w:val="single" w:sz="4" w:space="0" w:color="000000" w:themeColor="text1"/>
              <w:bottom w:val="single" w:sz="4" w:space="0" w:color="000000" w:themeColor="text1"/>
            </w:tcBorders>
            <w:vAlign w:val="center"/>
          </w:tcPr>
          <w:p w14:paraId="2EC1056D" w14:textId="664FBD3F" w:rsidR="005E17EB" w:rsidRPr="00F6205B" w:rsidRDefault="005E17EB" w:rsidP="005E17EB">
            <w:pPr>
              <w:keepNext/>
              <w:keepLines/>
              <w:spacing w:after="0"/>
              <w:jc w:val="center"/>
              <w:rPr>
                <w:sz w:val="20"/>
                <w:szCs w:val="20"/>
              </w:rPr>
            </w:pPr>
            <w:r>
              <w:rPr>
                <w:sz w:val="20"/>
                <w:szCs w:val="20"/>
              </w:rPr>
              <w:t>142</w:t>
            </w:r>
          </w:p>
        </w:tc>
        <w:tc>
          <w:tcPr>
            <w:tcW w:w="571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DF9EE74" w14:textId="1CD0063B" w:rsidR="005E17EB" w:rsidRPr="00F6205B" w:rsidRDefault="005E17EB" w:rsidP="005E17EB">
            <w:pPr>
              <w:keepNext/>
              <w:keepLines/>
              <w:spacing w:after="0"/>
              <w:rPr>
                <w:sz w:val="20"/>
                <w:szCs w:val="20"/>
              </w:rPr>
            </w:pPr>
            <w:r>
              <w:rPr>
                <w:sz w:val="20"/>
                <w:szCs w:val="20"/>
              </w:rPr>
              <w:t>7.0 ACH@50Pa</w:t>
            </w:r>
          </w:p>
        </w:tc>
      </w:tr>
      <w:tr w:rsidR="005E17EB" w:rsidRPr="00F6205B" w14:paraId="5EE2A90C" w14:textId="77777777" w:rsidTr="005E17EB">
        <w:trPr>
          <w:trHeight w:val="288"/>
          <w:jc w:val="center"/>
        </w:trPr>
        <w:tc>
          <w:tcPr>
            <w:tcW w:w="3282"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12B8D1F" w14:textId="08C7D978" w:rsidR="005E17EB" w:rsidRPr="00F6205B" w:rsidRDefault="005E17EB" w:rsidP="005E17EB">
            <w:pPr>
              <w:keepNext/>
              <w:keepLines/>
              <w:spacing w:after="0"/>
              <w:rPr>
                <w:sz w:val="20"/>
                <w:szCs w:val="20"/>
              </w:rPr>
            </w:pPr>
            <w:r w:rsidRPr="003F2F7C">
              <w:rPr>
                <w:sz w:val="20"/>
                <w:szCs w:val="20"/>
              </w:rPr>
              <w:t>Reduce duct leakage</w:t>
            </w:r>
          </w:p>
        </w:tc>
        <w:tc>
          <w:tcPr>
            <w:tcW w:w="1290" w:type="dxa"/>
            <w:tcBorders>
              <w:top w:val="single" w:sz="4" w:space="0" w:color="000000" w:themeColor="text1"/>
              <w:bottom w:val="single" w:sz="4" w:space="0" w:color="000000" w:themeColor="text1"/>
            </w:tcBorders>
            <w:vAlign w:val="center"/>
          </w:tcPr>
          <w:p w14:paraId="3261E326" w14:textId="1C1BF899" w:rsidR="005E17EB" w:rsidRPr="00F6205B" w:rsidRDefault="005E17EB" w:rsidP="005E17EB">
            <w:pPr>
              <w:keepNext/>
              <w:keepLines/>
              <w:spacing w:after="0"/>
              <w:jc w:val="center"/>
              <w:rPr>
                <w:sz w:val="20"/>
                <w:szCs w:val="20"/>
              </w:rPr>
            </w:pPr>
            <w:r>
              <w:rPr>
                <w:sz w:val="20"/>
                <w:szCs w:val="20"/>
              </w:rPr>
              <w:t>50</w:t>
            </w:r>
          </w:p>
        </w:tc>
        <w:tc>
          <w:tcPr>
            <w:tcW w:w="571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053EE1C" w14:textId="738BC27F" w:rsidR="005E17EB" w:rsidRPr="00F6205B" w:rsidRDefault="005E17EB" w:rsidP="005E17EB">
            <w:pPr>
              <w:keepNext/>
              <w:keepLines/>
              <w:spacing w:after="0"/>
              <w:rPr>
                <w:sz w:val="20"/>
                <w:szCs w:val="20"/>
              </w:rPr>
            </w:pPr>
            <w:r>
              <w:rPr>
                <w:sz w:val="20"/>
                <w:szCs w:val="20"/>
              </w:rPr>
              <w:t>8.0 CFM@25Pa/100 s.f.</w:t>
            </w:r>
          </w:p>
        </w:tc>
      </w:tr>
      <w:tr w:rsidR="005E17EB" w:rsidRPr="00F6205B" w14:paraId="665E3B02" w14:textId="77777777" w:rsidTr="005E17EB">
        <w:trPr>
          <w:trHeight w:val="288"/>
          <w:jc w:val="center"/>
        </w:trPr>
        <w:tc>
          <w:tcPr>
            <w:tcW w:w="3282" w:type="dxa"/>
            <w:tcBorders>
              <w:top w:val="single" w:sz="4" w:space="0" w:color="000000" w:themeColor="text1"/>
              <w:left w:val="single" w:sz="4" w:space="0" w:color="auto"/>
              <w:bottom w:val="single" w:sz="4" w:space="0" w:color="auto"/>
              <w:right w:val="single" w:sz="4" w:space="0" w:color="000000" w:themeColor="text1"/>
            </w:tcBorders>
            <w:vAlign w:val="center"/>
          </w:tcPr>
          <w:p w14:paraId="0C335945" w14:textId="75EE8E55" w:rsidR="005E17EB" w:rsidRPr="00F6205B" w:rsidRDefault="005E17EB" w:rsidP="005E17EB">
            <w:pPr>
              <w:keepNext/>
              <w:keepLines/>
              <w:spacing w:after="0"/>
              <w:rPr>
                <w:sz w:val="20"/>
                <w:szCs w:val="20"/>
              </w:rPr>
            </w:pPr>
            <w:r w:rsidRPr="003F2F7C">
              <w:rPr>
                <w:sz w:val="20"/>
                <w:szCs w:val="20"/>
              </w:rPr>
              <w:t>Add duct insulation</w:t>
            </w:r>
          </w:p>
        </w:tc>
        <w:tc>
          <w:tcPr>
            <w:tcW w:w="1290" w:type="dxa"/>
            <w:tcBorders>
              <w:top w:val="single" w:sz="4" w:space="0" w:color="000000" w:themeColor="text1"/>
              <w:bottom w:val="single" w:sz="4" w:space="0" w:color="auto"/>
            </w:tcBorders>
            <w:vAlign w:val="center"/>
          </w:tcPr>
          <w:p w14:paraId="40C5F765" w14:textId="781CCFD5" w:rsidR="005E17EB" w:rsidRPr="00F6205B" w:rsidRDefault="005E17EB" w:rsidP="005E17EB">
            <w:pPr>
              <w:keepNext/>
              <w:keepLines/>
              <w:spacing w:after="0"/>
              <w:jc w:val="center"/>
              <w:rPr>
                <w:sz w:val="20"/>
                <w:szCs w:val="20"/>
              </w:rPr>
            </w:pPr>
            <w:r>
              <w:rPr>
                <w:sz w:val="20"/>
                <w:szCs w:val="20"/>
              </w:rPr>
              <w:t>78</w:t>
            </w:r>
          </w:p>
        </w:tc>
        <w:tc>
          <w:tcPr>
            <w:tcW w:w="571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5B0B00B" w14:textId="53B183C3" w:rsidR="005E17EB" w:rsidRPr="00F6205B" w:rsidRDefault="005E17EB" w:rsidP="005E17EB">
            <w:pPr>
              <w:keepNext/>
              <w:keepLines/>
              <w:spacing w:after="0"/>
              <w:rPr>
                <w:sz w:val="20"/>
                <w:szCs w:val="20"/>
              </w:rPr>
            </w:pPr>
            <w:r>
              <w:rPr>
                <w:sz w:val="20"/>
                <w:szCs w:val="20"/>
              </w:rPr>
              <w:t>R-8 on supplies in attics, R-6 on supplies in other u.c. space</w:t>
            </w:r>
          </w:p>
        </w:tc>
      </w:tr>
      <w:tr w:rsidR="005E17EB" w:rsidRPr="00F6205B" w14:paraId="74EB688C" w14:textId="77777777" w:rsidTr="005E17EB">
        <w:trPr>
          <w:trHeight w:val="288"/>
          <w:jc w:val="center"/>
        </w:trPr>
        <w:tc>
          <w:tcPr>
            <w:tcW w:w="3282" w:type="dxa"/>
            <w:tcBorders>
              <w:top w:val="single" w:sz="4" w:space="0" w:color="000000" w:themeColor="text1"/>
              <w:left w:val="single" w:sz="4" w:space="0" w:color="auto"/>
              <w:bottom w:val="single" w:sz="4" w:space="0" w:color="auto"/>
              <w:right w:val="single" w:sz="4" w:space="0" w:color="000000" w:themeColor="text1"/>
            </w:tcBorders>
            <w:vAlign w:val="center"/>
          </w:tcPr>
          <w:p w14:paraId="14CB0AFD" w14:textId="0616BD25" w:rsidR="005E17EB" w:rsidRPr="003F2F7C" w:rsidRDefault="005E17EB" w:rsidP="005E17EB">
            <w:pPr>
              <w:keepNext/>
              <w:keepLines/>
              <w:spacing w:after="0"/>
              <w:rPr>
                <w:sz w:val="20"/>
                <w:szCs w:val="20"/>
              </w:rPr>
            </w:pPr>
            <w:r w:rsidRPr="003F2F7C">
              <w:rPr>
                <w:sz w:val="20"/>
                <w:szCs w:val="20"/>
              </w:rPr>
              <w:t>Upgrade windows</w:t>
            </w:r>
          </w:p>
        </w:tc>
        <w:tc>
          <w:tcPr>
            <w:tcW w:w="1290" w:type="dxa"/>
            <w:tcBorders>
              <w:top w:val="single" w:sz="4" w:space="0" w:color="000000" w:themeColor="text1"/>
              <w:bottom w:val="single" w:sz="4" w:space="0" w:color="auto"/>
            </w:tcBorders>
            <w:vAlign w:val="center"/>
          </w:tcPr>
          <w:p w14:paraId="4C714FDF" w14:textId="045E1ECF" w:rsidR="005E17EB" w:rsidRPr="00F6205B" w:rsidRDefault="005E17EB" w:rsidP="005E17EB">
            <w:pPr>
              <w:keepNext/>
              <w:keepLines/>
              <w:spacing w:after="0"/>
              <w:jc w:val="center"/>
              <w:rPr>
                <w:sz w:val="20"/>
                <w:szCs w:val="20"/>
              </w:rPr>
            </w:pPr>
            <w:r>
              <w:rPr>
                <w:sz w:val="20"/>
                <w:szCs w:val="20"/>
              </w:rPr>
              <w:t>180</w:t>
            </w:r>
          </w:p>
        </w:tc>
        <w:tc>
          <w:tcPr>
            <w:tcW w:w="5715" w:type="dxa"/>
            <w:tcBorders>
              <w:top w:val="single" w:sz="4" w:space="0" w:color="000000" w:themeColor="text1"/>
              <w:left w:val="single" w:sz="4" w:space="0" w:color="000000" w:themeColor="text1"/>
              <w:bottom w:val="single" w:sz="4" w:space="0" w:color="auto"/>
              <w:right w:val="single" w:sz="4" w:space="0" w:color="auto"/>
            </w:tcBorders>
            <w:vAlign w:val="center"/>
          </w:tcPr>
          <w:p w14:paraId="3211EE30" w14:textId="5C18B2F8" w:rsidR="005E17EB" w:rsidRPr="00F6205B" w:rsidRDefault="005E17EB" w:rsidP="005E17EB">
            <w:pPr>
              <w:keepNext/>
              <w:keepLines/>
              <w:spacing w:after="0"/>
              <w:rPr>
                <w:sz w:val="20"/>
                <w:szCs w:val="20"/>
              </w:rPr>
            </w:pPr>
            <w:r>
              <w:rPr>
                <w:sz w:val="20"/>
                <w:szCs w:val="20"/>
              </w:rPr>
              <w:t>U-value 0.2, SHGC 0.25</w:t>
            </w:r>
          </w:p>
        </w:tc>
      </w:tr>
    </w:tbl>
    <w:p w14:paraId="7F0E2022" w14:textId="5EF2AB6E" w:rsidR="007C5BAD" w:rsidRDefault="007C5BAD">
      <w:pPr>
        <w:rPr>
          <w:szCs w:val="20"/>
        </w:rPr>
      </w:pPr>
    </w:p>
    <w:p w14:paraId="1EA7739A" w14:textId="07F02851" w:rsidR="00AB17C0" w:rsidRDefault="00AB17C0" w:rsidP="00AB17C0">
      <w:pPr>
        <w:pStyle w:val="Caption"/>
      </w:pPr>
      <w:bookmarkStart w:id="488" w:name="_Toc439931874"/>
      <w:r>
        <w:t xml:space="preserve">Table </w:t>
      </w:r>
      <w:fldSimple w:instr=" SEQ Table \* ARABIC ">
        <w:r w:rsidR="00FA26A9">
          <w:rPr>
            <w:noProof/>
          </w:rPr>
          <w:t>43</w:t>
        </w:r>
      </w:fldSimple>
      <w:r>
        <w:t>: HVAC Measure Upgrades</w:t>
      </w:r>
      <w:bookmarkEnd w:id="488"/>
    </w:p>
    <w:tbl>
      <w:tblPr>
        <w:tblStyle w:val="TableGrid"/>
        <w:tblW w:w="9500"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3282"/>
        <w:gridCol w:w="1290"/>
        <w:gridCol w:w="4928"/>
      </w:tblGrid>
      <w:tr w:rsidR="00AB17C0" w:rsidRPr="00F6205B" w14:paraId="734029A3" w14:textId="77777777" w:rsidTr="00AB17C0">
        <w:trPr>
          <w:trHeight w:val="288"/>
          <w:jc w:val="center"/>
        </w:trPr>
        <w:tc>
          <w:tcPr>
            <w:tcW w:w="3282" w:type="dxa"/>
            <w:tcBorders>
              <w:top w:val="single" w:sz="4" w:space="0" w:color="auto"/>
              <w:left w:val="single" w:sz="4" w:space="0" w:color="auto"/>
              <w:bottom w:val="single" w:sz="4" w:space="0" w:color="000000" w:themeColor="text1"/>
              <w:right w:val="single" w:sz="4" w:space="0" w:color="auto"/>
            </w:tcBorders>
            <w:shd w:val="clear" w:color="auto" w:fill="0B4D2C" w:themeFill="background2" w:themeFillShade="BF"/>
            <w:vAlign w:val="center"/>
          </w:tcPr>
          <w:p w14:paraId="542BC7D9" w14:textId="77777777" w:rsidR="00AB17C0" w:rsidRPr="00F6205B" w:rsidRDefault="00AB17C0" w:rsidP="00AD4AA9">
            <w:pPr>
              <w:keepNext/>
              <w:keepLines/>
              <w:spacing w:after="0"/>
              <w:rPr>
                <w:b/>
                <w:sz w:val="20"/>
                <w:szCs w:val="20"/>
              </w:rPr>
            </w:pPr>
            <w:r>
              <w:rPr>
                <w:b/>
                <w:sz w:val="20"/>
                <w:szCs w:val="20"/>
              </w:rPr>
              <w:t>Measure</w:t>
            </w:r>
          </w:p>
        </w:tc>
        <w:tc>
          <w:tcPr>
            <w:tcW w:w="1290" w:type="dxa"/>
            <w:tcBorders>
              <w:top w:val="single" w:sz="4" w:space="0" w:color="auto"/>
              <w:bottom w:val="single" w:sz="4" w:space="0" w:color="000000" w:themeColor="text1"/>
              <w:right w:val="single" w:sz="4" w:space="0" w:color="auto"/>
            </w:tcBorders>
            <w:shd w:val="clear" w:color="auto" w:fill="0B4D2C" w:themeFill="background2" w:themeFillShade="BF"/>
            <w:vAlign w:val="center"/>
          </w:tcPr>
          <w:p w14:paraId="2E9EABEC" w14:textId="77777777" w:rsidR="00AB17C0" w:rsidRPr="00F6205B" w:rsidRDefault="00AB17C0" w:rsidP="00AD4AA9">
            <w:pPr>
              <w:keepNext/>
              <w:keepLines/>
              <w:spacing w:after="0"/>
              <w:jc w:val="center"/>
              <w:rPr>
                <w:b/>
                <w:sz w:val="20"/>
                <w:szCs w:val="20"/>
              </w:rPr>
            </w:pPr>
            <w:r>
              <w:rPr>
                <w:b/>
                <w:sz w:val="20"/>
                <w:szCs w:val="20"/>
              </w:rPr>
              <w:t>Applicable Sites</w:t>
            </w:r>
          </w:p>
        </w:tc>
        <w:tc>
          <w:tcPr>
            <w:tcW w:w="4928" w:type="dxa"/>
            <w:tcBorders>
              <w:top w:val="single" w:sz="4" w:space="0" w:color="auto"/>
              <w:bottom w:val="single" w:sz="4" w:space="0" w:color="000000" w:themeColor="text1"/>
              <w:right w:val="single" w:sz="4" w:space="0" w:color="auto"/>
            </w:tcBorders>
            <w:shd w:val="clear" w:color="auto" w:fill="0B4D2C" w:themeFill="background2" w:themeFillShade="BF"/>
            <w:vAlign w:val="center"/>
          </w:tcPr>
          <w:p w14:paraId="18363947" w14:textId="77777777" w:rsidR="00AB17C0" w:rsidRPr="00F6205B" w:rsidRDefault="00AB17C0" w:rsidP="00AD4AA9">
            <w:pPr>
              <w:keepNext/>
              <w:keepLines/>
              <w:spacing w:after="0"/>
              <w:jc w:val="center"/>
              <w:rPr>
                <w:b/>
                <w:sz w:val="20"/>
                <w:szCs w:val="20"/>
              </w:rPr>
            </w:pPr>
            <w:r>
              <w:rPr>
                <w:b/>
                <w:sz w:val="20"/>
                <w:szCs w:val="20"/>
              </w:rPr>
              <w:t>Upgrade</w:t>
            </w:r>
          </w:p>
        </w:tc>
      </w:tr>
      <w:tr w:rsidR="00AB17C0" w:rsidRPr="00F6205B" w14:paraId="261A2F27" w14:textId="77777777" w:rsidTr="00AB17C0">
        <w:trPr>
          <w:trHeight w:val="288"/>
          <w:jc w:val="center"/>
        </w:trPr>
        <w:tc>
          <w:tcPr>
            <w:tcW w:w="3282" w:type="dxa"/>
            <w:tcBorders>
              <w:top w:val="single" w:sz="4" w:space="0" w:color="auto"/>
              <w:left w:val="single" w:sz="4" w:space="0" w:color="auto"/>
              <w:bottom w:val="single" w:sz="4" w:space="0" w:color="000000" w:themeColor="text1"/>
              <w:right w:val="single" w:sz="4" w:space="0" w:color="000000" w:themeColor="text1"/>
            </w:tcBorders>
            <w:vAlign w:val="center"/>
          </w:tcPr>
          <w:p w14:paraId="46085A60" w14:textId="1D1155B0" w:rsidR="00AB17C0" w:rsidRPr="00F6205B" w:rsidRDefault="00AB17C0" w:rsidP="00AB17C0">
            <w:pPr>
              <w:keepNext/>
              <w:keepLines/>
              <w:spacing w:after="0"/>
              <w:rPr>
                <w:sz w:val="20"/>
                <w:szCs w:val="20"/>
              </w:rPr>
            </w:pPr>
            <w:r w:rsidRPr="003F2F7C">
              <w:rPr>
                <w:sz w:val="20"/>
                <w:szCs w:val="20"/>
              </w:rPr>
              <w:t>Increase oil furnace AFUE</w:t>
            </w:r>
          </w:p>
        </w:tc>
        <w:tc>
          <w:tcPr>
            <w:tcW w:w="1290" w:type="dxa"/>
            <w:tcBorders>
              <w:top w:val="single" w:sz="4" w:space="0" w:color="auto"/>
              <w:bottom w:val="single" w:sz="4" w:space="0" w:color="000000" w:themeColor="text1"/>
            </w:tcBorders>
            <w:vAlign w:val="center"/>
          </w:tcPr>
          <w:p w14:paraId="497FF05D" w14:textId="25A71068" w:rsidR="00AB17C0" w:rsidRPr="00F6205B" w:rsidRDefault="00AB17C0" w:rsidP="00AB17C0">
            <w:pPr>
              <w:keepNext/>
              <w:keepLines/>
              <w:spacing w:after="0"/>
              <w:jc w:val="center"/>
              <w:rPr>
                <w:sz w:val="20"/>
                <w:szCs w:val="20"/>
              </w:rPr>
            </w:pPr>
            <w:r>
              <w:rPr>
                <w:sz w:val="20"/>
                <w:szCs w:val="20"/>
              </w:rPr>
              <w:t>31</w:t>
            </w:r>
          </w:p>
        </w:tc>
        <w:tc>
          <w:tcPr>
            <w:tcW w:w="4928"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C34F14F" w14:textId="5D01A313" w:rsidR="00AB17C0" w:rsidRPr="00F6205B" w:rsidRDefault="00AB17C0" w:rsidP="00AB17C0">
            <w:pPr>
              <w:keepNext/>
              <w:keepLines/>
              <w:spacing w:after="0"/>
              <w:rPr>
                <w:sz w:val="20"/>
                <w:szCs w:val="20"/>
              </w:rPr>
            </w:pPr>
            <w:r>
              <w:rPr>
                <w:sz w:val="20"/>
                <w:szCs w:val="20"/>
              </w:rPr>
              <w:t>90% AFUE (capacity same as rated home)</w:t>
            </w:r>
          </w:p>
        </w:tc>
      </w:tr>
      <w:tr w:rsidR="00AB17C0" w:rsidRPr="00F6205B" w14:paraId="38218B84" w14:textId="77777777" w:rsidTr="00AB17C0">
        <w:trPr>
          <w:trHeight w:val="288"/>
          <w:jc w:val="center"/>
        </w:trPr>
        <w:tc>
          <w:tcPr>
            <w:tcW w:w="3282"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58FC1A2" w14:textId="3D110174" w:rsidR="00AB17C0" w:rsidRPr="00F6205B" w:rsidRDefault="00AB17C0" w:rsidP="00AB17C0">
            <w:pPr>
              <w:keepNext/>
              <w:keepLines/>
              <w:spacing w:after="0"/>
              <w:rPr>
                <w:sz w:val="20"/>
                <w:szCs w:val="20"/>
              </w:rPr>
            </w:pPr>
            <w:r w:rsidRPr="003F2F7C">
              <w:rPr>
                <w:sz w:val="20"/>
                <w:szCs w:val="20"/>
              </w:rPr>
              <w:t>Increase oil boiler AFUE</w:t>
            </w:r>
          </w:p>
        </w:tc>
        <w:tc>
          <w:tcPr>
            <w:tcW w:w="1290" w:type="dxa"/>
            <w:tcBorders>
              <w:top w:val="single" w:sz="4" w:space="0" w:color="000000" w:themeColor="text1"/>
              <w:bottom w:val="single" w:sz="4" w:space="0" w:color="000000" w:themeColor="text1"/>
            </w:tcBorders>
            <w:vAlign w:val="center"/>
          </w:tcPr>
          <w:p w14:paraId="07045539" w14:textId="30A6CBAB" w:rsidR="00AB17C0" w:rsidRPr="00F6205B" w:rsidRDefault="00AB17C0" w:rsidP="00AB17C0">
            <w:pPr>
              <w:keepNext/>
              <w:keepLines/>
              <w:spacing w:after="0"/>
              <w:jc w:val="center"/>
              <w:rPr>
                <w:sz w:val="20"/>
                <w:szCs w:val="20"/>
              </w:rPr>
            </w:pPr>
            <w:r>
              <w:rPr>
                <w:sz w:val="20"/>
                <w:szCs w:val="20"/>
              </w:rPr>
              <w:t>81</w:t>
            </w:r>
          </w:p>
        </w:tc>
        <w:tc>
          <w:tcPr>
            <w:tcW w:w="4928"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C46185D" w14:textId="22DA004C" w:rsidR="00AB17C0" w:rsidRPr="00F6205B" w:rsidRDefault="00AB17C0" w:rsidP="00AB17C0">
            <w:pPr>
              <w:keepNext/>
              <w:keepLines/>
              <w:spacing w:after="0"/>
              <w:rPr>
                <w:sz w:val="20"/>
                <w:szCs w:val="20"/>
              </w:rPr>
            </w:pPr>
            <w:r>
              <w:rPr>
                <w:sz w:val="20"/>
                <w:szCs w:val="20"/>
              </w:rPr>
              <w:t>90% AFUE (capacity same as rated home)</w:t>
            </w:r>
          </w:p>
        </w:tc>
      </w:tr>
      <w:tr w:rsidR="00AB17C0" w:rsidRPr="00F6205B" w14:paraId="5DC86EE6" w14:textId="77777777" w:rsidTr="00AB17C0">
        <w:trPr>
          <w:trHeight w:val="288"/>
          <w:jc w:val="center"/>
        </w:trPr>
        <w:tc>
          <w:tcPr>
            <w:tcW w:w="3282"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9F217B9" w14:textId="507181AD" w:rsidR="00AB17C0" w:rsidRPr="00F6205B" w:rsidRDefault="00AB17C0" w:rsidP="00AB17C0">
            <w:pPr>
              <w:keepNext/>
              <w:keepLines/>
              <w:spacing w:after="0"/>
              <w:rPr>
                <w:sz w:val="20"/>
                <w:szCs w:val="20"/>
              </w:rPr>
            </w:pPr>
            <w:r w:rsidRPr="003F2F7C">
              <w:rPr>
                <w:sz w:val="20"/>
                <w:szCs w:val="20"/>
              </w:rPr>
              <w:t>Increase propane furnace AFUE</w:t>
            </w:r>
          </w:p>
        </w:tc>
        <w:tc>
          <w:tcPr>
            <w:tcW w:w="1290" w:type="dxa"/>
            <w:tcBorders>
              <w:top w:val="single" w:sz="4" w:space="0" w:color="000000" w:themeColor="text1"/>
              <w:bottom w:val="single" w:sz="4" w:space="0" w:color="000000" w:themeColor="text1"/>
            </w:tcBorders>
            <w:vAlign w:val="center"/>
          </w:tcPr>
          <w:p w14:paraId="57850D11" w14:textId="3FE6DC8B" w:rsidR="00AB17C0" w:rsidRPr="00F6205B" w:rsidRDefault="00AB17C0" w:rsidP="00AB17C0">
            <w:pPr>
              <w:keepNext/>
              <w:keepLines/>
              <w:spacing w:after="0"/>
              <w:jc w:val="center"/>
              <w:rPr>
                <w:sz w:val="20"/>
                <w:szCs w:val="20"/>
              </w:rPr>
            </w:pPr>
            <w:r>
              <w:rPr>
                <w:sz w:val="20"/>
                <w:szCs w:val="20"/>
              </w:rPr>
              <w:t>2</w:t>
            </w:r>
          </w:p>
        </w:tc>
        <w:tc>
          <w:tcPr>
            <w:tcW w:w="4928"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6531E91" w14:textId="204A28C5" w:rsidR="00AB17C0" w:rsidRPr="00F6205B" w:rsidRDefault="00AB17C0" w:rsidP="00AB17C0">
            <w:pPr>
              <w:keepNext/>
              <w:keepLines/>
              <w:spacing w:after="0"/>
              <w:rPr>
                <w:sz w:val="20"/>
                <w:szCs w:val="20"/>
              </w:rPr>
            </w:pPr>
            <w:r>
              <w:rPr>
                <w:sz w:val="20"/>
                <w:szCs w:val="20"/>
              </w:rPr>
              <w:t>97% AFUE (capacity same as rated home)</w:t>
            </w:r>
          </w:p>
        </w:tc>
      </w:tr>
      <w:tr w:rsidR="00AB17C0" w:rsidRPr="00F6205B" w14:paraId="496ECA03" w14:textId="77777777" w:rsidTr="00AB17C0">
        <w:trPr>
          <w:trHeight w:val="288"/>
          <w:jc w:val="center"/>
        </w:trPr>
        <w:tc>
          <w:tcPr>
            <w:tcW w:w="3282" w:type="dxa"/>
            <w:tcBorders>
              <w:top w:val="single" w:sz="4" w:space="0" w:color="000000" w:themeColor="text1"/>
              <w:left w:val="single" w:sz="4" w:space="0" w:color="auto"/>
              <w:bottom w:val="single" w:sz="4" w:space="0" w:color="auto"/>
              <w:right w:val="single" w:sz="4" w:space="0" w:color="000000" w:themeColor="text1"/>
            </w:tcBorders>
            <w:vAlign w:val="center"/>
          </w:tcPr>
          <w:p w14:paraId="6D535FAB" w14:textId="2D88AF14" w:rsidR="00AB17C0" w:rsidRPr="00F6205B" w:rsidRDefault="00AB17C0" w:rsidP="00AB17C0">
            <w:pPr>
              <w:keepNext/>
              <w:keepLines/>
              <w:spacing w:after="0"/>
              <w:rPr>
                <w:sz w:val="20"/>
                <w:szCs w:val="20"/>
              </w:rPr>
            </w:pPr>
            <w:r w:rsidRPr="003F2F7C">
              <w:rPr>
                <w:sz w:val="20"/>
                <w:szCs w:val="20"/>
              </w:rPr>
              <w:t>Increase propane boiler AFUE</w:t>
            </w:r>
          </w:p>
        </w:tc>
        <w:tc>
          <w:tcPr>
            <w:tcW w:w="1290" w:type="dxa"/>
            <w:tcBorders>
              <w:top w:val="single" w:sz="4" w:space="0" w:color="000000" w:themeColor="text1"/>
              <w:bottom w:val="single" w:sz="4" w:space="0" w:color="auto"/>
            </w:tcBorders>
            <w:vAlign w:val="center"/>
          </w:tcPr>
          <w:p w14:paraId="328A1576" w14:textId="1DD7D3B9" w:rsidR="00AB17C0" w:rsidRPr="00F6205B" w:rsidRDefault="00AB17C0" w:rsidP="00AB17C0">
            <w:pPr>
              <w:keepNext/>
              <w:keepLines/>
              <w:spacing w:after="0"/>
              <w:jc w:val="center"/>
              <w:rPr>
                <w:sz w:val="20"/>
                <w:szCs w:val="20"/>
              </w:rPr>
            </w:pPr>
            <w:r>
              <w:rPr>
                <w:sz w:val="20"/>
                <w:szCs w:val="20"/>
              </w:rPr>
              <w:t>2</w:t>
            </w:r>
          </w:p>
        </w:tc>
        <w:tc>
          <w:tcPr>
            <w:tcW w:w="4928"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66630E5" w14:textId="580ADA24" w:rsidR="00AB17C0" w:rsidRPr="00F6205B" w:rsidRDefault="00AB17C0" w:rsidP="00AB17C0">
            <w:pPr>
              <w:keepNext/>
              <w:keepLines/>
              <w:spacing w:after="0"/>
              <w:rPr>
                <w:sz w:val="20"/>
                <w:szCs w:val="20"/>
              </w:rPr>
            </w:pPr>
            <w:r>
              <w:rPr>
                <w:sz w:val="20"/>
                <w:szCs w:val="20"/>
              </w:rPr>
              <w:t>95% AFUE (capacity same as rated home)</w:t>
            </w:r>
          </w:p>
        </w:tc>
      </w:tr>
      <w:tr w:rsidR="00AB17C0" w:rsidRPr="00F6205B" w14:paraId="7B8934FE" w14:textId="77777777" w:rsidTr="00AB17C0">
        <w:trPr>
          <w:trHeight w:val="288"/>
          <w:jc w:val="center"/>
        </w:trPr>
        <w:tc>
          <w:tcPr>
            <w:tcW w:w="3282" w:type="dxa"/>
            <w:tcBorders>
              <w:top w:val="single" w:sz="4" w:space="0" w:color="auto"/>
              <w:left w:val="single" w:sz="4" w:space="0" w:color="auto"/>
              <w:bottom w:val="single" w:sz="4" w:space="0" w:color="000000" w:themeColor="text1"/>
              <w:right w:val="single" w:sz="4" w:space="0" w:color="000000" w:themeColor="text1"/>
            </w:tcBorders>
            <w:vAlign w:val="center"/>
          </w:tcPr>
          <w:p w14:paraId="3A48A2A4" w14:textId="6FB154F3" w:rsidR="00AB17C0" w:rsidRPr="00F6205B" w:rsidRDefault="00AB17C0" w:rsidP="00AB17C0">
            <w:pPr>
              <w:keepNext/>
              <w:keepLines/>
              <w:spacing w:after="0"/>
              <w:rPr>
                <w:sz w:val="20"/>
                <w:szCs w:val="20"/>
              </w:rPr>
            </w:pPr>
            <w:r w:rsidRPr="003F2F7C">
              <w:rPr>
                <w:sz w:val="20"/>
                <w:szCs w:val="20"/>
              </w:rPr>
              <w:t>Increase gas furnace AFUE</w:t>
            </w:r>
          </w:p>
        </w:tc>
        <w:tc>
          <w:tcPr>
            <w:tcW w:w="1290" w:type="dxa"/>
            <w:tcBorders>
              <w:top w:val="single" w:sz="4" w:space="0" w:color="auto"/>
              <w:bottom w:val="single" w:sz="4" w:space="0" w:color="000000" w:themeColor="text1"/>
            </w:tcBorders>
            <w:vAlign w:val="center"/>
          </w:tcPr>
          <w:p w14:paraId="0F944758" w14:textId="159C3D30" w:rsidR="00AB17C0" w:rsidRPr="00F6205B" w:rsidRDefault="00AB17C0" w:rsidP="00AB17C0">
            <w:pPr>
              <w:keepNext/>
              <w:keepLines/>
              <w:spacing w:after="0"/>
              <w:jc w:val="center"/>
              <w:rPr>
                <w:sz w:val="20"/>
                <w:szCs w:val="20"/>
              </w:rPr>
            </w:pPr>
            <w:r>
              <w:rPr>
                <w:sz w:val="20"/>
                <w:szCs w:val="20"/>
              </w:rPr>
              <w:t>25</w:t>
            </w:r>
          </w:p>
        </w:tc>
        <w:tc>
          <w:tcPr>
            <w:tcW w:w="4928"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681C5AC" w14:textId="335F8958" w:rsidR="00AB17C0" w:rsidRPr="00F6205B" w:rsidRDefault="00AB17C0" w:rsidP="00AB17C0">
            <w:pPr>
              <w:keepNext/>
              <w:keepLines/>
              <w:spacing w:after="0"/>
              <w:rPr>
                <w:sz w:val="20"/>
                <w:szCs w:val="20"/>
              </w:rPr>
            </w:pPr>
            <w:r>
              <w:rPr>
                <w:sz w:val="20"/>
                <w:szCs w:val="20"/>
              </w:rPr>
              <w:t>97% AFUE (capacity same as rated home)</w:t>
            </w:r>
          </w:p>
        </w:tc>
      </w:tr>
      <w:tr w:rsidR="00AB17C0" w:rsidRPr="00F6205B" w14:paraId="7D1D9B6D" w14:textId="77777777" w:rsidTr="00AB17C0">
        <w:trPr>
          <w:trHeight w:val="288"/>
          <w:jc w:val="center"/>
        </w:trPr>
        <w:tc>
          <w:tcPr>
            <w:tcW w:w="3282"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9C2E87C" w14:textId="0114E172" w:rsidR="00AB17C0" w:rsidRPr="00F6205B" w:rsidRDefault="00AB17C0" w:rsidP="00AB17C0">
            <w:pPr>
              <w:keepNext/>
              <w:keepLines/>
              <w:spacing w:after="0"/>
              <w:rPr>
                <w:sz w:val="20"/>
                <w:szCs w:val="20"/>
              </w:rPr>
            </w:pPr>
            <w:r w:rsidRPr="003F2F7C">
              <w:rPr>
                <w:sz w:val="20"/>
                <w:szCs w:val="20"/>
              </w:rPr>
              <w:t>Increase gas boiler AFUE</w:t>
            </w:r>
          </w:p>
        </w:tc>
        <w:tc>
          <w:tcPr>
            <w:tcW w:w="1290" w:type="dxa"/>
            <w:tcBorders>
              <w:top w:val="single" w:sz="4" w:space="0" w:color="000000" w:themeColor="text1"/>
              <w:bottom w:val="single" w:sz="4" w:space="0" w:color="000000" w:themeColor="text1"/>
            </w:tcBorders>
            <w:vAlign w:val="center"/>
          </w:tcPr>
          <w:p w14:paraId="255DD2C3" w14:textId="1E8A6912" w:rsidR="00AB17C0" w:rsidRPr="00F6205B" w:rsidRDefault="00AB17C0" w:rsidP="00AB17C0">
            <w:pPr>
              <w:keepNext/>
              <w:keepLines/>
              <w:spacing w:after="0"/>
              <w:jc w:val="center"/>
              <w:rPr>
                <w:sz w:val="20"/>
                <w:szCs w:val="20"/>
              </w:rPr>
            </w:pPr>
            <w:r>
              <w:rPr>
                <w:sz w:val="20"/>
                <w:szCs w:val="20"/>
              </w:rPr>
              <w:t>24</w:t>
            </w:r>
          </w:p>
        </w:tc>
        <w:tc>
          <w:tcPr>
            <w:tcW w:w="4928"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B6B4408" w14:textId="7324CEE1" w:rsidR="00AB17C0" w:rsidRPr="00F6205B" w:rsidRDefault="00AB17C0" w:rsidP="00AB17C0">
            <w:pPr>
              <w:keepNext/>
              <w:keepLines/>
              <w:spacing w:after="0"/>
              <w:rPr>
                <w:sz w:val="20"/>
                <w:szCs w:val="20"/>
              </w:rPr>
            </w:pPr>
            <w:r>
              <w:rPr>
                <w:sz w:val="20"/>
                <w:szCs w:val="20"/>
              </w:rPr>
              <w:t>95% AFUE (capacity same as rated home)</w:t>
            </w:r>
          </w:p>
        </w:tc>
      </w:tr>
      <w:tr w:rsidR="00AB17C0" w:rsidRPr="00F6205B" w14:paraId="38AB6DBE" w14:textId="77777777" w:rsidTr="00AB17C0">
        <w:trPr>
          <w:trHeight w:val="288"/>
          <w:jc w:val="center"/>
        </w:trPr>
        <w:tc>
          <w:tcPr>
            <w:tcW w:w="3282"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3E0B176" w14:textId="19198CF0" w:rsidR="00AB17C0" w:rsidRPr="00F6205B" w:rsidRDefault="00AB17C0" w:rsidP="00AB17C0">
            <w:pPr>
              <w:keepNext/>
              <w:keepLines/>
              <w:spacing w:after="0"/>
              <w:rPr>
                <w:sz w:val="20"/>
                <w:szCs w:val="20"/>
              </w:rPr>
            </w:pPr>
            <w:r w:rsidRPr="003F2F7C">
              <w:rPr>
                <w:sz w:val="20"/>
                <w:szCs w:val="20"/>
              </w:rPr>
              <w:t>Install ECM fan motor</w:t>
            </w:r>
          </w:p>
        </w:tc>
        <w:tc>
          <w:tcPr>
            <w:tcW w:w="1290" w:type="dxa"/>
            <w:tcBorders>
              <w:top w:val="single" w:sz="4" w:space="0" w:color="000000" w:themeColor="text1"/>
              <w:bottom w:val="single" w:sz="4" w:space="0" w:color="000000" w:themeColor="text1"/>
            </w:tcBorders>
            <w:vAlign w:val="center"/>
          </w:tcPr>
          <w:p w14:paraId="0E04E84B" w14:textId="28696D69" w:rsidR="00AB17C0" w:rsidRPr="00F6205B" w:rsidRDefault="00AB17C0" w:rsidP="00AB17C0">
            <w:pPr>
              <w:keepNext/>
              <w:keepLines/>
              <w:spacing w:after="0"/>
              <w:jc w:val="center"/>
              <w:rPr>
                <w:sz w:val="20"/>
                <w:szCs w:val="20"/>
              </w:rPr>
            </w:pPr>
            <w:r>
              <w:rPr>
                <w:sz w:val="20"/>
                <w:szCs w:val="20"/>
              </w:rPr>
              <w:t>54</w:t>
            </w:r>
          </w:p>
        </w:tc>
        <w:tc>
          <w:tcPr>
            <w:tcW w:w="4928"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D50326D" w14:textId="66218CBD" w:rsidR="00AB17C0" w:rsidRPr="00F6205B" w:rsidRDefault="00AB17C0" w:rsidP="00AB17C0">
            <w:pPr>
              <w:keepNext/>
              <w:keepLines/>
              <w:spacing w:after="0"/>
              <w:rPr>
                <w:sz w:val="20"/>
                <w:szCs w:val="20"/>
              </w:rPr>
            </w:pPr>
            <w:r>
              <w:rPr>
                <w:sz w:val="20"/>
                <w:szCs w:val="20"/>
              </w:rPr>
              <w:t>6% savings compared to PSC motor</w:t>
            </w:r>
          </w:p>
        </w:tc>
      </w:tr>
      <w:tr w:rsidR="00AB17C0" w:rsidRPr="00F6205B" w14:paraId="4611009D" w14:textId="77777777" w:rsidTr="00AB17C0">
        <w:trPr>
          <w:trHeight w:val="288"/>
          <w:jc w:val="center"/>
        </w:trPr>
        <w:tc>
          <w:tcPr>
            <w:tcW w:w="3282" w:type="dxa"/>
            <w:tcBorders>
              <w:top w:val="single" w:sz="4" w:space="0" w:color="000000" w:themeColor="text1"/>
              <w:left w:val="single" w:sz="4" w:space="0" w:color="auto"/>
              <w:bottom w:val="single" w:sz="4" w:space="0" w:color="auto"/>
              <w:right w:val="single" w:sz="4" w:space="0" w:color="000000" w:themeColor="text1"/>
            </w:tcBorders>
            <w:vAlign w:val="center"/>
          </w:tcPr>
          <w:p w14:paraId="239DEC77" w14:textId="04408159" w:rsidR="00AB17C0" w:rsidRPr="00F6205B" w:rsidRDefault="00AB17C0" w:rsidP="00AB17C0">
            <w:pPr>
              <w:keepNext/>
              <w:keepLines/>
              <w:spacing w:after="0"/>
              <w:rPr>
                <w:sz w:val="20"/>
                <w:szCs w:val="20"/>
              </w:rPr>
            </w:pPr>
            <w:r w:rsidRPr="003F2F7C">
              <w:rPr>
                <w:sz w:val="20"/>
                <w:szCs w:val="20"/>
              </w:rPr>
              <w:t>Upgrade central air conditioner</w:t>
            </w:r>
          </w:p>
        </w:tc>
        <w:tc>
          <w:tcPr>
            <w:tcW w:w="1290" w:type="dxa"/>
            <w:tcBorders>
              <w:top w:val="single" w:sz="4" w:space="0" w:color="000000" w:themeColor="text1"/>
              <w:bottom w:val="single" w:sz="4" w:space="0" w:color="auto"/>
            </w:tcBorders>
            <w:vAlign w:val="center"/>
          </w:tcPr>
          <w:p w14:paraId="7C854DEB" w14:textId="2C12DF27" w:rsidR="00AB17C0" w:rsidRPr="00F6205B" w:rsidRDefault="00AB17C0" w:rsidP="00AB17C0">
            <w:pPr>
              <w:keepNext/>
              <w:keepLines/>
              <w:spacing w:after="0"/>
              <w:jc w:val="center"/>
              <w:rPr>
                <w:sz w:val="20"/>
                <w:szCs w:val="20"/>
              </w:rPr>
            </w:pPr>
            <w:r>
              <w:rPr>
                <w:sz w:val="20"/>
                <w:szCs w:val="20"/>
              </w:rPr>
              <w:t>76</w:t>
            </w:r>
          </w:p>
        </w:tc>
        <w:tc>
          <w:tcPr>
            <w:tcW w:w="4928"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10B3585" w14:textId="30212A5E" w:rsidR="00AB17C0" w:rsidRPr="00F6205B" w:rsidRDefault="00AB17C0" w:rsidP="00AB17C0">
            <w:pPr>
              <w:keepNext/>
              <w:keepLines/>
              <w:spacing w:after="0"/>
              <w:rPr>
                <w:sz w:val="20"/>
                <w:szCs w:val="20"/>
              </w:rPr>
            </w:pPr>
            <w:r>
              <w:rPr>
                <w:sz w:val="20"/>
                <w:szCs w:val="20"/>
              </w:rPr>
              <w:t>16 SEER, 13 EER (capacity same as rated home)</w:t>
            </w:r>
          </w:p>
        </w:tc>
      </w:tr>
      <w:tr w:rsidR="00AB17C0" w:rsidRPr="00F6205B" w14:paraId="344BF871" w14:textId="77777777" w:rsidTr="00AB17C0">
        <w:trPr>
          <w:trHeight w:val="288"/>
          <w:jc w:val="center"/>
        </w:trPr>
        <w:tc>
          <w:tcPr>
            <w:tcW w:w="3282" w:type="dxa"/>
            <w:tcBorders>
              <w:top w:val="single" w:sz="4" w:space="0" w:color="000000" w:themeColor="text1"/>
              <w:left w:val="single" w:sz="4" w:space="0" w:color="auto"/>
              <w:bottom w:val="single" w:sz="4" w:space="0" w:color="auto"/>
              <w:right w:val="single" w:sz="4" w:space="0" w:color="000000" w:themeColor="text1"/>
            </w:tcBorders>
            <w:vAlign w:val="center"/>
          </w:tcPr>
          <w:p w14:paraId="155163F3" w14:textId="39AEEE1D" w:rsidR="00AB17C0" w:rsidRPr="003F2F7C" w:rsidRDefault="00AB17C0" w:rsidP="00AB17C0">
            <w:pPr>
              <w:keepNext/>
              <w:keepLines/>
              <w:spacing w:after="0"/>
              <w:rPr>
                <w:sz w:val="20"/>
                <w:szCs w:val="20"/>
              </w:rPr>
            </w:pPr>
            <w:r w:rsidRPr="003F2F7C">
              <w:rPr>
                <w:sz w:val="20"/>
                <w:szCs w:val="20"/>
              </w:rPr>
              <w:t>Upgrade room air conditioners</w:t>
            </w:r>
          </w:p>
        </w:tc>
        <w:tc>
          <w:tcPr>
            <w:tcW w:w="1290" w:type="dxa"/>
            <w:tcBorders>
              <w:top w:val="single" w:sz="4" w:space="0" w:color="000000" w:themeColor="text1"/>
              <w:bottom w:val="single" w:sz="4" w:space="0" w:color="auto"/>
            </w:tcBorders>
            <w:vAlign w:val="center"/>
          </w:tcPr>
          <w:p w14:paraId="6E741DBE" w14:textId="77503C94" w:rsidR="00AB17C0" w:rsidRPr="00F6205B" w:rsidRDefault="00AB17C0" w:rsidP="00AB17C0">
            <w:pPr>
              <w:keepNext/>
              <w:keepLines/>
              <w:spacing w:after="0"/>
              <w:jc w:val="center"/>
              <w:rPr>
                <w:sz w:val="20"/>
                <w:szCs w:val="20"/>
              </w:rPr>
            </w:pPr>
            <w:r>
              <w:rPr>
                <w:sz w:val="20"/>
                <w:szCs w:val="20"/>
              </w:rPr>
              <w:t>66</w:t>
            </w:r>
          </w:p>
        </w:tc>
        <w:tc>
          <w:tcPr>
            <w:tcW w:w="4928" w:type="dxa"/>
            <w:tcBorders>
              <w:top w:val="single" w:sz="4" w:space="0" w:color="000000" w:themeColor="text1"/>
              <w:left w:val="single" w:sz="4" w:space="0" w:color="000000" w:themeColor="text1"/>
              <w:bottom w:val="single" w:sz="4" w:space="0" w:color="auto"/>
              <w:right w:val="single" w:sz="4" w:space="0" w:color="auto"/>
            </w:tcBorders>
            <w:vAlign w:val="center"/>
          </w:tcPr>
          <w:p w14:paraId="77A5F243" w14:textId="0AF8B8C7" w:rsidR="00AB17C0" w:rsidRPr="00F6205B" w:rsidRDefault="004A27CF" w:rsidP="00AB17C0">
            <w:pPr>
              <w:keepNext/>
              <w:keepLines/>
              <w:spacing w:after="0"/>
              <w:rPr>
                <w:sz w:val="20"/>
                <w:szCs w:val="20"/>
              </w:rPr>
            </w:pPr>
            <w:r>
              <w:rPr>
                <w:sz w:val="20"/>
                <w:szCs w:val="20"/>
              </w:rPr>
              <w:t>11.5 EER (</w:t>
            </w:r>
            <w:r w:rsidR="00AB17C0">
              <w:rPr>
                <w:sz w:val="20"/>
                <w:szCs w:val="20"/>
              </w:rPr>
              <w:t>capacity same as rated home)</w:t>
            </w:r>
          </w:p>
        </w:tc>
      </w:tr>
    </w:tbl>
    <w:p w14:paraId="4EB45BA5" w14:textId="77777777" w:rsidR="00AB17C0" w:rsidRPr="00AB17C0" w:rsidRDefault="00AB17C0" w:rsidP="00AB17C0"/>
    <w:p w14:paraId="09C2FDED" w14:textId="1465B9E0" w:rsidR="00AB17C0" w:rsidRDefault="004A27CF" w:rsidP="004A27CF">
      <w:pPr>
        <w:pStyle w:val="Caption"/>
      </w:pPr>
      <w:bookmarkStart w:id="489" w:name="_Toc439931875"/>
      <w:r>
        <w:lastRenderedPageBreak/>
        <w:t xml:space="preserve">Table </w:t>
      </w:r>
      <w:fldSimple w:instr=" SEQ Table \* ARABIC ">
        <w:r w:rsidR="00FA26A9">
          <w:rPr>
            <w:noProof/>
          </w:rPr>
          <w:t>44</w:t>
        </w:r>
      </w:fldSimple>
      <w:r>
        <w:t>: Water Heating Measure Upgrades</w:t>
      </w:r>
      <w:bookmarkEnd w:id="489"/>
    </w:p>
    <w:tbl>
      <w:tblPr>
        <w:tblStyle w:val="TableGrid"/>
        <w:tblW w:w="11036"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5470"/>
        <w:gridCol w:w="1290"/>
        <w:gridCol w:w="4276"/>
      </w:tblGrid>
      <w:tr w:rsidR="004A27CF" w:rsidRPr="00F6205B" w14:paraId="66EE4FB6" w14:textId="77777777" w:rsidTr="004A27CF">
        <w:trPr>
          <w:trHeight w:val="288"/>
          <w:jc w:val="center"/>
        </w:trPr>
        <w:tc>
          <w:tcPr>
            <w:tcW w:w="5470" w:type="dxa"/>
            <w:tcBorders>
              <w:top w:val="single" w:sz="4" w:space="0" w:color="auto"/>
              <w:left w:val="single" w:sz="4" w:space="0" w:color="auto"/>
              <w:bottom w:val="single" w:sz="4" w:space="0" w:color="000000" w:themeColor="text1"/>
              <w:right w:val="single" w:sz="4" w:space="0" w:color="auto"/>
            </w:tcBorders>
            <w:shd w:val="clear" w:color="auto" w:fill="0B4D2C" w:themeFill="background2" w:themeFillShade="BF"/>
            <w:vAlign w:val="center"/>
          </w:tcPr>
          <w:p w14:paraId="6890202F" w14:textId="77777777" w:rsidR="004A27CF" w:rsidRPr="00F6205B" w:rsidRDefault="004A27CF" w:rsidP="00AD4AA9">
            <w:pPr>
              <w:keepNext/>
              <w:keepLines/>
              <w:spacing w:after="0"/>
              <w:rPr>
                <w:b/>
                <w:sz w:val="20"/>
                <w:szCs w:val="20"/>
              </w:rPr>
            </w:pPr>
            <w:r>
              <w:rPr>
                <w:b/>
                <w:sz w:val="20"/>
                <w:szCs w:val="20"/>
              </w:rPr>
              <w:t>Measure</w:t>
            </w:r>
          </w:p>
        </w:tc>
        <w:tc>
          <w:tcPr>
            <w:tcW w:w="1290" w:type="dxa"/>
            <w:tcBorders>
              <w:top w:val="single" w:sz="4" w:space="0" w:color="auto"/>
              <w:bottom w:val="single" w:sz="4" w:space="0" w:color="000000" w:themeColor="text1"/>
              <w:right w:val="single" w:sz="4" w:space="0" w:color="auto"/>
            </w:tcBorders>
            <w:shd w:val="clear" w:color="auto" w:fill="0B4D2C" w:themeFill="background2" w:themeFillShade="BF"/>
            <w:vAlign w:val="center"/>
          </w:tcPr>
          <w:p w14:paraId="7C2FAA86" w14:textId="77777777" w:rsidR="004A27CF" w:rsidRPr="00F6205B" w:rsidRDefault="004A27CF" w:rsidP="00AD4AA9">
            <w:pPr>
              <w:keepNext/>
              <w:keepLines/>
              <w:spacing w:after="0"/>
              <w:jc w:val="center"/>
              <w:rPr>
                <w:b/>
                <w:sz w:val="20"/>
                <w:szCs w:val="20"/>
              </w:rPr>
            </w:pPr>
            <w:r>
              <w:rPr>
                <w:b/>
                <w:sz w:val="20"/>
                <w:szCs w:val="20"/>
              </w:rPr>
              <w:t>Applicable Sites</w:t>
            </w:r>
          </w:p>
        </w:tc>
        <w:tc>
          <w:tcPr>
            <w:tcW w:w="4276" w:type="dxa"/>
            <w:tcBorders>
              <w:top w:val="single" w:sz="4" w:space="0" w:color="auto"/>
              <w:bottom w:val="single" w:sz="4" w:space="0" w:color="000000" w:themeColor="text1"/>
              <w:right w:val="single" w:sz="4" w:space="0" w:color="auto"/>
            </w:tcBorders>
            <w:shd w:val="clear" w:color="auto" w:fill="0B4D2C" w:themeFill="background2" w:themeFillShade="BF"/>
            <w:vAlign w:val="center"/>
          </w:tcPr>
          <w:p w14:paraId="4BADD5C2" w14:textId="77777777" w:rsidR="004A27CF" w:rsidRPr="00F6205B" w:rsidRDefault="004A27CF" w:rsidP="00AD4AA9">
            <w:pPr>
              <w:keepNext/>
              <w:keepLines/>
              <w:spacing w:after="0"/>
              <w:jc w:val="center"/>
              <w:rPr>
                <w:b/>
                <w:sz w:val="20"/>
                <w:szCs w:val="20"/>
              </w:rPr>
            </w:pPr>
            <w:r>
              <w:rPr>
                <w:b/>
                <w:sz w:val="20"/>
                <w:szCs w:val="20"/>
              </w:rPr>
              <w:t>Upgrade</w:t>
            </w:r>
          </w:p>
        </w:tc>
      </w:tr>
      <w:tr w:rsidR="004A27CF" w:rsidRPr="00F6205B" w14:paraId="75D6A8D7" w14:textId="77777777" w:rsidTr="004A27CF">
        <w:trPr>
          <w:trHeight w:val="288"/>
          <w:jc w:val="center"/>
        </w:trPr>
        <w:tc>
          <w:tcPr>
            <w:tcW w:w="5470" w:type="dxa"/>
            <w:tcBorders>
              <w:top w:val="single" w:sz="4" w:space="0" w:color="auto"/>
              <w:left w:val="single" w:sz="4" w:space="0" w:color="auto"/>
              <w:bottom w:val="single" w:sz="4" w:space="0" w:color="000000" w:themeColor="text1"/>
              <w:right w:val="single" w:sz="4" w:space="0" w:color="000000" w:themeColor="text1"/>
            </w:tcBorders>
            <w:vAlign w:val="center"/>
          </w:tcPr>
          <w:p w14:paraId="2E269217" w14:textId="044518C5" w:rsidR="004A27CF" w:rsidRPr="00F6205B" w:rsidRDefault="004A27CF" w:rsidP="004A27CF">
            <w:pPr>
              <w:keepNext/>
              <w:keepLines/>
              <w:spacing w:after="0"/>
              <w:rPr>
                <w:sz w:val="20"/>
                <w:szCs w:val="20"/>
              </w:rPr>
            </w:pPr>
            <w:r w:rsidRPr="003F2F7C">
              <w:rPr>
                <w:sz w:val="20"/>
                <w:szCs w:val="20"/>
              </w:rPr>
              <w:t>Replace tankless coil with indirect water heater</w:t>
            </w:r>
          </w:p>
        </w:tc>
        <w:tc>
          <w:tcPr>
            <w:tcW w:w="1290" w:type="dxa"/>
            <w:tcBorders>
              <w:top w:val="single" w:sz="4" w:space="0" w:color="auto"/>
              <w:bottom w:val="single" w:sz="4" w:space="0" w:color="000000" w:themeColor="text1"/>
            </w:tcBorders>
            <w:vAlign w:val="center"/>
          </w:tcPr>
          <w:p w14:paraId="18BF4543" w14:textId="7A8CC6C1" w:rsidR="004A27CF" w:rsidRPr="00F6205B" w:rsidRDefault="004A27CF" w:rsidP="004A27CF">
            <w:pPr>
              <w:keepNext/>
              <w:keepLines/>
              <w:spacing w:after="0"/>
              <w:jc w:val="center"/>
              <w:rPr>
                <w:sz w:val="20"/>
                <w:szCs w:val="20"/>
              </w:rPr>
            </w:pPr>
            <w:r>
              <w:rPr>
                <w:sz w:val="20"/>
                <w:szCs w:val="20"/>
              </w:rPr>
              <w:t>42</w:t>
            </w:r>
          </w:p>
        </w:tc>
        <w:tc>
          <w:tcPr>
            <w:tcW w:w="4276"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CD0EB0F" w14:textId="29643911" w:rsidR="004A27CF" w:rsidRPr="00F6205B" w:rsidRDefault="004A27CF" w:rsidP="004A27CF">
            <w:pPr>
              <w:keepNext/>
              <w:keepLines/>
              <w:spacing w:after="0"/>
              <w:rPr>
                <w:sz w:val="20"/>
                <w:szCs w:val="20"/>
              </w:rPr>
            </w:pPr>
            <w:r>
              <w:rPr>
                <w:sz w:val="20"/>
                <w:szCs w:val="20"/>
              </w:rPr>
              <w:t>EF=92% of boiler efficiency, 50-gallon tank</w:t>
            </w:r>
          </w:p>
        </w:tc>
      </w:tr>
      <w:tr w:rsidR="004A27CF" w:rsidRPr="00F6205B" w14:paraId="7D78E4AD" w14:textId="77777777" w:rsidTr="004A27CF">
        <w:trPr>
          <w:trHeight w:val="288"/>
          <w:jc w:val="center"/>
        </w:trPr>
        <w:tc>
          <w:tcPr>
            <w:tcW w:w="5470" w:type="dxa"/>
            <w:tcBorders>
              <w:top w:val="single" w:sz="4" w:space="0" w:color="auto"/>
              <w:left w:val="single" w:sz="4" w:space="0" w:color="auto"/>
              <w:bottom w:val="single" w:sz="4" w:space="0" w:color="000000" w:themeColor="text1"/>
              <w:right w:val="single" w:sz="4" w:space="0" w:color="000000" w:themeColor="text1"/>
            </w:tcBorders>
            <w:vAlign w:val="center"/>
          </w:tcPr>
          <w:p w14:paraId="47BF8100" w14:textId="69D3F409" w:rsidR="004A27CF" w:rsidRPr="00F6205B" w:rsidRDefault="004A27CF" w:rsidP="004A27CF">
            <w:pPr>
              <w:keepNext/>
              <w:keepLines/>
              <w:spacing w:after="0"/>
              <w:rPr>
                <w:sz w:val="20"/>
                <w:szCs w:val="20"/>
              </w:rPr>
            </w:pPr>
            <w:r w:rsidRPr="003F2F7C">
              <w:rPr>
                <w:sz w:val="20"/>
                <w:szCs w:val="20"/>
              </w:rPr>
              <w:t>R</w:t>
            </w:r>
            <w:r>
              <w:rPr>
                <w:sz w:val="20"/>
                <w:szCs w:val="20"/>
              </w:rPr>
              <w:t xml:space="preserve">eplace oil storage DHW </w:t>
            </w:r>
            <w:r w:rsidRPr="003F2F7C">
              <w:rPr>
                <w:sz w:val="20"/>
                <w:szCs w:val="20"/>
              </w:rPr>
              <w:t>with more efficient oil storage</w:t>
            </w:r>
          </w:p>
        </w:tc>
        <w:tc>
          <w:tcPr>
            <w:tcW w:w="1290" w:type="dxa"/>
            <w:tcBorders>
              <w:top w:val="single" w:sz="4" w:space="0" w:color="auto"/>
              <w:bottom w:val="single" w:sz="4" w:space="0" w:color="000000" w:themeColor="text1"/>
            </w:tcBorders>
            <w:vAlign w:val="center"/>
          </w:tcPr>
          <w:p w14:paraId="18C4AD40" w14:textId="2012FB5B" w:rsidR="004A27CF" w:rsidRPr="00F6205B" w:rsidRDefault="004A27CF" w:rsidP="004A27CF">
            <w:pPr>
              <w:keepNext/>
              <w:keepLines/>
              <w:spacing w:after="0"/>
              <w:jc w:val="center"/>
              <w:rPr>
                <w:sz w:val="20"/>
                <w:szCs w:val="20"/>
              </w:rPr>
            </w:pPr>
            <w:r>
              <w:rPr>
                <w:sz w:val="20"/>
                <w:szCs w:val="20"/>
              </w:rPr>
              <w:t>9</w:t>
            </w:r>
          </w:p>
        </w:tc>
        <w:tc>
          <w:tcPr>
            <w:tcW w:w="4276"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C373855" w14:textId="24CDC45C" w:rsidR="004A27CF" w:rsidRPr="00F6205B" w:rsidRDefault="004A27CF" w:rsidP="004A27CF">
            <w:pPr>
              <w:keepNext/>
              <w:keepLines/>
              <w:spacing w:after="0"/>
              <w:rPr>
                <w:sz w:val="20"/>
                <w:szCs w:val="20"/>
              </w:rPr>
            </w:pPr>
            <w:r>
              <w:rPr>
                <w:sz w:val="20"/>
                <w:szCs w:val="20"/>
              </w:rPr>
              <w:t>0.63 EF</w:t>
            </w:r>
          </w:p>
        </w:tc>
      </w:tr>
      <w:tr w:rsidR="004A27CF" w:rsidRPr="00F6205B" w14:paraId="07C1154C" w14:textId="77777777" w:rsidTr="004A27CF">
        <w:trPr>
          <w:trHeight w:val="288"/>
          <w:jc w:val="center"/>
        </w:trPr>
        <w:tc>
          <w:tcPr>
            <w:tcW w:w="5470" w:type="dxa"/>
            <w:tcBorders>
              <w:top w:val="single" w:sz="4" w:space="0" w:color="auto"/>
              <w:left w:val="single" w:sz="4" w:space="0" w:color="auto"/>
              <w:bottom w:val="single" w:sz="4" w:space="0" w:color="000000" w:themeColor="text1"/>
              <w:right w:val="single" w:sz="4" w:space="0" w:color="000000" w:themeColor="text1"/>
            </w:tcBorders>
            <w:vAlign w:val="center"/>
          </w:tcPr>
          <w:p w14:paraId="3102DF67" w14:textId="0345FF80" w:rsidR="004A27CF" w:rsidRPr="00F6205B" w:rsidRDefault="004A27CF" w:rsidP="004A27CF">
            <w:pPr>
              <w:keepNext/>
              <w:keepLines/>
              <w:spacing w:after="0"/>
              <w:rPr>
                <w:sz w:val="20"/>
                <w:szCs w:val="20"/>
              </w:rPr>
            </w:pPr>
            <w:r w:rsidRPr="003F2F7C">
              <w:rPr>
                <w:sz w:val="20"/>
                <w:szCs w:val="20"/>
              </w:rPr>
              <w:t xml:space="preserve">Replace electric </w:t>
            </w:r>
            <w:r>
              <w:rPr>
                <w:sz w:val="20"/>
                <w:szCs w:val="20"/>
              </w:rPr>
              <w:t>DHW</w:t>
            </w:r>
            <w:r w:rsidRPr="003F2F7C">
              <w:rPr>
                <w:sz w:val="20"/>
                <w:szCs w:val="20"/>
              </w:rPr>
              <w:t xml:space="preserve"> with heat pump </w:t>
            </w:r>
            <w:r>
              <w:rPr>
                <w:sz w:val="20"/>
                <w:szCs w:val="20"/>
              </w:rPr>
              <w:t>DHW</w:t>
            </w:r>
          </w:p>
        </w:tc>
        <w:tc>
          <w:tcPr>
            <w:tcW w:w="1290" w:type="dxa"/>
            <w:tcBorders>
              <w:top w:val="single" w:sz="4" w:space="0" w:color="auto"/>
              <w:bottom w:val="single" w:sz="4" w:space="0" w:color="000000" w:themeColor="text1"/>
            </w:tcBorders>
            <w:vAlign w:val="center"/>
          </w:tcPr>
          <w:p w14:paraId="56413B66" w14:textId="42E64E68" w:rsidR="004A27CF" w:rsidRPr="00F6205B" w:rsidRDefault="004A27CF" w:rsidP="004A27CF">
            <w:pPr>
              <w:keepNext/>
              <w:keepLines/>
              <w:spacing w:after="0"/>
              <w:jc w:val="center"/>
              <w:rPr>
                <w:sz w:val="20"/>
                <w:szCs w:val="20"/>
              </w:rPr>
            </w:pPr>
            <w:r>
              <w:rPr>
                <w:sz w:val="20"/>
                <w:szCs w:val="20"/>
              </w:rPr>
              <w:t>42</w:t>
            </w:r>
          </w:p>
        </w:tc>
        <w:tc>
          <w:tcPr>
            <w:tcW w:w="4276"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F908EC0" w14:textId="7147F831" w:rsidR="004A27CF" w:rsidRPr="00F6205B" w:rsidRDefault="004A27CF" w:rsidP="004A27CF">
            <w:pPr>
              <w:keepNext/>
              <w:keepLines/>
              <w:spacing w:after="0"/>
              <w:rPr>
                <w:sz w:val="20"/>
                <w:szCs w:val="20"/>
              </w:rPr>
            </w:pPr>
            <w:r>
              <w:rPr>
                <w:sz w:val="20"/>
                <w:szCs w:val="20"/>
              </w:rPr>
              <w:t>2.3 EF</w:t>
            </w:r>
          </w:p>
        </w:tc>
      </w:tr>
      <w:tr w:rsidR="004A27CF" w:rsidRPr="00F6205B" w14:paraId="686C2B7F" w14:textId="77777777" w:rsidTr="004A27CF">
        <w:trPr>
          <w:trHeight w:val="288"/>
          <w:jc w:val="center"/>
        </w:trPr>
        <w:tc>
          <w:tcPr>
            <w:tcW w:w="5470" w:type="dxa"/>
            <w:tcBorders>
              <w:top w:val="single" w:sz="4" w:space="0" w:color="auto"/>
              <w:left w:val="single" w:sz="4" w:space="0" w:color="auto"/>
              <w:bottom w:val="single" w:sz="4" w:space="0" w:color="000000" w:themeColor="text1"/>
              <w:right w:val="single" w:sz="4" w:space="0" w:color="000000" w:themeColor="text1"/>
            </w:tcBorders>
            <w:vAlign w:val="center"/>
          </w:tcPr>
          <w:p w14:paraId="3466CE09" w14:textId="2F677923" w:rsidR="004A27CF" w:rsidRPr="00F6205B" w:rsidRDefault="004A27CF" w:rsidP="004A27CF">
            <w:pPr>
              <w:keepNext/>
              <w:keepLines/>
              <w:spacing w:after="0"/>
              <w:rPr>
                <w:sz w:val="20"/>
                <w:szCs w:val="20"/>
              </w:rPr>
            </w:pPr>
            <w:r w:rsidRPr="003F2F7C">
              <w:rPr>
                <w:sz w:val="20"/>
                <w:szCs w:val="20"/>
              </w:rPr>
              <w:t>Replace gas storage water heater with instantaneous</w:t>
            </w:r>
          </w:p>
        </w:tc>
        <w:tc>
          <w:tcPr>
            <w:tcW w:w="1290" w:type="dxa"/>
            <w:tcBorders>
              <w:top w:val="single" w:sz="4" w:space="0" w:color="auto"/>
              <w:bottom w:val="single" w:sz="4" w:space="0" w:color="000000" w:themeColor="text1"/>
            </w:tcBorders>
            <w:vAlign w:val="center"/>
          </w:tcPr>
          <w:p w14:paraId="66FB07FC" w14:textId="744FC40E" w:rsidR="004A27CF" w:rsidRPr="00F6205B" w:rsidRDefault="004A27CF" w:rsidP="004A27CF">
            <w:pPr>
              <w:keepNext/>
              <w:keepLines/>
              <w:spacing w:after="0"/>
              <w:jc w:val="center"/>
              <w:rPr>
                <w:sz w:val="20"/>
                <w:szCs w:val="20"/>
              </w:rPr>
            </w:pPr>
            <w:r>
              <w:rPr>
                <w:sz w:val="20"/>
                <w:szCs w:val="20"/>
              </w:rPr>
              <w:t>43</w:t>
            </w:r>
          </w:p>
        </w:tc>
        <w:tc>
          <w:tcPr>
            <w:tcW w:w="4276"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76E2AC9" w14:textId="1A5AF2E6" w:rsidR="004A27CF" w:rsidRPr="00F6205B" w:rsidRDefault="004A27CF" w:rsidP="004A27CF">
            <w:pPr>
              <w:keepNext/>
              <w:keepLines/>
              <w:spacing w:after="0"/>
              <w:rPr>
                <w:sz w:val="20"/>
                <w:szCs w:val="20"/>
              </w:rPr>
            </w:pPr>
            <w:r>
              <w:rPr>
                <w:sz w:val="20"/>
                <w:szCs w:val="20"/>
              </w:rPr>
              <w:t>0.93 EF</w:t>
            </w:r>
          </w:p>
        </w:tc>
      </w:tr>
      <w:tr w:rsidR="004A27CF" w:rsidRPr="00F6205B" w14:paraId="7A37C62C" w14:textId="77777777" w:rsidTr="004A27CF">
        <w:trPr>
          <w:trHeight w:val="288"/>
          <w:jc w:val="center"/>
        </w:trPr>
        <w:tc>
          <w:tcPr>
            <w:tcW w:w="547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3976213" w14:textId="2F9F10EE" w:rsidR="004A27CF" w:rsidRPr="00F6205B" w:rsidRDefault="004A27CF" w:rsidP="004A27CF">
            <w:pPr>
              <w:keepNext/>
              <w:keepLines/>
              <w:spacing w:after="0"/>
              <w:rPr>
                <w:sz w:val="20"/>
                <w:szCs w:val="20"/>
              </w:rPr>
            </w:pPr>
            <w:r w:rsidRPr="003F2F7C">
              <w:rPr>
                <w:sz w:val="20"/>
                <w:szCs w:val="20"/>
              </w:rPr>
              <w:t xml:space="preserve">Replace gas storage </w:t>
            </w:r>
            <w:r>
              <w:rPr>
                <w:sz w:val="20"/>
                <w:szCs w:val="20"/>
              </w:rPr>
              <w:t>DHW</w:t>
            </w:r>
            <w:r w:rsidRPr="003F2F7C">
              <w:rPr>
                <w:sz w:val="20"/>
                <w:szCs w:val="20"/>
              </w:rPr>
              <w:t xml:space="preserve"> with m</w:t>
            </w:r>
            <w:r>
              <w:rPr>
                <w:sz w:val="20"/>
                <w:szCs w:val="20"/>
              </w:rPr>
              <w:t>ore efficient gas storage</w:t>
            </w:r>
          </w:p>
        </w:tc>
        <w:tc>
          <w:tcPr>
            <w:tcW w:w="1290" w:type="dxa"/>
            <w:tcBorders>
              <w:top w:val="single" w:sz="4" w:space="0" w:color="000000" w:themeColor="text1"/>
              <w:bottom w:val="single" w:sz="4" w:space="0" w:color="000000" w:themeColor="text1"/>
            </w:tcBorders>
            <w:vAlign w:val="center"/>
          </w:tcPr>
          <w:p w14:paraId="719A49F7" w14:textId="0B4A08B3" w:rsidR="004A27CF" w:rsidRPr="00F6205B" w:rsidRDefault="004A27CF" w:rsidP="004A27CF">
            <w:pPr>
              <w:keepNext/>
              <w:keepLines/>
              <w:spacing w:after="0"/>
              <w:jc w:val="center"/>
              <w:rPr>
                <w:sz w:val="20"/>
                <w:szCs w:val="20"/>
              </w:rPr>
            </w:pPr>
            <w:r>
              <w:rPr>
                <w:sz w:val="20"/>
                <w:szCs w:val="20"/>
              </w:rPr>
              <w:t>39</w:t>
            </w:r>
          </w:p>
        </w:tc>
        <w:tc>
          <w:tcPr>
            <w:tcW w:w="4276"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7148B7B" w14:textId="10D6ED25" w:rsidR="004A27CF" w:rsidRPr="00F6205B" w:rsidRDefault="004A27CF" w:rsidP="004A27CF">
            <w:pPr>
              <w:keepNext/>
              <w:keepLines/>
              <w:spacing w:after="0"/>
              <w:rPr>
                <w:sz w:val="20"/>
                <w:szCs w:val="20"/>
              </w:rPr>
            </w:pPr>
            <w:r>
              <w:rPr>
                <w:sz w:val="20"/>
                <w:szCs w:val="20"/>
              </w:rPr>
              <w:t>0.8 EF</w:t>
            </w:r>
          </w:p>
        </w:tc>
      </w:tr>
      <w:tr w:rsidR="004A27CF" w:rsidRPr="00F6205B" w14:paraId="2595F875" w14:textId="77777777" w:rsidTr="004A27CF">
        <w:trPr>
          <w:trHeight w:val="288"/>
          <w:jc w:val="center"/>
        </w:trPr>
        <w:tc>
          <w:tcPr>
            <w:tcW w:w="547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8BA73AE" w14:textId="04594372" w:rsidR="004A27CF" w:rsidRPr="00F6205B" w:rsidRDefault="004A27CF" w:rsidP="004A27CF">
            <w:pPr>
              <w:keepNext/>
              <w:keepLines/>
              <w:spacing w:after="0"/>
              <w:rPr>
                <w:sz w:val="20"/>
                <w:szCs w:val="20"/>
              </w:rPr>
            </w:pPr>
            <w:r w:rsidRPr="003F2F7C">
              <w:rPr>
                <w:sz w:val="20"/>
                <w:szCs w:val="20"/>
              </w:rPr>
              <w:t xml:space="preserve">Replace gas storage </w:t>
            </w:r>
            <w:r>
              <w:rPr>
                <w:sz w:val="20"/>
                <w:szCs w:val="20"/>
              </w:rPr>
              <w:t>DHW</w:t>
            </w:r>
            <w:r w:rsidRPr="003F2F7C">
              <w:rPr>
                <w:sz w:val="20"/>
                <w:szCs w:val="20"/>
              </w:rPr>
              <w:t xml:space="preserve"> </w:t>
            </w:r>
            <w:r>
              <w:rPr>
                <w:sz w:val="20"/>
                <w:szCs w:val="20"/>
              </w:rPr>
              <w:t>with gas condensing</w:t>
            </w:r>
          </w:p>
        </w:tc>
        <w:tc>
          <w:tcPr>
            <w:tcW w:w="1290" w:type="dxa"/>
            <w:tcBorders>
              <w:top w:val="single" w:sz="4" w:space="0" w:color="000000" w:themeColor="text1"/>
              <w:bottom w:val="single" w:sz="4" w:space="0" w:color="000000" w:themeColor="text1"/>
            </w:tcBorders>
            <w:vAlign w:val="center"/>
          </w:tcPr>
          <w:p w14:paraId="33F4B10E" w14:textId="1AF37B50" w:rsidR="004A27CF" w:rsidRPr="00F6205B" w:rsidRDefault="004A27CF" w:rsidP="004A27CF">
            <w:pPr>
              <w:keepNext/>
              <w:keepLines/>
              <w:spacing w:after="0"/>
              <w:jc w:val="center"/>
              <w:rPr>
                <w:sz w:val="20"/>
                <w:szCs w:val="20"/>
              </w:rPr>
            </w:pPr>
            <w:r>
              <w:rPr>
                <w:sz w:val="20"/>
                <w:szCs w:val="20"/>
              </w:rPr>
              <w:t>39</w:t>
            </w:r>
          </w:p>
        </w:tc>
        <w:tc>
          <w:tcPr>
            <w:tcW w:w="4276"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D392D91" w14:textId="36BEC370" w:rsidR="004A27CF" w:rsidRPr="00F6205B" w:rsidRDefault="004A27CF" w:rsidP="004A27CF">
            <w:pPr>
              <w:keepNext/>
              <w:keepLines/>
              <w:spacing w:after="0"/>
              <w:rPr>
                <w:sz w:val="20"/>
                <w:szCs w:val="20"/>
              </w:rPr>
            </w:pPr>
            <w:r>
              <w:rPr>
                <w:sz w:val="20"/>
                <w:szCs w:val="20"/>
              </w:rPr>
              <w:t>0.9 EF</w:t>
            </w:r>
          </w:p>
        </w:tc>
      </w:tr>
      <w:tr w:rsidR="004A27CF" w:rsidRPr="00F6205B" w14:paraId="3C862756" w14:textId="77777777" w:rsidTr="004A27CF">
        <w:trPr>
          <w:trHeight w:val="288"/>
          <w:jc w:val="center"/>
        </w:trPr>
        <w:tc>
          <w:tcPr>
            <w:tcW w:w="5470" w:type="dxa"/>
            <w:tcBorders>
              <w:top w:val="single" w:sz="4" w:space="0" w:color="000000" w:themeColor="text1"/>
              <w:left w:val="single" w:sz="4" w:space="0" w:color="auto"/>
              <w:bottom w:val="single" w:sz="4" w:space="0" w:color="auto"/>
              <w:right w:val="single" w:sz="4" w:space="0" w:color="000000" w:themeColor="text1"/>
            </w:tcBorders>
            <w:vAlign w:val="center"/>
          </w:tcPr>
          <w:p w14:paraId="05695FBF" w14:textId="6F7D1CBE" w:rsidR="004A27CF" w:rsidRPr="00F6205B" w:rsidRDefault="004A27CF" w:rsidP="004A27CF">
            <w:pPr>
              <w:keepNext/>
              <w:keepLines/>
              <w:spacing w:after="0"/>
              <w:rPr>
                <w:sz w:val="20"/>
                <w:szCs w:val="20"/>
              </w:rPr>
            </w:pPr>
            <w:r w:rsidRPr="003F2F7C">
              <w:rPr>
                <w:sz w:val="20"/>
                <w:szCs w:val="20"/>
              </w:rPr>
              <w:t xml:space="preserve">Replace </w:t>
            </w:r>
            <w:r>
              <w:rPr>
                <w:sz w:val="20"/>
                <w:szCs w:val="20"/>
              </w:rPr>
              <w:t>LP</w:t>
            </w:r>
            <w:r w:rsidRPr="003F2F7C">
              <w:rPr>
                <w:sz w:val="20"/>
                <w:szCs w:val="20"/>
              </w:rPr>
              <w:t xml:space="preserve"> storage water heater with instantaneous</w:t>
            </w:r>
          </w:p>
        </w:tc>
        <w:tc>
          <w:tcPr>
            <w:tcW w:w="1290" w:type="dxa"/>
            <w:tcBorders>
              <w:top w:val="single" w:sz="4" w:space="0" w:color="000000" w:themeColor="text1"/>
              <w:bottom w:val="single" w:sz="4" w:space="0" w:color="auto"/>
            </w:tcBorders>
            <w:vAlign w:val="center"/>
          </w:tcPr>
          <w:p w14:paraId="368AE18D" w14:textId="5A324B6A" w:rsidR="004A27CF" w:rsidRPr="00F6205B" w:rsidRDefault="004A27CF" w:rsidP="004A27CF">
            <w:pPr>
              <w:keepNext/>
              <w:keepLines/>
              <w:spacing w:after="0"/>
              <w:jc w:val="center"/>
              <w:rPr>
                <w:sz w:val="20"/>
                <w:szCs w:val="20"/>
              </w:rPr>
            </w:pPr>
            <w:r>
              <w:rPr>
                <w:sz w:val="20"/>
                <w:szCs w:val="20"/>
              </w:rPr>
              <w:t>6</w:t>
            </w:r>
          </w:p>
        </w:tc>
        <w:tc>
          <w:tcPr>
            <w:tcW w:w="4276"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8FBBCC9" w14:textId="6578CCE8" w:rsidR="004A27CF" w:rsidRPr="00F6205B" w:rsidRDefault="004A27CF" w:rsidP="004A27CF">
            <w:pPr>
              <w:keepNext/>
              <w:keepLines/>
              <w:spacing w:after="0"/>
              <w:rPr>
                <w:sz w:val="20"/>
                <w:szCs w:val="20"/>
              </w:rPr>
            </w:pPr>
            <w:r>
              <w:rPr>
                <w:sz w:val="20"/>
                <w:szCs w:val="20"/>
              </w:rPr>
              <w:t>0.93 EF</w:t>
            </w:r>
          </w:p>
        </w:tc>
      </w:tr>
      <w:tr w:rsidR="004A27CF" w:rsidRPr="00F6205B" w14:paraId="059B9E77" w14:textId="77777777" w:rsidTr="004A27CF">
        <w:trPr>
          <w:trHeight w:val="288"/>
          <w:jc w:val="center"/>
        </w:trPr>
        <w:tc>
          <w:tcPr>
            <w:tcW w:w="5470" w:type="dxa"/>
            <w:tcBorders>
              <w:top w:val="single" w:sz="4" w:space="0" w:color="auto"/>
              <w:left w:val="single" w:sz="4" w:space="0" w:color="auto"/>
              <w:bottom w:val="single" w:sz="4" w:space="0" w:color="000000" w:themeColor="text1"/>
              <w:right w:val="single" w:sz="4" w:space="0" w:color="000000" w:themeColor="text1"/>
            </w:tcBorders>
            <w:vAlign w:val="center"/>
          </w:tcPr>
          <w:p w14:paraId="019FF08D" w14:textId="2DC484EF" w:rsidR="004A27CF" w:rsidRPr="00F6205B" w:rsidRDefault="004A27CF" w:rsidP="004A27CF">
            <w:pPr>
              <w:keepNext/>
              <w:keepLines/>
              <w:spacing w:after="0"/>
              <w:rPr>
                <w:sz w:val="20"/>
                <w:szCs w:val="20"/>
              </w:rPr>
            </w:pPr>
            <w:r w:rsidRPr="003F2F7C">
              <w:rPr>
                <w:sz w:val="20"/>
                <w:szCs w:val="20"/>
              </w:rPr>
              <w:t xml:space="preserve">Replace </w:t>
            </w:r>
            <w:r>
              <w:rPr>
                <w:sz w:val="20"/>
                <w:szCs w:val="20"/>
              </w:rPr>
              <w:t>LP</w:t>
            </w:r>
            <w:r w:rsidRPr="003F2F7C">
              <w:rPr>
                <w:sz w:val="20"/>
                <w:szCs w:val="20"/>
              </w:rPr>
              <w:t xml:space="preserve"> storage </w:t>
            </w:r>
            <w:r>
              <w:rPr>
                <w:sz w:val="20"/>
                <w:szCs w:val="20"/>
              </w:rPr>
              <w:t>DHW</w:t>
            </w:r>
            <w:r w:rsidRPr="003F2F7C">
              <w:rPr>
                <w:sz w:val="20"/>
                <w:szCs w:val="20"/>
              </w:rPr>
              <w:t xml:space="preserve"> with more efficient </w:t>
            </w:r>
            <w:r>
              <w:rPr>
                <w:sz w:val="20"/>
                <w:szCs w:val="20"/>
              </w:rPr>
              <w:t>LP</w:t>
            </w:r>
            <w:r w:rsidRPr="003F2F7C">
              <w:rPr>
                <w:sz w:val="20"/>
                <w:szCs w:val="20"/>
              </w:rPr>
              <w:t xml:space="preserve"> storage</w:t>
            </w:r>
          </w:p>
        </w:tc>
        <w:tc>
          <w:tcPr>
            <w:tcW w:w="1290" w:type="dxa"/>
            <w:tcBorders>
              <w:top w:val="single" w:sz="4" w:space="0" w:color="auto"/>
              <w:bottom w:val="single" w:sz="4" w:space="0" w:color="000000" w:themeColor="text1"/>
            </w:tcBorders>
            <w:vAlign w:val="center"/>
          </w:tcPr>
          <w:p w14:paraId="6FDC10AF" w14:textId="7CCB52B4" w:rsidR="004A27CF" w:rsidRPr="00F6205B" w:rsidRDefault="004A27CF" w:rsidP="004A27CF">
            <w:pPr>
              <w:keepNext/>
              <w:keepLines/>
              <w:spacing w:after="0"/>
              <w:jc w:val="center"/>
              <w:rPr>
                <w:sz w:val="20"/>
                <w:szCs w:val="20"/>
              </w:rPr>
            </w:pPr>
            <w:r>
              <w:rPr>
                <w:sz w:val="20"/>
                <w:szCs w:val="20"/>
              </w:rPr>
              <w:t>4</w:t>
            </w:r>
          </w:p>
        </w:tc>
        <w:tc>
          <w:tcPr>
            <w:tcW w:w="4276"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8790402" w14:textId="64D18065" w:rsidR="004A27CF" w:rsidRPr="00F6205B" w:rsidRDefault="004A27CF" w:rsidP="004A27CF">
            <w:pPr>
              <w:keepNext/>
              <w:keepLines/>
              <w:spacing w:after="0"/>
              <w:rPr>
                <w:sz w:val="20"/>
                <w:szCs w:val="20"/>
              </w:rPr>
            </w:pPr>
            <w:r>
              <w:rPr>
                <w:sz w:val="20"/>
                <w:szCs w:val="20"/>
              </w:rPr>
              <w:t>0.8 EF</w:t>
            </w:r>
          </w:p>
        </w:tc>
      </w:tr>
      <w:tr w:rsidR="004A27CF" w:rsidRPr="00F6205B" w14:paraId="5AD99543" w14:textId="77777777" w:rsidTr="004A27CF">
        <w:trPr>
          <w:trHeight w:val="288"/>
          <w:jc w:val="center"/>
        </w:trPr>
        <w:tc>
          <w:tcPr>
            <w:tcW w:w="547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E1AF7A0" w14:textId="672C8B7B" w:rsidR="004A27CF" w:rsidRPr="00F6205B" w:rsidRDefault="004A27CF" w:rsidP="004A27CF">
            <w:pPr>
              <w:keepNext/>
              <w:keepLines/>
              <w:spacing w:after="0"/>
              <w:rPr>
                <w:sz w:val="20"/>
                <w:szCs w:val="20"/>
              </w:rPr>
            </w:pPr>
            <w:r w:rsidRPr="003F2F7C">
              <w:rPr>
                <w:sz w:val="20"/>
                <w:szCs w:val="20"/>
              </w:rPr>
              <w:t xml:space="preserve">Replace </w:t>
            </w:r>
            <w:r>
              <w:rPr>
                <w:sz w:val="20"/>
                <w:szCs w:val="20"/>
              </w:rPr>
              <w:t>LP</w:t>
            </w:r>
            <w:r w:rsidRPr="003F2F7C">
              <w:rPr>
                <w:sz w:val="20"/>
                <w:szCs w:val="20"/>
              </w:rPr>
              <w:t xml:space="preserve"> stora</w:t>
            </w:r>
            <w:r>
              <w:rPr>
                <w:sz w:val="20"/>
                <w:szCs w:val="20"/>
              </w:rPr>
              <w:t>ge water heater with LP condensing</w:t>
            </w:r>
          </w:p>
        </w:tc>
        <w:tc>
          <w:tcPr>
            <w:tcW w:w="1290" w:type="dxa"/>
            <w:tcBorders>
              <w:top w:val="single" w:sz="4" w:space="0" w:color="000000" w:themeColor="text1"/>
              <w:bottom w:val="single" w:sz="4" w:space="0" w:color="000000" w:themeColor="text1"/>
            </w:tcBorders>
            <w:vAlign w:val="center"/>
          </w:tcPr>
          <w:p w14:paraId="2B9A780A" w14:textId="719880D8" w:rsidR="004A27CF" w:rsidRPr="00F6205B" w:rsidRDefault="004A27CF" w:rsidP="004A27CF">
            <w:pPr>
              <w:keepNext/>
              <w:keepLines/>
              <w:spacing w:after="0"/>
              <w:jc w:val="center"/>
              <w:rPr>
                <w:sz w:val="20"/>
                <w:szCs w:val="20"/>
              </w:rPr>
            </w:pPr>
            <w:r>
              <w:rPr>
                <w:sz w:val="20"/>
                <w:szCs w:val="20"/>
              </w:rPr>
              <w:t>4</w:t>
            </w:r>
          </w:p>
        </w:tc>
        <w:tc>
          <w:tcPr>
            <w:tcW w:w="4276"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FFBD2F9" w14:textId="767B1C6C" w:rsidR="004A27CF" w:rsidRPr="00F6205B" w:rsidRDefault="004A27CF" w:rsidP="004A27CF">
            <w:pPr>
              <w:keepNext/>
              <w:keepLines/>
              <w:spacing w:after="0"/>
              <w:rPr>
                <w:sz w:val="20"/>
                <w:szCs w:val="20"/>
              </w:rPr>
            </w:pPr>
            <w:r>
              <w:rPr>
                <w:sz w:val="20"/>
                <w:szCs w:val="20"/>
              </w:rPr>
              <w:t>0.9 EF</w:t>
            </w:r>
          </w:p>
        </w:tc>
      </w:tr>
      <w:tr w:rsidR="004A27CF" w:rsidRPr="00F6205B" w14:paraId="7D98FF19" w14:textId="77777777" w:rsidTr="004A27CF">
        <w:trPr>
          <w:trHeight w:val="288"/>
          <w:jc w:val="center"/>
        </w:trPr>
        <w:tc>
          <w:tcPr>
            <w:tcW w:w="547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8402060" w14:textId="32EFD28A" w:rsidR="004A27CF" w:rsidRPr="00F6205B" w:rsidRDefault="004A27CF" w:rsidP="004A27CF">
            <w:pPr>
              <w:keepNext/>
              <w:keepLines/>
              <w:spacing w:after="0"/>
              <w:rPr>
                <w:sz w:val="20"/>
                <w:szCs w:val="20"/>
              </w:rPr>
            </w:pPr>
            <w:r w:rsidRPr="003F2F7C">
              <w:rPr>
                <w:sz w:val="20"/>
                <w:szCs w:val="20"/>
              </w:rPr>
              <w:t>Increase water heater tank wrap R-value</w:t>
            </w:r>
          </w:p>
        </w:tc>
        <w:tc>
          <w:tcPr>
            <w:tcW w:w="1290" w:type="dxa"/>
            <w:tcBorders>
              <w:top w:val="single" w:sz="4" w:space="0" w:color="000000" w:themeColor="text1"/>
              <w:bottom w:val="single" w:sz="4" w:space="0" w:color="000000" w:themeColor="text1"/>
            </w:tcBorders>
            <w:vAlign w:val="center"/>
          </w:tcPr>
          <w:p w14:paraId="7F26F86F" w14:textId="48499FAF" w:rsidR="004A27CF" w:rsidRPr="00F6205B" w:rsidRDefault="004A27CF" w:rsidP="004A27CF">
            <w:pPr>
              <w:keepNext/>
              <w:keepLines/>
              <w:spacing w:after="0"/>
              <w:jc w:val="center"/>
              <w:rPr>
                <w:sz w:val="20"/>
                <w:szCs w:val="20"/>
              </w:rPr>
            </w:pPr>
            <w:r>
              <w:rPr>
                <w:sz w:val="20"/>
                <w:szCs w:val="20"/>
              </w:rPr>
              <w:t>102</w:t>
            </w:r>
          </w:p>
        </w:tc>
        <w:tc>
          <w:tcPr>
            <w:tcW w:w="4276"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515BA4E" w14:textId="28F5ED67" w:rsidR="004A27CF" w:rsidRPr="00F6205B" w:rsidRDefault="004A27CF" w:rsidP="004A27CF">
            <w:pPr>
              <w:keepNext/>
              <w:keepLines/>
              <w:spacing w:after="0"/>
              <w:rPr>
                <w:sz w:val="20"/>
                <w:szCs w:val="20"/>
              </w:rPr>
            </w:pPr>
            <w:r>
              <w:rPr>
                <w:sz w:val="20"/>
                <w:szCs w:val="20"/>
              </w:rPr>
              <w:t>R-10 tank wrap</w:t>
            </w:r>
          </w:p>
        </w:tc>
      </w:tr>
      <w:tr w:rsidR="004A27CF" w:rsidRPr="00F6205B" w14:paraId="6993B2EA" w14:textId="77777777" w:rsidTr="004A27CF">
        <w:trPr>
          <w:trHeight w:val="288"/>
          <w:jc w:val="center"/>
        </w:trPr>
        <w:tc>
          <w:tcPr>
            <w:tcW w:w="5470" w:type="dxa"/>
            <w:tcBorders>
              <w:top w:val="single" w:sz="4" w:space="0" w:color="000000" w:themeColor="text1"/>
              <w:left w:val="single" w:sz="4" w:space="0" w:color="auto"/>
              <w:bottom w:val="single" w:sz="4" w:space="0" w:color="auto"/>
              <w:right w:val="single" w:sz="4" w:space="0" w:color="000000" w:themeColor="text1"/>
            </w:tcBorders>
            <w:vAlign w:val="center"/>
          </w:tcPr>
          <w:p w14:paraId="717F6E32" w14:textId="356CBE57" w:rsidR="004A27CF" w:rsidRPr="00F6205B" w:rsidRDefault="004A27CF" w:rsidP="004A27CF">
            <w:pPr>
              <w:keepNext/>
              <w:keepLines/>
              <w:spacing w:after="0"/>
              <w:rPr>
                <w:sz w:val="20"/>
                <w:szCs w:val="20"/>
              </w:rPr>
            </w:pPr>
            <w:r>
              <w:rPr>
                <w:sz w:val="20"/>
                <w:szCs w:val="20"/>
              </w:rPr>
              <w:t>Install low-flow showerheads</w:t>
            </w:r>
          </w:p>
        </w:tc>
        <w:tc>
          <w:tcPr>
            <w:tcW w:w="1290" w:type="dxa"/>
            <w:tcBorders>
              <w:top w:val="single" w:sz="4" w:space="0" w:color="000000" w:themeColor="text1"/>
              <w:bottom w:val="single" w:sz="4" w:space="0" w:color="auto"/>
            </w:tcBorders>
            <w:vAlign w:val="center"/>
          </w:tcPr>
          <w:p w14:paraId="40B367C7" w14:textId="2467A827" w:rsidR="004A27CF" w:rsidRPr="00F6205B" w:rsidRDefault="004A27CF" w:rsidP="004A27CF">
            <w:pPr>
              <w:keepNext/>
              <w:keepLines/>
              <w:spacing w:after="0"/>
              <w:jc w:val="center"/>
              <w:rPr>
                <w:sz w:val="20"/>
                <w:szCs w:val="20"/>
              </w:rPr>
            </w:pPr>
            <w:r>
              <w:rPr>
                <w:sz w:val="20"/>
                <w:szCs w:val="20"/>
              </w:rPr>
              <w:t>180</w:t>
            </w:r>
          </w:p>
        </w:tc>
        <w:tc>
          <w:tcPr>
            <w:tcW w:w="4276" w:type="dxa"/>
            <w:vMerge w:val="restart"/>
            <w:tcBorders>
              <w:top w:val="single" w:sz="4" w:space="0" w:color="000000" w:themeColor="text1"/>
              <w:left w:val="single" w:sz="4" w:space="0" w:color="000000" w:themeColor="text1"/>
              <w:right w:val="single" w:sz="4" w:space="0" w:color="auto"/>
            </w:tcBorders>
            <w:vAlign w:val="center"/>
          </w:tcPr>
          <w:p w14:paraId="3DA1219F" w14:textId="004D2EF5" w:rsidR="004A27CF" w:rsidRPr="00F6205B" w:rsidRDefault="004A27CF" w:rsidP="004A27CF">
            <w:pPr>
              <w:keepNext/>
              <w:keepLines/>
              <w:spacing w:after="0"/>
              <w:rPr>
                <w:sz w:val="20"/>
                <w:szCs w:val="20"/>
              </w:rPr>
            </w:pPr>
            <w:r>
              <w:rPr>
                <w:sz w:val="20"/>
                <w:szCs w:val="20"/>
              </w:rPr>
              <w:t>Calculated using 2013 HES Program Savings Documentation</w:t>
            </w:r>
          </w:p>
        </w:tc>
      </w:tr>
      <w:tr w:rsidR="004A27CF" w:rsidRPr="00F6205B" w14:paraId="2B83EE62" w14:textId="77777777" w:rsidTr="004A27CF">
        <w:trPr>
          <w:trHeight w:val="288"/>
          <w:jc w:val="center"/>
        </w:trPr>
        <w:tc>
          <w:tcPr>
            <w:tcW w:w="5470" w:type="dxa"/>
            <w:tcBorders>
              <w:top w:val="single" w:sz="4" w:space="0" w:color="000000" w:themeColor="text1"/>
              <w:left w:val="single" w:sz="4" w:space="0" w:color="auto"/>
              <w:bottom w:val="single" w:sz="4" w:space="0" w:color="auto"/>
              <w:right w:val="single" w:sz="4" w:space="0" w:color="000000" w:themeColor="text1"/>
            </w:tcBorders>
            <w:vAlign w:val="center"/>
          </w:tcPr>
          <w:p w14:paraId="6243B943" w14:textId="27CEF104" w:rsidR="004A27CF" w:rsidRPr="003F2F7C" w:rsidRDefault="004A27CF" w:rsidP="004A27CF">
            <w:pPr>
              <w:keepNext/>
              <w:keepLines/>
              <w:spacing w:after="0"/>
              <w:rPr>
                <w:sz w:val="20"/>
                <w:szCs w:val="20"/>
              </w:rPr>
            </w:pPr>
            <w:r>
              <w:rPr>
                <w:sz w:val="20"/>
                <w:szCs w:val="20"/>
              </w:rPr>
              <w:t>Install faucet aerators</w:t>
            </w:r>
          </w:p>
        </w:tc>
        <w:tc>
          <w:tcPr>
            <w:tcW w:w="1290" w:type="dxa"/>
            <w:tcBorders>
              <w:top w:val="single" w:sz="4" w:space="0" w:color="000000" w:themeColor="text1"/>
              <w:bottom w:val="single" w:sz="4" w:space="0" w:color="auto"/>
            </w:tcBorders>
            <w:vAlign w:val="center"/>
          </w:tcPr>
          <w:p w14:paraId="5B271BA6" w14:textId="7D7286CE" w:rsidR="004A27CF" w:rsidRPr="00F6205B" w:rsidRDefault="004A27CF" w:rsidP="004A27CF">
            <w:pPr>
              <w:keepNext/>
              <w:keepLines/>
              <w:spacing w:after="0"/>
              <w:jc w:val="center"/>
              <w:rPr>
                <w:sz w:val="20"/>
                <w:szCs w:val="20"/>
              </w:rPr>
            </w:pPr>
            <w:r>
              <w:rPr>
                <w:sz w:val="20"/>
                <w:szCs w:val="20"/>
              </w:rPr>
              <w:t>180</w:t>
            </w:r>
          </w:p>
        </w:tc>
        <w:tc>
          <w:tcPr>
            <w:tcW w:w="4276" w:type="dxa"/>
            <w:vMerge/>
            <w:tcBorders>
              <w:left w:val="single" w:sz="4" w:space="0" w:color="000000" w:themeColor="text1"/>
              <w:right w:val="single" w:sz="4" w:space="0" w:color="auto"/>
            </w:tcBorders>
            <w:vAlign w:val="center"/>
          </w:tcPr>
          <w:p w14:paraId="065CA71E" w14:textId="53D80513" w:rsidR="004A27CF" w:rsidRPr="00F6205B" w:rsidRDefault="004A27CF" w:rsidP="004A27CF">
            <w:pPr>
              <w:keepNext/>
              <w:keepLines/>
              <w:spacing w:after="0"/>
              <w:rPr>
                <w:sz w:val="20"/>
                <w:szCs w:val="20"/>
              </w:rPr>
            </w:pPr>
          </w:p>
        </w:tc>
      </w:tr>
      <w:tr w:rsidR="004A27CF" w:rsidRPr="00F6205B" w14:paraId="1022BAFE" w14:textId="77777777" w:rsidTr="004A27CF">
        <w:trPr>
          <w:trHeight w:val="288"/>
          <w:jc w:val="center"/>
        </w:trPr>
        <w:tc>
          <w:tcPr>
            <w:tcW w:w="5470" w:type="dxa"/>
            <w:tcBorders>
              <w:top w:val="single" w:sz="4" w:space="0" w:color="000000" w:themeColor="text1"/>
              <w:left w:val="single" w:sz="4" w:space="0" w:color="auto"/>
              <w:bottom w:val="single" w:sz="4" w:space="0" w:color="auto"/>
              <w:right w:val="single" w:sz="4" w:space="0" w:color="000000" w:themeColor="text1"/>
            </w:tcBorders>
            <w:vAlign w:val="center"/>
          </w:tcPr>
          <w:p w14:paraId="14E2BB0A" w14:textId="1F6C6EB4" w:rsidR="004A27CF" w:rsidRDefault="004A27CF" w:rsidP="004A27CF">
            <w:pPr>
              <w:keepNext/>
              <w:keepLines/>
              <w:spacing w:after="0"/>
              <w:rPr>
                <w:sz w:val="20"/>
                <w:szCs w:val="20"/>
              </w:rPr>
            </w:pPr>
            <w:r>
              <w:rPr>
                <w:sz w:val="20"/>
                <w:szCs w:val="20"/>
              </w:rPr>
              <w:t>Add DHW pipe insulation</w:t>
            </w:r>
          </w:p>
        </w:tc>
        <w:tc>
          <w:tcPr>
            <w:tcW w:w="1290" w:type="dxa"/>
            <w:tcBorders>
              <w:top w:val="single" w:sz="4" w:space="0" w:color="000000" w:themeColor="text1"/>
              <w:bottom w:val="single" w:sz="4" w:space="0" w:color="auto"/>
            </w:tcBorders>
            <w:vAlign w:val="center"/>
          </w:tcPr>
          <w:p w14:paraId="592E3118" w14:textId="4D3A3655" w:rsidR="004A27CF" w:rsidRPr="00F6205B" w:rsidRDefault="004A27CF" w:rsidP="004A27CF">
            <w:pPr>
              <w:keepNext/>
              <w:keepLines/>
              <w:spacing w:after="0"/>
              <w:jc w:val="center"/>
              <w:rPr>
                <w:sz w:val="20"/>
                <w:szCs w:val="20"/>
              </w:rPr>
            </w:pPr>
            <w:r>
              <w:rPr>
                <w:sz w:val="20"/>
                <w:szCs w:val="20"/>
              </w:rPr>
              <w:t>138</w:t>
            </w:r>
          </w:p>
        </w:tc>
        <w:tc>
          <w:tcPr>
            <w:tcW w:w="4276" w:type="dxa"/>
            <w:vMerge/>
            <w:tcBorders>
              <w:left w:val="single" w:sz="4" w:space="0" w:color="000000" w:themeColor="text1"/>
              <w:bottom w:val="single" w:sz="4" w:space="0" w:color="auto"/>
              <w:right w:val="single" w:sz="4" w:space="0" w:color="auto"/>
            </w:tcBorders>
            <w:vAlign w:val="center"/>
          </w:tcPr>
          <w:p w14:paraId="5C1E43FA" w14:textId="77777777" w:rsidR="004A27CF" w:rsidRPr="00F6205B" w:rsidRDefault="004A27CF" w:rsidP="004A27CF">
            <w:pPr>
              <w:keepNext/>
              <w:keepLines/>
              <w:spacing w:after="0"/>
              <w:rPr>
                <w:sz w:val="20"/>
                <w:szCs w:val="20"/>
              </w:rPr>
            </w:pPr>
          </w:p>
        </w:tc>
      </w:tr>
    </w:tbl>
    <w:p w14:paraId="26C50CD1" w14:textId="644E1A97" w:rsidR="004A27CF" w:rsidRDefault="004A27CF" w:rsidP="004A27CF"/>
    <w:p w14:paraId="235EF996" w14:textId="39216CF9" w:rsidR="00F425DF" w:rsidRDefault="00F425DF" w:rsidP="00F425DF">
      <w:pPr>
        <w:pStyle w:val="Caption"/>
      </w:pPr>
      <w:bookmarkStart w:id="490" w:name="_Toc439931876"/>
      <w:r>
        <w:t xml:space="preserve">Table </w:t>
      </w:r>
      <w:fldSimple w:instr=" SEQ Table \* ARABIC ">
        <w:r w:rsidR="00FA26A9">
          <w:rPr>
            <w:noProof/>
          </w:rPr>
          <w:t>45</w:t>
        </w:r>
      </w:fldSimple>
      <w:r>
        <w:t>: Lighting &amp; Appliance Measure Upgrades</w:t>
      </w:r>
      <w:bookmarkEnd w:id="490"/>
    </w:p>
    <w:tbl>
      <w:tblPr>
        <w:tblStyle w:val="TableGrid"/>
        <w:tblW w:w="7846"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3282"/>
        <w:gridCol w:w="1290"/>
        <w:gridCol w:w="3274"/>
      </w:tblGrid>
      <w:tr w:rsidR="00F425DF" w:rsidRPr="00F6205B" w14:paraId="7B140152" w14:textId="77777777" w:rsidTr="001A26D0">
        <w:trPr>
          <w:trHeight w:val="288"/>
          <w:jc w:val="center"/>
        </w:trPr>
        <w:tc>
          <w:tcPr>
            <w:tcW w:w="3282" w:type="dxa"/>
            <w:tcBorders>
              <w:top w:val="single" w:sz="4" w:space="0" w:color="auto"/>
              <w:left w:val="single" w:sz="4" w:space="0" w:color="auto"/>
              <w:bottom w:val="single" w:sz="4" w:space="0" w:color="000000" w:themeColor="text1"/>
              <w:right w:val="single" w:sz="4" w:space="0" w:color="auto"/>
            </w:tcBorders>
            <w:shd w:val="clear" w:color="auto" w:fill="0B4D2C" w:themeFill="background2" w:themeFillShade="BF"/>
            <w:vAlign w:val="center"/>
          </w:tcPr>
          <w:p w14:paraId="4E30AA05" w14:textId="77777777" w:rsidR="00F425DF" w:rsidRPr="00F6205B" w:rsidRDefault="00F425DF" w:rsidP="00AD4AA9">
            <w:pPr>
              <w:keepNext/>
              <w:keepLines/>
              <w:spacing w:after="0"/>
              <w:rPr>
                <w:b/>
                <w:sz w:val="20"/>
                <w:szCs w:val="20"/>
              </w:rPr>
            </w:pPr>
            <w:r>
              <w:rPr>
                <w:b/>
                <w:sz w:val="20"/>
                <w:szCs w:val="20"/>
              </w:rPr>
              <w:t>Measure</w:t>
            </w:r>
          </w:p>
        </w:tc>
        <w:tc>
          <w:tcPr>
            <w:tcW w:w="1290" w:type="dxa"/>
            <w:tcBorders>
              <w:top w:val="single" w:sz="4" w:space="0" w:color="auto"/>
              <w:bottom w:val="single" w:sz="4" w:space="0" w:color="000000" w:themeColor="text1"/>
              <w:right w:val="single" w:sz="4" w:space="0" w:color="auto"/>
            </w:tcBorders>
            <w:shd w:val="clear" w:color="auto" w:fill="0B4D2C" w:themeFill="background2" w:themeFillShade="BF"/>
            <w:vAlign w:val="center"/>
          </w:tcPr>
          <w:p w14:paraId="3BF7567C" w14:textId="77777777" w:rsidR="00F425DF" w:rsidRPr="00F6205B" w:rsidRDefault="00F425DF" w:rsidP="00AD4AA9">
            <w:pPr>
              <w:keepNext/>
              <w:keepLines/>
              <w:spacing w:after="0"/>
              <w:jc w:val="center"/>
              <w:rPr>
                <w:b/>
                <w:sz w:val="20"/>
                <w:szCs w:val="20"/>
              </w:rPr>
            </w:pPr>
            <w:r>
              <w:rPr>
                <w:b/>
                <w:sz w:val="20"/>
                <w:szCs w:val="20"/>
              </w:rPr>
              <w:t>Applicable Sites</w:t>
            </w:r>
          </w:p>
        </w:tc>
        <w:tc>
          <w:tcPr>
            <w:tcW w:w="3274" w:type="dxa"/>
            <w:tcBorders>
              <w:top w:val="single" w:sz="4" w:space="0" w:color="auto"/>
              <w:bottom w:val="single" w:sz="4" w:space="0" w:color="000000" w:themeColor="text1"/>
              <w:right w:val="single" w:sz="4" w:space="0" w:color="auto"/>
            </w:tcBorders>
            <w:shd w:val="clear" w:color="auto" w:fill="0B4D2C" w:themeFill="background2" w:themeFillShade="BF"/>
            <w:vAlign w:val="center"/>
          </w:tcPr>
          <w:p w14:paraId="1ABDB6A1" w14:textId="77777777" w:rsidR="00F425DF" w:rsidRPr="00F6205B" w:rsidRDefault="00F425DF" w:rsidP="00AD4AA9">
            <w:pPr>
              <w:keepNext/>
              <w:keepLines/>
              <w:spacing w:after="0"/>
              <w:jc w:val="center"/>
              <w:rPr>
                <w:b/>
                <w:sz w:val="20"/>
                <w:szCs w:val="20"/>
              </w:rPr>
            </w:pPr>
            <w:r>
              <w:rPr>
                <w:b/>
                <w:sz w:val="20"/>
                <w:szCs w:val="20"/>
              </w:rPr>
              <w:t>Upgrade</w:t>
            </w:r>
          </w:p>
        </w:tc>
      </w:tr>
      <w:tr w:rsidR="00F425DF" w:rsidRPr="00F6205B" w14:paraId="416A1AE3" w14:textId="77777777" w:rsidTr="001A26D0">
        <w:trPr>
          <w:trHeight w:val="288"/>
          <w:jc w:val="center"/>
        </w:trPr>
        <w:tc>
          <w:tcPr>
            <w:tcW w:w="3282" w:type="dxa"/>
            <w:tcBorders>
              <w:top w:val="single" w:sz="4" w:space="0" w:color="auto"/>
              <w:left w:val="single" w:sz="4" w:space="0" w:color="auto"/>
              <w:bottom w:val="single" w:sz="4" w:space="0" w:color="000000" w:themeColor="text1"/>
              <w:right w:val="single" w:sz="4" w:space="0" w:color="000000" w:themeColor="text1"/>
            </w:tcBorders>
            <w:vAlign w:val="center"/>
          </w:tcPr>
          <w:p w14:paraId="4983A7E4" w14:textId="0A1ED432" w:rsidR="00F425DF" w:rsidRPr="00F6205B" w:rsidRDefault="00F425DF" w:rsidP="00AD4AA9">
            <w:pPr>
              <w:keepNext/>
              <w:keepLines/>
              <w:spacing w:after="0"/>
              <w:rPr>
                <w:sz w:val="20"/>
                <w:szCs w:val="20"/>
              </w:rPr>
            </w:pPr>
            <w:r>
              <w:rPr>
                <w:sz w:val="20"/>
                <w:szCs w:val="20"/>
              </w:rPr>
              <w:t>Upgrade refrigerator</w:t>
            </w:r>
          </w:p>
        </w:tc>
        <w:tc>
          <w:tcPr>
            <w:tcW w:w="1290" w:type="dxa"/>
            <w:tcBorders>
              <w:top w:val="single" w:sz="4" w:space="0" w:color="auto"/>
              <w:bottom w:val="single" w:sz="4" w:space="0" w:color="000000" w:themeColor="text1"/>
            </w:tcBorders>
            <w:vAlign w:val="center"/>
          </w:tcPr>
          <w:p w14:paraId="5ACCAE78" w14:textId="53F33991" w:rsidR="00F425DF" w:rsidRPr="00F6205B" w:rsidRDefault="001A26D0" w:rsidP="00AD4AA9">
            <w:pPr>
              <w:keepNext/>
              <w:keepLines/>
              <w:spacing w:after="0"/>
              <w:jc w:val="center"/>
              <w:rPr>
                <w:sz w:val="20"/>
                <w:szCs w:val="20"/>
              </w:rPr>
            </w:pPr>
            <w:r>
              <w:rPr>
                <w:sz w:val="20"/>
                <w:szCs w:val="20"/>
              </w:rPr>
              <w:t>180</w:t>
            </w:r>
          </w:p>
        </w:tc>
        <w:tc>
          <w:tcPr>
            <w:tcW w:w="327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94E06DC" w14:textId="64D51107" w:rsidR="00F425DF" w:rsidRPr="00F6205B" w:rsidRDefault="001A26D0" w:rsidP="00AD4AA9">
            <w:pPr>
              <w:keepNext/>
              <w:keepLines/>
              <w:spacing w:after="0"/>
              <w:rPr>
                <w:sz w:val="20"/>
                <w:szCs w:val="20"/>
              </w:rPr>
            </w:pPr>
            <w:r>
              <w:rPr>
                <w:sz w:val="20"/>
                <w:szCs w:val="20"/>
              </w:rPr>
              <w:t>319 kWh/yr</w:t>
            </w:r>
          </w:p>
        </w:tc>
      </w:tr>
      <w:tr w:rsidR="00F425DF" w:rsidRPr="00F6205B" w14:paraId="32626DAD" w14:textId="77777777" w:rsidTr="001A26D0">
        <w:trPr>
          <w:trHeight w:val="288"/>
          <w:jc w:val="center"/>
        </w:trPr>
        <w:tc>
          <w:tcPr>
            <w:tcW w:w="3282"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E963EC6" w14:textId="41A3E029" w:rsidR="00F425DF" w:rsidRPr="00F6205B" w:rsidRDefault="00F425DF" w:rsidP="00AD4AA9">
            <w:pPr>
              <w:keepNext/>
              <w:keepLines/>
              <w:spacing w:after="0"/>
              <w:rPr>
                <w:sz w:val="20"/>
                <w:szCs w:val="20"/>
              </w:rPr>
            </w:pPr>
            <w:r>
              <w:rPr>
                <w:sz w:val="20"/>
                <w:szCs w:val="20"/>
              </w:rPr>
              <w:t>Upgrade freezer</w:t>
            </w:r>
          </w:p>
        </w:tc>
        <w:tc>
          <w:tcPr>
            <w:tcW w:w="1290" w:type="dxa"/>
            <w:tcBorders>
              <w:top w:val="single" w:sz="4" w:space="0" w:color="000000" w:themeColor="text1"/>
              <w:bottom w:val="single" w:sz="4" w:space="0" w:color="000000" w:themeColor="text1"/>
            </w:tcBorders>
            <w:vAlign w:val="center"/>
          </w:tcPr>
          <w:p w14:paraId="04F2F046" w14:textId="338CC6C1" w:rsidR="00F425DF" w:rsidRPr="00F6205B" w:rsidRDefault="001A26D0" w:rsidP="00AD4AA9">
            <w:pPr>
              <w:keepNext/>
              <w:keepLines/>
              <w:spacing w:after="0"/>
              <w:jc w:val="center"/>
              <w:rPr>
                <w:sz w:val="20"/>
                <w:szCs w:val="20"/>
              </w:rPr>
            </w:pPr>
            <w:r>
              <w:rPr>
                <w:sz w:val="20"/>
                <w:szCs w:val="20"/>
              </w:rPr>
              <w:t>60</w:t>
            </w:r>
          </w:p>
        </w:tc>
        <w:tc>
          <w:tcPr>
            <w:tcW w:w="327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6F865B3" w14:textId="563245FC" w:rsidR="00F425DF" w:rsidRPr="00F6205B" w:rsidRDefault="001A26D0" w:rsidP="00AD4AA9">
            <w:pPr>
              <w:keepNext/>
              <w:keepLines/>
              <w:spacing w:after="0"/>
              <w:rPr>
                <w:sz w:val="20"/>
                <w:szCs w:val="20"/>
              </w:rPr>
            </w:pPr>
            <w:r>
              <w:rPr>
                <w:sz w:val="20"/>
                <w:szCs w:val="20"/>
              </w:rPr>
              <w:t>188 kWh/yr</w:t>
            </w:r>
          </w:p>
        </w:tc>
      </w:tr>
      <w:tr w:rsidR="00F425DF" w:rsidRPr="00F6205B" w14:paraId="4E516634" w14:textId="77777777" w:rsidTr="001A26D0">
        <w:trPr>
          <w:trHeight w:val="288"/>
          <w:jc w:val="center"/>
        </w:trPr>
        <w:tc>
          <w:tcPr>
            <w:tcW w:w="3282"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5166430" w14:textId="5573D039" w:rsidR="00F425DF" w:rsidRPr="00F6205B" w:rsidRDefault="00F425DF" w:rsidP="00AD4AA9">
            <w:pPr>
              <w:keepNext/>
              <w:keepLines/>
              <w:spacing w:after="0"/>
              <w:rPr>
                <w:sz w:val="20"/>
                <w:szCs w:val="20"/>
              </w:rPr>
            </w:pPr>
            <w:r>
              <w:rPr>
                <w:sz w:val="20"/>
                <w:szCs w:val="20"/>
              </w:rPr>
              <w:t>Upgrade dishwasher</w:t>
            </w:r>
          </w:p>
        </w:tc>
        <w:tc>
          <w:tcPr>
            <w:tcW w:w="1290" w:type="dxa"/>
            <w:tcBorders>
              <w:top w:val="single" w:sz="4" w:space="0" w:color="000000" w:themeColor="text1"/>
              <w:bottom w:val="single" w:sz="4" w:space="0" w:color="000000" w:themeColor="text1"/>
            </w:tcBorders>
            <w:vAlign w:val="center"/>
          </w:tcPr>
          <w:p w14:paraId="470E2CDA" w14:textId="49D45520" w:rsidR="00F425DF" w:rsidRPr="00F6205B" w:rsidRDefault="001A26D0" w:rsidP="00AD4AA9">
            <w:pPr>
              <w:keepNext/>
              <w:keepLines/>
              <w:spacing w:after="0"/>
              <w:jc w:val="center"/>
              <w:rPr>
                <w:sz w:val="20"/>
                <w:szCs w:val="20"/>
              </w:rPr>
            </w:pPr>
            <w:r>
              <w:rPr>
                <w:sz w:val="20"/>
                <w:szCs w:val="20"/>
              </w:rPr>
              <w:t>164</w:t>
            </w:r>
          </w:p>
        </w:tc>
        <w:tc>
          <w:tcPr>
            <w:tcW w:w="327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5DB6F81" w14:textId="3A0312A0" w:rsidR="00F425DF" w:rsidRPr="00F6205B" w:rsidRDefault="001A26D0" w:rsidP="00AD4AA9">
            <w:pPr>
              <w:keepNext/>
              <w:keepLines/>
              <w:spacing w:after="0"/>
              <w:rPr>
                <w:sz w:val="20"/>
                <w:szCs w:val="20"/>
              </w:rPr>
            </w:pPr>
            <w:r>
              <w:rPr>
                <w:sz w:val="20"/>
                <w:szCs w:val="20"/>
              </w:rPr>
              <w:t>1.28 EF, 170 kWh/yr</w:t>
            </w:r>
          </w:p>
        </w:tc>
      </w:tr>
      <w:tr w:rsidR="00F425DF" w:rsidRPr="00F6205B" w14:paraId="4BF9DE3B" w14:textId="77777777" w:rsidTr="001A26D0">
        <w:trPr>
          <w:trHeight w:val="288"/>
          <w:jc w:val="center"/>
        </w:trPr>
        <w:tc>
          <w:tcPr>
            <w:tcW w:w="3282" w:type="dxa"/>
            <w:tcBorders>
              <w:top w:val="single" w:sz="4" w:space="0" w:color="000000" w:themeColor="text1"/>
              <w:left w:val="single" w:sz="4" w:space="0" w:color="auto"/>
              <w:bottom w:val="single" w:sz="4" w:space="0" w:color="auto"/>
              <w:right w:val="single" w:sz="4" w:space="0" w:color="000000" w:themeColor="text1"/>
            </w:tcBorders>
            <w:vAlign w:val="center"/>
          </w:tcPr>
          <w:p w14:paraId="23CAB787" w14:textId="43F2A3F3" w:rsidR="00F425DF" w:rsidRPr="00F6205B" w:rsidRDefault="00F425DF" w:rsidP="00AD4AA9">
            <w:pPr>
              <w:keepNext/>
              <w:keepLines/>
              <w:spacing w:after="0"/>
              <w:rPr>
                <w:sz w:val="20"/>
                <w:szCs w:val="20"/>
              </w:rPr>
            </w:pPr>
            <w:r>
              <w:rPr>
                <w:sz w:val="20"/>
                <w:szCs w:val="20"/>
              </w:rPr>
              <w:t>Upgrade clothes washer</w:t>
            </w:r>
          </w:p>
        </w:tc>
        <w:tc>
          <w:tcPr>
            <w:tcW w:w="1290" w:type="dxa"/>
            <w:tcBorders>
              <w:top w:val="single" w:sz="4" w:space="0" w:color="000000" w:themeColor="text1"/>
              <w:bottom w:val="single" w:sz="4" w:space="0" w:color="auto"/>
            </w:tcBorders>
            <w:vAlign w:val="center"/>
          </w:tcPr>
          <w:p w14:paraId="32EF7954" w14:textId="6A898772" w:rsidR="00F425DF" w:rsidRPr="00F6205B" w:rsidRDefault="001A26D0" w:rsidP="00AD4AA9">
            <w:pPr>
              <w:keepNext/>
              <w:keepLines/>
              <w:spacing w:after="0"/>
              <w:jc w:val="center"/>
              <w:rPr>
                <w:sz w:val="20"/>
                <w:szCs w:val="20"/>
              </w:rPr>
            </w:pPr>
            <w:r>
              <w:rPr>
                <w:sz w:val="20"/>
                <w:szCs w:val="20"/>
              </w:rPr>
              <w:t>177</w:t>
            </w:r>
          </w:p>
        </w:tc>
        <w:tc>
          <w:tcPr>
            <w:tcW w:w="327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80E69B4" w14:textId="2ABD90B0" w:rsidR="00F425DF" w:rsidRPr="00F6205B" w:rsidRDefault="001A26D0" w:rsidP="00AD4AA9">
            <w:pPr>
              <w:keepNext/>
              <w:keepLines/>
              <w:spacing w:after="0"/>
              <w:rPr>
                <w:sz w:val="20"/>
                <w:szCs w:val="20"/>
              </w:rPr>
            </w:pPr>
            <w:r>
              <w:rPr>
                <w:sz w:val="20"/>
                <w:szCs w:val="20"/>
              </w:rPr>
              <w:t>Calculated using 2013 HES Program Savings Documentation</w:t>
            </w:r>
          </w:p>
        </w:tc>
      </w:tr>
      <w:tr w:rsidR="00F425DF" w:rsidRPr="00F6205B" w14:paraId="6B23C6E6" w14:textId="77777777" w:rsidTr="001A26D0">
        <w:trPr>
          <w:trHeight w:val="288"/>
          <w:jc w:val="center"/>
        </w:trPr>
        <w:tc>
          <w:tcPr>
            <w:tcW w:w="3282" w:type="dxa"/>
            <w:tcBorders>
              <w:top w:val="single" w:sz="4" w:space="0" w:color="auto"/>
              <w:left w:val="single" w:sz="4" w:space="0" w:color="auto"/>
              <w:bottom w:val="single" w:sz="4" w:space="0" w:color="000000" w:themeColor="text1"/>
              <w:right w:val="single" w:sz="4" w:space="0" w:color="000000" w:themeColor="text1"/>
            </w:tcBorders>
            <w:vAlign w:val="center"/>
          </w:tcPr>
          <w:p w14:paraId="4BCF4DFB" w14:textId="4BF8DC85" w:rsidR="00F425DF" w:rsidRPr="00F6205B" w:rsidRDefault="00F425DF" w:rsidP="00AD4AA9">
            <w:pPr>
              <w:keepNext/>
              <w:keepLines/>
              <w:spacing w:after="0"/>
              <w:rPr>
                <w:sz w:val="20"/>
                <w:szCs w:val="20"/>
              </w:rPr>
            </w:pPr>
            <w:r>
              <w:rPr>
                <w:sz w:val="20"/>
                <w:szCs w:val="20"/>
              </w:rPr>
              <w:t>Install dehumidifier</w:t>
            </w:r>
          </w:p>
        </w:tc>
        <w:tc>
          <w:tcPr>
            <w:tcW w:w="1290" w:type="dxa"/>
            <w:tcBorders>
              <w:top w:val="single" w:sz="4" w:space="0" w:color="auto"/>
              <w:bottom w:val="single" w:sz="4" w:space="0" w:color="000000" w:themeColor="text1"/>
            </w:tcBorders>
            <w:vAlign w:val="center"/>
          </w:tcPr>
          <w:p w14:paraId="6AEF7A23" w14:textId="5EB4A0B8" w:rsidR="00F425DF" w:rsidRPr="00F6205B" w:rsidRDefault="001A26D0" w:rsidP="00AD4AA9">
            <w:pPr>
              <w:keepNext/>
              <w:keepLines/>
              <w:spacing w:after="0"/>
              <w:jc w:val="center"/>
              <w:rPr>
                <w:sz w:val="20"/>
                <w:szCs w:val="20"/>
              </w:rPr>
            </w:pPr>
            <w:r>
              <w:rPr>
                <w:sz w:val="20"/>
                <w:szCs w:val="20"/>
              </w:rPr>
              <w:t>49</w:t>
            </w:r>
          </w:p>
        </w:tc>
        <w:tc>
          <w:tcPr>
            <w:tcW w:w="327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02D7666" w14:textId="4F0CBB28" w:rsidR="00F425DF" w:rsidRPr="00F6205B" w:rsidRDefault="001A26D0" w:rsidP="00AD4AA9">
            <w:pPr>
              <w:keepNext/>
              <w:keepLines/>
              <w:spacing w:after="0"/>
              <w:rPr>
                <w:sz w:val="20"/>
                <w:szCs w:val="20"/>
              </w:rPr>
            </w:pPr>
            <w:r>
              <w:rPr>
                <w:sz w:val="20"/>
                <w:szCs w:val="20"/>
              </w:rPr>
              <w:t>2.6 EF</w:t>
            </w:r>
          </w:p>
        </w:tc>
      </w:tr>
      <w:tr w:rsidR="00F425DF" w:rsidRPr="00F6205B" w14:paraId="46B9700F" w14:textId="77777777" w:rsidTr="001A26D0">
        <w:trPr>
          <w:trHeight w:val="288"/>
          <w:jc w:val="center"/>
        </w:trPr>
        <w:tc>
          <w:tcPr>
            <w:tcW w:w="3282"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69246F6" w14:textId="533E7B97" w:rsidR="00F425DF" w:rsidRPr="00F6205B" w:rsidRDefault="00F425DF" w:rsidP="00AD4AA9">
            <w:pPr>
              <w:keepNext/>
              <w:keepLines/>
              <w:spacing w:after="0"/>
              <w:rPr>
                <w:sz w:val="20"/>
                <w:szCs w:val="20"/>
              </w:rPr>
            </w:pPr>
            <w:r>
              <w:rPr>
                <w:sz w:val="20"/>
                <w:szCs w:val="20"/>
              </w:rPr>
              <w:t>Increase socket saturation of efficient lighting</w:t>
            </w:r>
          </w:p>
        </w:tc>
        <w:tc>
          <w:tcPr>
            <w:tcW w:w="1290" w:type="dxa"/>
            <w:tcBorders>
              <w:top w:val="single" w:sz="4" w:space="0" w:color="000000" w:themeColor="text1"/>
              <w:bottom w:val="single" w:sz="4" w:space="0" w:color="000000" w:themeColor="text1"/>
            </w:tcBorders>
            <w:vAlign w:val="center"/>
          </w:tcPr>
          <w:p w14:paraId="44B938B0" w14:textId="7AFC88A7" w:rsidR="00F425DF" w:rsidRPr="00F6205B" w:rsidRDefault="001A26D0" w:rsidP="00AD4AA9">
            <w:pPr>
              <w:keepNext/>
              <w:keepLines/>
              <w:spacing w:after="0"/>
              <w:jc w:val="center"/>
              <w:rPr>
                <w:sz w:val="20"/>
                <w:szCs w:val="20"/>
              </w:rPr>
            </w:pPr>
            <w:r>
              <w:rPr>
                <w:sz w:val="20"/>
                <w:szCs w:val="20"/>
              </w:rPr>
              <w:t>180</w:t>
            </w:r>
          </w:p>
        </w:tc>
        <w:tc>
          <w:tcPr>
            <w:tcW w:w="327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0C0924E" w14:textId="3E0EE136" w:rsidR="00F425DF" w:rsidRPr="00F6205B" w:rsidRDefault="001A26D0" w:rsidP="00AD4AA9">
            <w:pPr>
              <w:keepNext/>
              <w:keepLines/>
              <w:spacing w:after="0"/>
              <w:rPr>
                <w:sz w:val="20"/>
                <w:szCs w:val="20"/>
              </w:rPr>
            </w:pPr>
            <w:r>
              <w:rPr>
                <w:sz w:val="20"/>
                <w:szCs w:val="20"/>
              </w:rPr>
              <w:t>Increase saturation to 100%</w:t>
            </w:r>
          </w:p>
        </w:tc>
      </w:tr>
    </w:tbl>
    <w:p w14:paraId="7E3F10F5" w14:textId="5F03E285" w:rsidR="00F425DF" w:rsidRDefault="00F425DF" w:rsidP="004A27CF"/>
    <w:p w14:paraId="3315FF87" w14:textId="065A0383" w:rsidR="001A26D0" w:rsidRDefault="001A26D0" w:rsidP="001A26D0">
      <w:pPr>
        <w:pStyle w:val="Caption"/>
      </w:pPr>
      <w:bookmarkStart w:id="491" w:name="_Toc439931877"/>
      <w:r>
        <w:t xml:space="preserve">Table </w:t>
      </w:r>
      <w:fldSimple w:instr=" SEQ Table \* ARABIC ">
        <w:r w:rsidR="00FA26A9">
          <w:rPr>
            <w:noProof/>
          </w:rPr>
          <w:t>46</w:t>
        </w:r>
      </w:fldSimple>
      <w:r>
        <w:t>: Heat Pump &amp; Solar Technology Measure Upgrades</w:t>
      </w:r>
      <w:bookmarkEnd w:id="491"/>
    </w:p>
    <w:tbl>
      <w:tblPr>
        <w:tblStyle w:val="TableGrid"/>
        <w:tblW w:w="7846"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3282"/>
        <w:gridCol w:w="1290"/>
        <w:gridCol w:w="3274"/>
      </w:tblGrid>
      <w:tr w:rsidR="001A26D0" w:rsidRPr="00F6205B" w14:paraId="65A32FD6" w14:textId="77777777" w:rsidTr="00AD4AA9">
        <w:trPr>
          <w:trHeight w:val="288"/>
          <w:jc w:val="center"/>
        </w:trPr>
        <w:tc>
          <w:tcPr>
            <w:tcW w:w="3282" w:type="dxa"/>
            <w:tcBorders>
              <w:top w:val="single" w:sz="4" w:space="0" w:color="auto"/>
              <w:left w:val="single" w:sz="4" w:space="0" w:color="auto"/>
              <w:bottom w:val="single" w:sz="4" w:space="0" w:color="000000" w:themeColor="text1"/>
              <w:right w:val="single" w:sz="4" w:space="0" w:color="auto"/>
            </w:tcBorders>
            <w:shd w:val="clear" w:color="auto" w:fill="0B4D2C" w:themeFill="background2" w:themeFillShade="BF"/>
            <w:vAlign w:val="center"/>
          </w:tcPr>
          <w:p w14:paraId="56690430" w14:textId="77777777" w:rsidR="001A26D0" w:rsidRPr="00F6205B" w:rsidRDefault="001A26D0" w:rsidP="00AD4AA9">
            <w:pPr>
              <w:keepNext/>
              <w:keepLines/>
              <w:spacing w:after="0"/>
              <w:rPr>
                <w:b/>
                <w:sz w:val="20"/>
                <w:szCs w:val="20"/>
              </w:rPr>
            </w:pPr>
            <w:r>
              <w:rPr>
                <w:b/>
                <w:sz w:val="20"/>
                <w:szCs w:val="20"/>
              </w:rPr>
              <w:t>Measure</w:t>
            </w:r>
          </w:p>
        </w:tc>
        <w:tc>
          <w:tcPr>
            <w:tcW w:w="1290" w:type="dxa"/>
            <w:tcBorders>
              <w:top w:val="single" w:sz="4" w:space="0" w:color="auto"/>
              <w:bottom w:val="single" w:sz="4" w:space="0" w:color="000000" w:themeColor="text1"/>
              <w:right w:val="single" w:sz="4" w:space="0" w:color="auto"/>
            </w:tcBorders>
            <w:shd w:val="clear" w:color="auto" w:fill="0B4D2C" w:themeFill="background2" w:themeFillShade="BF"/>
            <w:vAlign w:val="center"/>
          </w:tcPr>
          <w:p w14:paraId="15D29B3A" w14:textId="77777777" w:rsidR="001A26D0" w:rsidRPr="00F6205B" w:rsidRDefault="001A26D0" w:rsidP="00AD4AA9">
            <w:pPr>
              <w:keepNext/>
              <w:keepLines/>
              <w:spacing w:after="0"/>
              <w:jc w:val="center"/>
              <w:rPr>
                <w:b/>
                <w:sz w:val="20"/>
                <w:szCs w:val="20"/>
              </w:rPr>
            </w:pPr>
            <w:r>
              <w:rPr>
                <w:b/>
                <w:sz w:val="20"/>
                <w:szCs w:val="20"/>
              </w:rPr>
              <w:t>Applicable Sites</w:t>
            </w:r>
          </w:p>
        </w:tc>
        <w:tc>
          <w:tcPr>
            <w:tcW w:w="3274" w:type="dxa"/>
            <w:tcBorders>
              <w:top w:val="single" w:sz="4" w:space="0" w:color="auto"/>
              <w:bottom w:val="single" w:sz="4" w:space="0" w:color="000000" w:themeColor="text1"/>
              <w:right w:val="single" w:sz="4" w:space="0" w:color="auto"/>
            </w:tcBorders>
            <w:shd w:val="clear" w:color="auto" w:fill="0B4D2C" w:themeFill="background2" w:themeFillShade="BF"/>
            <w:vAlign w:val="center"/>
          </w:tcPr>
          <w:p w14:paraId="4B99C83A" w14:textId="77777777" w:rsidR="001A26D0" w:rsidRPr="00F6205B" w:rsidRDefault="001A26D0" w:rsidP="00AD4AA9">
            <w:pPr>
              <w:keepNext/>
              <w:keepLines/>
              <w:spacing w:after="0"/>
              <w:jc w:val="center"/>
              <w:rPr>
                <w:b/>
                <w:sz w:val="20"/>
                <w:szCs w:val="20"/>
              </w:rPr>
            </w:pPr>
            <w:r>
              <w:rPr>
                <w:b/>
                <w:sz w:val="20"/>
                <w:szCs w:val="20"/>
              </w:rPr>
              <w:t>Upgrade</w:t>
            </w:r>
          </w:p>
        </w:tc>
      </w:tr>
      <w:tr w:rsidR="001A26D0" w:rsidRPr="00F6205B" w14:paraId="5DEA1FDD" w14:textId="77777777" w:rsidTr="00AD4AA9">
        <w:trPr>
          <w:trHeight w:val="288"/>
          <w:jc w:val="center"/>
        </w:trPr>
        <w:tc>
          <w:tcPr>
            <w:tcW w:w="3282" w:type="dxa"/>
            <w:tcBorders>
              <w:top w:val="single" w:sz="4" w:space="0" w:color="auto"/>
              <w:left w:val="single" w:sz="4" w:space="0" w:color="auto"/>
              <w:bottom w:val="single" w:sz="4" w:space="0" w:color="000000" w:themeColor="text1"/>
              <w:right w:val="single" w:sz="4" w:space="0" w:color="000000" w:themeColor="text1"/>
            </w:tcBorders>
            <w:vAlign w:val="center"/>
          </w:tcPr>
          <w:p w14:paraId="406F0B9E" w14:textId="47BF725E" w:rsidR="001A26D0" w:rsidRPr="00F6205B" w:rsidRDefault="001A26D0" w:rsidP="00AD4AA9">
            <w:pPr>
              <w:keepNext/>
              <w:keepLines/>
              <w:spacing w:after="0"/>
              <w:rPr>
                <w:sz w:val="20"/>
                <w:szCs w:val="20"/>
              </w:rPr>
            </w:pPr>
            <w:r>
              <w:rPr>
                <w:sz w:val="20"/>
                <w:szCs w:val="20"/>
              </w:rPr>
              <w:t>Install ground source heat pump</w:t>
            </w:r>
          </w:p>
        </w:tc>
        <w:tc>
          <w:tcPr>
            <w:tcW w:w="1290" w:type="dxa"/>
            <w:tcBorders>
              <w:top w:val="single" w:sz="4" w:space="0" w:color="auto"/>
              <w:bottom w:val="single" w:sz="4" w:space="0" w:color="000000" w:themeColor="text1"/>
            </w:tcBorders>
            <w:vAlign w:val="center"/>
          </w:tcPr>
          <w:p w14:paraId="7F1D954B" w14:textId="0D3F20A0" w:rsidR="001A26D0" w:rsidRPr="00F6205B" w:rsidRDefault="001A26D0" w:rsidP="00AD4AA9">
            <w:pPr>
              <w:keepNext/>
              <w:keepLines/>
              <w:spacing w:after="0"/>
              <w:jc w:val="center"/>
              <w:rPr>
                <w:sz w:val="20"/>
                <w:szCs w:val="20"/>
              </w:rPr>
            </w:pPr>
            <w:r>
              <w:rPr>
                <w:sz w:val="20"/>
                <w:szCs w:val="20"/>
              </w:rPr>
              <w:t>103</w:t>
            </w:r>
          </w:p>
        </w:tc>
        <w:tc>
          <w:tcPr>
            <w:tcW w:w="327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CF569D7" w14:textId="2FC35137" w:rsidR="001A26D0" w:rsidRPr="00F6205B" w:rsidRDefault="001A26D0" w:rsidP="00AD4AA9">
            <w:pPr>
              <w:keepNext/>
              <w:keepLines/>
              <w:spacing w:after="0"/>
              <w:rPr>
                <w:sz w:val="20"/>
                <w:szCs w:val="20"/>
              </w:rPr>
            </w:pPr>
            <w:r>
              <w:rPr>
                <w:sz w:val="20"/>
                <w:szCs w:val="20"/>
              </w:rPr>
              <w:t>17.1 EER, 3.6 COP</w:t>
            </w:r>
          </w:p>
        </w:tc>
      </w:tr>
      <w:tr w:rsidR="001A26D0" w:rsidRPr="00F6205B" w14:paraId="16664A7E" w14:textId="77777777" w:rsidTr="00AD4AA9">
        <w:trPr>
          <w:trHeight w:val="288"/>
          <w:jc w:val="center"/>
        </w:trPr>
        <w:tc>
          <w:tcPr>
            <w:tcW w:w="3282"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9D55B6A" w14:textId="78B55951" w:rsidR="001A26D0" w:rsidRPr="00F6205B" w:rsidRDefault="001A26D0" w:rsidP="00AD4AA9">
            <w:pPr>
              <w:keepNext/>
              <w:keepLines/>
              <w:spacing w:after="0"/>
              <w:rPr>
                <w:sz w:val="20"/>
                <w:szCs w:val="20"/>
              </w:rPr>
            </w:pPr>
            <w:r>
              <w:rPr>
                <w:sz w:val="20"/>
                <w:szCs w:val="20"/>
              </w:rPr>
              <w:t>Install air source heat pump</w:t>
            </w:r>
          </w:p>
        </w:tc>
        <w:tc>
          <w:tcPr>
            <w:tcW w:w="1290" w:type="dxa"/>
            <w:tcBorders>
              <w:top w:val="single" w:sz="4" w:space="0" w:color="000000" w:themeColor="text1"/>
              <w:bottom w:val="single" w:sz="4" w:space="0" w:color="000000" w:themeColor="text1"/>
            </w:tcBorders>
            <w:vAlign w:val="center"/>
          </w:tcPr>
          <w:p w14:paraId="0920F490" w14:textId="69E67F14" w:rsidR="001A26D0" w:rsidRPr="00F6205B" w:rsidRDefault="001A26D0" w:rsidP="00AD4AA9">
            <w:pPr>
              <w:keepNext/>
              <w:keepLines/>
              <w:spacing w:after="0"/>
              <w:jc w:val="center"/>
              <w:rPr>
                <w:sz w:val="20"/>
                <w:szCs w:val="20"/>
              </w:rPr>
            </w:pPr>
            <w:r>
              <w:rPr>
                <w:sz w:val="20"/>
                <w:szCs w:val="20"/>
              </w:rPr>
              <w:t>104</w:t>
            </w:r>
          </w:p>
        </w:tc>
        <w:tc>
          <w:tcPr>
            <w:tcW w:w="327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052DFF3" w14:textId="71B08DD2" w:rsidR="001A26D0" w:rsidRPr="00F6205B" w:rsidRDefault="001A26D0" w:rsidP="00AD4AA9">
            <w:pPr>
              <w:keepNext/>
              <w:keepLines/>
              <w:spacing w:after="0"/>
              <w:rPr>
                <w:sz w:val="20"/>
                <w:szCs w:val="20"/>
              </w:rPr>
            </w:pPr>
            <w:r>
              <w:rPr>
                <w:sz w:val="20"/>
                <w:szCs w:val="20"/>
              </w:rPr>
              <w:t>22.1 SEER, 11.3 HSPF</w:t>
            </w:r>
          </w:p>
        </w:tc>
      </w:tr>
      <w:tr w:rsidR="001A26D0" w:rsidRPr="00F6205B" w14:paraId="7D7D0B9C" w14:textId="77777777" w:rsidTr="00AD4AA9">
        <w:trPr>
          <w:trHeight w:val="288"/>
          <w:jc w:val="center"/>
        </w:trPr>
        <w:tc>
          <w:tcPr>
            <w:tcW w:w="3282"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D4475C0" w14:textId="668018A0" w:rsidR="001A26D0" w:rsidRPr="00F6205B" w:rsidRDefault="001A26D0" w:rsidP="00AD4AA9">
            <w:pPr>
              <w:keepNext/>
              <w:keepLines/>
              <w:spacing w:after="0"/>
              <w:rPr>
                <w:sz w:val="20"/>
                <w:szCs w:val="20"/>
              </w:rPr>
            </w:pPr>
            <w:r>
              <w:rPr>
                <w:sz w:val="20"/>
                <w:szCs w:val="20"/>
              </w:rPr>
              <w:t>Install ductless mini-split</w:t>
            </w:r>
          </w:p>
        </w:tc>
        <w:tc>
          <w:tcPr>
            <w:tcW w:w="1290" w:type="dxa"/>
            <w:tcBorders>
              <w:top w:val="single" w:sz="4" w:space="0" w:color="000000" w:themeColor="text1"/>
              <w:bottom w:val="single" w:sz="4" w:space="0" w:color="000000" w:themeColor="text1"/>
            </w:tcBorders>
            <w:vAlign w:val="center"/>
          </w:tcPr>
          <w:p w14:paraId="76662681" w14:textId="1F3EA17A" w:rsidR="001A26D0" w:rsidRPr="00F6205B" w:rsidRDefault="001A26D0" w:rsidP="00AD4AA9">
            <w:pPr>
              <w:keepNext/>
              <w:keepLines/>
              <w:spacing w:after="0"/>
              <w:jc w:val="center"/>
              <w:rPr>
                <w:sz w:val="20"/>
                <w:szCs w:val="20"/>
              </w:rPr>
            </w:pPr>
            <w:r>
              <w:rPr>
                <w:sz w:val="20"/>
                <w:szCs w:val="20"/>
              </w:rPr>
              <w:t>180</w:t>
            </w:r>
          </w:p>
        </w:tc>
        <w:tc>
          <w:tcPr>
            <w:tcW w:w="327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7E02876" w14:textId="7BBFDC71" w:rsidR="001A26D0" w:rsidRPr="00F6205B" w:rsidRDefault="001A26D0" w:rsidP="00AD4AA9">
            <w:pPr>
              <w:keepNext/>
              <w:keepLines/>
              <w:spacing w:after="0"/>
              <w:rPr>
                <w:sz w:val="20"/>
                <w:szCs w:val="20"/>
              </w:rPr>
            </w:pPr>
            <w:r>
              <w:rPr>
                <w:sz w:val="20"/>
                <w:szCs w:val="20"/>
              </w:rPr>
              <w:t>12.1 EER (19.2 SEER), 3.0 COP (10.3 HSPF)</w:t>
            </w:r>
          </w:p>
        </w:tc>
      </w:tr>
      <w:tr w:rsidR="001A26D0" w:rsidRPr="00F6205B" w14:paraId="681B6428" w14:textId="77777777" w:rsidTr="00AD4AA9">
        <w:trPr>
          <w:trHeight w:val="288"/>
          <w:jc w:val="center"/>
        </w:trPr>
        <w:tc>
          <w:tcPr>
            <w:tcW w:w="3282" w:type="dxa"/>
            <w:tcBorders>
              <w:top w:val="single" w:sz="4" w:space="0" w:color="000000" w:themeColor="text1"/>
              <w:left w:val="single" w:sz="4" w:space="0" w:color="auto"/>
              <w:bottom w:val="single" w:sz="4" w:space="0" w:color="auto"/>
              <w:right w:val="single" w:sz="4" w:space="0" w:color="000000" w:themeColor="text1"/>
            </w:tcBorders>
            <w:vAlign w:val="center"/>
          </w:tcPr>
          <w:p w14:paraId="41334A38" w14:textId="0E9CB516" w:rsidR="001A26D0" w:rsidRPr="00F6205B" w:rsidRDefault="001A26D0" w:rsidP="00AD4AA9">
            <w:pPr>
              <w:keepNext/>
              <w:keepLines/>
              <w:spacing w:after="0"/>
              <w:rPr>
                <w:sz w:val="20"/>
                <w:szCs w:val="20"/>
              </w:rPr>
            </w:pPr>
            <w:r>
              <w:rPr>
                <w:sz w:val="20"/>
                <w:szCs w:val="20"/>
              </w:rPr>
              <w:t>Add photovoltaic array</w:t>
            </w:r>
          </w:p>
        </w:tc>
        <w:tc>
          <w:tcPr>
            <w:tcW w:w="1290" w:type="dxa"/>
            <w:tcBorders>
              <w:top w:val="single" w:sz="4" w:space="0" w:color="000000" w:themeColor="text1"/>
              <w:bottom w:val="single" w:sz="4" w:space="0" w:color="auto"/>
            </w:tcBorders>
            <w:vAlign w:val="center"/>
          </w:tcPr>
          <w:p w14:paraId="67B32B92" w14:textId="484EDF9B" w:rsidR="001A26D0" w:rsidRPr="00F6205B" w:rsidRDefault="001A26D0" w:rsidP="00AD4AA9">
            <w:pPr>
              <w:keepNext/>
              <w:keepLines/>
              <w:spacing w:after="0"/>
              <w:jc w:val="center"/>
              <w:rPr>
                <w:sz w:val="20"/>
                <w:szCs w:val="20"/>
              </w:rPr>
            </w:pPr>
            <w:r>
              <w:rPr>
                <w:sz w:val="20"/>
                <w:szCs w:val="20"/>
              </w:rPr>
              <w:t>108</w:t>
            </w:r>
          </w:p>
        </w:tc>
        <w:tc>
          <w:tcPr>
            <w:tcW w:w="327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F9B6916" w14:textId="70E7FFE8" w:rsidR="001A26D0" w:rsidRPr="00F6205B" w:rsidRDefault="001A26D0" w:rsidP="00AD4AA9">
            <w:pPr>
              <w:keepNext/>
              <w:keepLines/>
              <w:spacing w:after="0"/>
              <w:rPr>
                <w:sz w:val="20"/>
                <w:szCs w:val="20"/>
              </w:rPr>
            </w:pPr>
            <w:r>
              <w:rPr>
                <w:sz w:val="20"/>
                <w:szCs w:val="20"/>
              </w:rPr>
              <w:t>South-facing 7.1 kW system, 35</w:t>
            </w:r>
            <w:r w:rsidRPr="001A26D0">
              <w:rPr>
                <w:sz w:val="20"/>
                <w:szCs w:val="20"/>
                <w:vertAlign w:val="superscript"/>
              </w:rPr>
              <w:t>o</w:t>
            </w:r>
            <w:r>
              <w:rPr>
                <w:sz w:val="20"/>
                <w:szCs w:val="20"/>
              </w:rPr>
              <w:t xml:space="preserve"> tilt with 95% inverter</w:t>
            </w:r>
          </w:p>
        </w:tc>
      </w:tr>
      <w:tr w:rsidR="001A26D0" w:rsidRPr="00F6205B" w14:paraId="17375430" w14:textId="77777777" w:rsidTr="00AD4AA9">
        <w:trPr>
          <w:trHeight w:val="288"/>
          <w:jc w:val="center"/>
        </w:trPr>
        <w:tc>
          <w:tcPr>
            <w:tcW w:w="3282" w:type="dxa"/>
            <w:tcBorders>
              <w:top w:val="single" w:sz="4" w:space="0" w:color="auto"/>
              <w:left w:val="single" w:sz="4" w:space="0" w:color="auto"/>
              <w:bottom w:val="single" w:sz="4" w:space="0" w:color="000000" w:themeColor="text1"/>
              <w:right w:val="single" w:sz="4" w:space="0" w:color="000000" w:themeColor="text1"/>
            </w:tcBorders>
            <w:vAlign w:val="center"/>
          </w:tcPr>
          <w:p w14:paraId="7DDE3356" w14:textId="73238F6F" w:rsidR="001A26D0" w:rsidRPr="00F6205B" w:rsidRDefault="001A26D0" w:rsidP="00AD4AA9">
            <w:pPr>
              <w:keepNext/>
              <w:keepLines/>
              <w:spacing w:after="0"/>
              <w:rPr>
                <w:sz w:val="20"/>
                <w:szCs w:val="20"/>
              </w:rPr>
            </w:pPr>
            <w:r>
              <w:rPr>
                <w:sz w:val="20"/>
                <w:szCs w:val="20"/>
              </w:rPr>
              <w:t>Add solar hot water system</w:t>
            </w:r>
          </w:p>
        </w:tc>
        <w:tc>
          <w:tcPr>
            <w:tcW w:w="1290" w:type="dxa"/>
            <w:tcBorders>
              <w:top w:val="single" w:sz="4" w:space="0" w:color="auto"/>
              <w:bottom w:val="single" w:sz="4" w:space="0" w:color="000000" w:themeColor="text1"/>
            </w:tcBorders>
            <w:vAlign w:val="center"/>
          </w:tcPr>
          <w:p w14:paraId="50645E28" w14:textId="5F6417BB" w:rsidR="001A26D0" w:rsidRPr="00F6205B" w:rsidRDefault="001A26D0" w:rsidP="00AD4AA9">
            <w:pPr>
              <w:keepNext/>
              <w:keepLines/>
              <w:spacing w:after="0"/>
              <w:jc w:val="center"/>
              <w:rPr>
                <w:sz w:val="20"/>
                <w:szCs w:val="20"/>
              </w:rPr>
            </w:pPr>
            <w:r>
              <w:rPr>
                <w:sz w:val="20"/>
                <w:szCs w:val="20"/>
              </w:rPr>
              <w:t>109</w:t>
            </w:r>
          </w:p>
        </w:tc>
        <w:tc>
          <w:tcPr>
            <w:tcW w:w="327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57CFE5F" w14:textId="06990632" w:rsidR="001A26D0" w:rsidRPr="00F6205B" w:rsidRDefault="001A26D0" w:rsidP="00AD4AA9">
            <w:pPr>
              <w:keepNext/>
              <w:keepLines/>
              <w:spacing w:after="0"/>
              <w:rPr>
                <w:sz w:val="20"/>
                <w:szCs w:val="20"/>
              </w:rPr>
            </w:pPr>
            <w:r>
              <w:rPr>
                <w:sz w:val="20"/>
                <w:szCs w:val="20"/>
              </w:rPr>
              <w:t>66 ft</w:t>
            </w:r>
            <w:r w:rsidRPr="001A26D0">
              <w:rPr>
                <w:sz w:val="20"/>
                <w:szCs w:val="20"/>
                <w:vertAlign w:val="superscript"/>
              </w:rPr>
              <w:t>2</w:t>
            </w:r>
            <w:r>
              <w:rPr>
                <w:sz w:val="20"/>
                <w:szCs w:val="20"/>
              </w:rPr>
              <w:t xml:space="preserve"> south-facing, double-glazed, liquid indirect system</w:t>
            </w:r>
          </w:p>
        </w:tc>
      </w:tr>
    </w:tbl>
    <w:p w14:paraId="235DA22C" w14:textId="4B65B063" w:rsidR="001A26D0" w:rsidRDefault="001A26D0" w:rsidP="001A26D0"/>
    <w:p w14:paraId="172C93D1" w14:textId="7BD9F3C0" w:rsidR="00AD4AA9" w:rsidRDefault="00AD4AA9" w:rsidP="00E261ED">
      <w:pPr>
        <w:pStyle w:val="ApHeading2"/>
        <w:numPr>
          <w:ilvl w:val="0"/>
          <w:numId w:val="0"/>
        </w:numPr>
        <w:rPr>
          <w:rFonts w:hint="eastAsia"/>
        </w:rPr>
      </w:pPr>
      <w:bookmarkStart w:id="492" w:name="_Toc439939421"/>
      <w:r>
        <w:lastRenderedPageBreak/>
        <w:t>Maximum R-value Achievable by Framing</w:t>
      </w:r>
      <w:bookmarkEnd w:id="492"/>
    </w:p>
    <w:p w14:paraId="73690455" w14:textId="0ECFC356" w:rsidR="00AD4AA9" w:rsidRDefault="00AD4AA9" w:rsidP="00AD4AA9">
      <w:pPr>
        <w:rPr>
          <w:lang w:bidi="ar-SA"/>
        </w:rPr>
      </w:pPr>
      <w:r>
        <w:rPr>
          <w:lang w:bidi="ar-SA"/>
        </w:rPr>
        <w:t xml:space="preserve">Insulation upgrade values were assigned by determining the maximum R-value achievable with blown-in insulation in the framing found on-site. </w:t>
      </w:r>
    </w:p>
    <w:p w14:paraId="53856AB8" w14:textId="11EEE411" w:rsidR="00AD4AA9" w:rsidRDefault="00AD4AA9" w:rsidP="00AD4AA9">
      <w:pPr>
        <w:pStyle w:val="Caption"/>
      </w:pPr>
      <w:bookmarkStart w:id="493" w:name="_Toc439931878"/>
      <w:r>
        <w:t xml:space="preserve">Table </w:t>
      </w:r>
      <w:fldSimple w:instr=" SEQ Table \* ARABIC ">
        <w:r w:rsidR="00FA26A9">
          <w:rPr>
            <w:noProof/>
          </w:rPr>
          <w:t>47</w:t>
        </w:r>
      </w:fldSimple>
      <w:r>
        <w:t>: Insulation Upgrade Values by Framing Type</w:t>
      </w:r>
      <w:bookmarkEnd w:id="493"/>
    </w:p>
    <w:tbl>
      <w:tblPr>
        <w:tblStyle w:val="TableGrid"/>
        <w:tblW w:w="9158"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2833"/>
        <w:gridCol w:w="1290"/>
        <w:gridCol w:w="1007"/>
        <w:gridCol w:w="1007"/>
        <w:gridCol w:w="1007"/>
        <w:gridCol w:w="1007"/>
        <w:gridCol w:w="1007"/>
      </w:tblGrid>
      <w:tr w:rsidR="002B0777" w:rsidRPr="00F6205B" w14:paraId="4FB7BCCA" w14:textId="77777777" w:rsidTr="00483793">
        <w:trPr>
          <w:trHeight w:val="288"/>
          <w:jc w:val="center"/>
        </w:trPr>
        <w:tc>
          <w:tcPr>
            <w:tcW w:w="2833" w:type="dxa"/>
            <w:vMerge w:val="restart"/>
            <w:tcBorders>
              <w:top w:val="single" w:sz="4" w:space="0" w:color="auto"/>
              <w:left w:val="single" w:sz="4" w:space="0" w:color="auto"/>
              <w:right w:val="single" w:sz="4" w:space="0" w:color="auto"/>
            </w:tcBorders>
            <w:shd w:val="clear" w:color="auto" w:fill="0B4D2C" w:themeFill="background2" w:themeFillShade="BF"/>
            <w:vAlign w:val="center"/>
          </w:tcPr>
          <w:p w14:paraId="4F4086AE" w14:textId="77777777" w:rsidR="002B0777" w:rsidRPr="00F6205B" w:rsidRDefault="002B0777" w:rsidP="00AD4AA9">
            <w:pPr>
              <w:keepNext/>
              <w:keepLines/>
              <w:spacing w:after="0"/>
              <w:rPr>
                <w:b/>
                <w:sz w:val="20"/>
                <w:szCs w:val="20"/>
              </w:rPr>
            </w:pPr>
            <w:r>
              <w:rPr>
                <w:b/>
                <w:sz w:val="20"/>
                <w:szCs w:val="20"/>
              </w:rPr>
              <w:t>Measure</w:t>
            </w:r>
          </w:p>
        </w:tc>
        <w:tc>
          <w:tcPr>
            <w:tcW w:w="1290" w:type="dxa"/>
            <w:vMerge w:val="restart"/>
            <w:tcBorders>
              <w:top w:val="single" w:sz="4" w:space="0" w:color="auto"/>
              <w:right w:val="single" w:sz="4" w:space="0" w:color="auto"/>
            </w:tcBorders>
            <w:shd w:val="clear" w:color="auto" w:fill="0B4D2C" w:themeFill="background2" w:themeFillShade="BF"/>
            <w:vAlign w:val="center"/>
          </w:tcPr>
          <w:p w14:paraId="797B9055" w14:textId="31413527" w:rsidR="002B0777" w:rsidRPr="00F6205B" w:rsidRDefault="002B0777" w:rsidP="00AD4AA9">
            <w:pPr>
              <w:keepNext/>
              <w:keepLines/>
              <w:spacing w:after="0"/>
              <w:jc w:val="center"/>
              <w:rPr>
                <w:b/>
                <w:sz w:val="20"/>
                <w:szCs w:val="20"/>
              </w:rPr>
            </w:pPr>
            <w:r>
              <w:rPr>
                <w:b/>
                <w:sz w:val="20"/>
                <w:szCs w:val="20"/>
              </w:rPr>
              <w:t>Applicable Sites</w:t>
            </w:r>
          </w:p>
        </w:tc>
        <w:tc>
          <w:tcPr>
            <w:tcW w:w="5035" w:type="dxa"/>
            <w:gridSpan w:val="5"/>
            <w:tcBorders>
              <w:top w:val="single" w:sz="4" w:space="0" w:color="auto"/>
              <w:bottom w:val="single" w:sz="4" w:space="0" w:color="000000" w:themeColor="text1"/>
              <w:right w:val="single" w:sz="4" w:space="0" w:color="auto"/>
            </w:tcBorders>
            <w:shd w:val="clear" w:color="auto" w:fill="0B4D2C" w:themeFill="background2" w:themeFillShade="BF"/>
            <w:vAlign w:val="center"/>
          </w:tcPr>
          <w:p w14:paraId="145D05E4" w14:textId="64F7EF6F" w:rsidR="002B0777" w:rsidRPr="00F6205B" w:rsidRDefault="002B0777" w:rsidP="002B0777">
            <w:pPr>
              <w:keepNext/>
              <w:keepLines/>
              <w:spacing w:after="0"/>
              <w:jc w:val="center"/>
              <w:rPr>
                <w:b/>
                <w:sz w:val="20"/>
                <w:szCs w:val="20"/>
              </w:rPr>
            </w:pPr>
            <w:r>
              <w:rPr>
                <w:b/>
                <w:sz w:val="20"/>
                <w:szCs w:val="20"/>
              </w:rPr>
              <w:t>Upgrade R-value by Framing Type</w:t>
            </w:r>
          </w:p>
        </w:tc>
      </w:tr>
      <w:tr w:rsidR="002B0777" w:rsidRPr="00F6205B" w14:paraId="0C1D9E62" w14:textId="77777777" w:rsidTr="00483793">
        <w:trPr>
          <w:trHeight w:val="288"/>
          <w:jc w:val="center"/>
        </w:trPr>
        <w:tc>
          <w:tcPr>
            <w:tcW w:w="2833" w:type="dxa"/>
            <w:vMerge/>
            <w:tcBorders>
              <w:left w:val="single" w:sz="4" w:space="0" w:color="auto"/>
              <w:bottom w:val="single" w:sz="4" w:space="0" w:color="000000" w:themeColor="text1"/>
              <w:right w:val="single" w:sz="4" w:space="0" w:color="auto"/>
            </w:tcBorders>
            <w:shd w:val="clear" w:color="auto" w:fill="0B4D2C" w:themeFill="background2" w:themeFillShade="BF"/>
            <w:vAlign w:val="center"/>
          </w:tcPr>
          <w:p w14:paraId="3FA0EC36" w14:textId="77777777" w:rsidR="002B0777" w:rsidRDefault="002B0777" w:rsidP="00AD4AA9">
            <w:pPr>
              <w:keepNext/>
              <w:keepLines/>
              <w:spacing w:after="0"/>
              <w:rPr>
                <w:b/>
                <w:sz w:val="20"/>
                <w:szCs w:val="20"/>
              </w:rPr>
            </w:pPr>
          </w:p>
        </w:tc>
        <w:tc>
          <w:tcPr>
            <w:tcW w:w="1290" w:type="dxa"/>
            <w:vMerge/>
            <w:tcBorders>
              <w:bottom w:val="single" w:sz="4" w:space="0" w:color="000000" w:themeColor="text1"/>
              <w:right w:val="single" w:sz="4" w:space="0" w:color="auto"/>
            </w:tcBorders>
            <w:shd w:val="clear" w:color="auto" w:fill="0B4D2C" w:themeFill="background2" w:themeFillShade="BF"/>
            <w:vAlign w:val="center"/>
          </w:tcPr>
          <w:p w14:paraId="1B92B999" w14:textId="77777777" w:rsidR="002B0777" w:rsidRDefault="002B0777" w:rsidP="00AD4AA9">
            <w:pPr>
              <w:keepNext/>
              <w:keepLines/>
              <w:spacing w:after="0"/>
              <w:jc w:val="center"/>
              <w:rPr>
                <w:b/>
                <w:sz w:val="20"/>
                <w:szCs w:val="20"/>
              </w:rPr>
            </w:pPr>
          </w:p>
        </w:tc>
        <w:tc>
          <w:tcPr>
            <w:tcW w:w="1007" w:type="dxa"/>
            <w:tcBorders>
              <w:top w:val="single" w:sz="4" w:space="0" w:color="auto"/>
              <w:bottom w:val="single" w:sz="4" w:space="0" w:color="000000" w:themeColor="text1"/>
            </w:tcBorders>
            <w:shd w:val="clear" w:color="auto" w:fill="0B4D2C" w:themeFill="background2" w:themeFillShade="BF"/>
            <w:vAlign w:val="center"/>
          </w:tcPr>
          <w:p w14:paraId="66E6E9B0" w14:textId="682B78FF" w:rsidR="002B0777" w:rsidRPr="00F6205B" w:rsidRDefault="002B0777" w:rsidP="00AD4AA9">
            <w:pPr>
              <w:keepNext/>
              <w:keepLines/>
              <w:spacing w:after="0"/>
              <w:jc w:val="center"/>
              <w:rPr>
                <w:b/>
                <w:sz w:val="20"/>
                <w:szCs w:val="20"/>
              </w:rPr>
            </w:pPr>
            <w:r>
              <w:rPr>
                <w:b/>
                <w:sz w:val="20"/>
                <w:szCs w:val="20"/>
              </w:rPr>
              <w:t>2x4</w:t>
            </w:r>
          </w:p>
        </w:tc>
        <w:tc>
          <w:tcPr>
            <w:tcW w:w="1007" w:type="dxa"/>
            <w:tcBorders>
              <w:top w:val="single" w:sz="4" w:space="0" w:color="auto"/>
              <w:bottom w:val="single" w:sz="4" w:space="0" w:color="000000" w:themeColor="text1"/>
            </w:tcBorders>
            <w:shd w:val="clear" w:color="auto" w:fill="0B4D2C" w:themeFill="background2" w:themeFillShade="BF"/>
            <w:vAlign w:val="center"/>
          </w:tcPr>
          <w:p w14:paraId="439FED3D" w14:textId="647483A4" w:rsidR="002B0777" w:rsidRPr="00F6205B" w:rsidRDefault="002B0777" w:rsidP="00AD4AA9">
            <w:pPr>
              <w:keepNext/>
              <w:keepLines/>
              <w:spacing w:after="0"/>
              <w:jc w:val="center"/>
              <w:rPr>
                <w:b/>
                <w:sz w:val="20"/>
                <w:szCs w:val="20"/>
              </w:rPr>
            </w:pPr>
            <w:r>
              <w:rPr>
                <w:b/>
                <w:sz w:val="20"/>
                <w:szCs w:val="20"/>
              </w:rPr>
              <w:t>2x6</w:t>
            </w:r>
          </w:p>
        </w:tc>
        <w:tc>
          <w:tcPr>
            <w:tcW w:w="1007" w:type="dxa"/>
            <w:tcBorders>
              <w:top w:val="single" w:sz="4" w:space="0" w:color="auto"/>
              <w:bottom w:val="single" w:sz="4" w:space="0" w:color="000000" w:themeColor="text1"/>
            </w:tcBorders>
            <w:shd w:val="clear" w:color="auto" w:fill="0B4D2C" w:themeFill="background2" w:themeFillShade="BF"/>
            <w:vAlign w:val="center"/>
          </w:tcPr>
          <w:p w14:paraId="695D1101" w14:textId="0F15D29C" w:rsidR="002B0777" w:rsidRPr="00F6205B" w:rsidRDefault="002B0777" w:rsidP="00AD4AA9">
            <w:pPr>
              <w:keepNext/>
              <w:keepLines/>
              <w:spacing w:after="0"/>
              <w:jc w:val="center"/>
              <w:rPr>
                <w:b/>
                <w:sz w:val="20"/>
                <w:szCs w:val="20"/>
              </w:rPr>
            </w:pPr>
            <w:r>
              <w:rPr>
                <w:b/>
                <w:sz w:val="20"/>
                <w:szCs w:val="20"/>
              </w:rPr>
              <w:t>2x8</w:t>
            </w:r>
          </w:p>
        </w:tc>
        <w:tc>
          <w:tcPr>
            <w:tcW w:w="1007" w:type="dxa"/>
            <w:tcBorders>
              <w:top w:val="single" w:sz="4" w:space="0" w:color="auto"/>
              <w:bottom w:val="single" w:sz="4" w:space="0" w:color="000000" w:themeColor="text1"/>
            </w:tcBorders>
            <w:shd w:val="clear" w:color="auto" w:fill="0B4D2C" w:themeFill="background2" w:themeFillShade="BF"/>
            <w:vAlign w:val="center"/>
          </w:tcPr>
          <w:p w14:paraId="32623705" w14:textId="024106AB" w:rsidR="002B0777" w:rsidRPr="00F6205B" w:rsidRDefault="002B0777" w:rsidP="00AD4AA9">
            <w:pPr>
              <w:keepNext/>
              <w:keepLines/>
              <w:spacing w:after="0"/>
              <w:jc w:val="center"/>
              <w:rPr>
                <w:b/>
                <w:sz w:val="20"/>
                <w:szCs w:val="20"/>
              </w:rPr>
            </w:pPr>
            <w:r>
              <w:rPr>
                <w:b/>
                <w:sz w:val="20"/>
                <w:szCs w:val="20"/>
              </w:rPr>
              <w:t>2x10</w:t>
            </w:r>
          </w:p>
        </w:tc>
        <w:tc>
          <w:tcPr>
            <w:tcW w:w="1007" w:type="dxa"/>
            <w:tcBorders>
              <w:top w:val="single" w:sz="4" w:space="0" w:color="auto"/>
              <w:bottom w:val="single" w:sz="4" w:space="0" w:color="000000" w:themeColor="text1"/>
              <w:right w:val="single" w:sz="4" w:space="0" w:color="auto"/>
            </w:tcBorders>
            <w:shd w:val="clear" w:color="auto" w:fill="0B4D2C" w:themeFill="background2" w:themeFillShade="BF"/>
            <w:vAlign w:val="center"/>
          </w:tcPr>
          <w:p w14:paraId="7CE5849E" w14:textId="4D6D61D8" w:rsidR="002B0777" w:rsidRPr="00F6205B" w:rsidRDefault="002B0777" w:rsidP="00AD4AA9">
            <w:pPr>
              <w:keepNext/>
              <w:keepLines/>
              <w:spacing w:after="0"/>
              <w:jc w:val="center"/>
              <w:rPr>
                <w:b/>
                <w:sz w:val="20"/>
                <w:szCs w:val="20"/>
              </w:rPr>
            </w:pPr>
            <w:r>
              <w:rPr>
                <w:b/>
                <w:sz w:val="20"/>
                <w:szCs w:val="20"/>
              </w:rPr>
              <w:t>2x12</w:t>
            </w:r>
          </w:p>
        </w:tc>
      </w:tr>
      <w:tr w:rsidR="002B0777" w:rsidRPr="00F6205B" w14:paraId="26AA3DCC" w14:textId="77777777" w:rsidTr="00483793">
        <w:trPr>
          <w:trHeight w:val="288"/>
          <w:jc w:val="center"/>
        </w:trPr>
        <w:tc>
          <w:tcPr>
            <w:tcW w:w="2833" w:type="dxa"/>
            <w:tcBorders>
              <w:top w:val="single" w:sz="4" w:space="0" w:color="auto"/>
              <w:left w:val="single" w:sz="4" w:space="0" w:color="auto"/>
              <w:bottom w:val="single" w:sz="4" w:space="0" w:color="000000" w:themeColor="text1"/>
              <w:right w:val="single" w:sz="4" w:space="0" w:color="000000" w:themeColor="text1"/>
            </w:tcBorders>
            <w:vAlign w:val="center"/>
          </w:tcPr>
          <w:p w14:paraId="56D27DBA" w14:textId="022D9D9E" w:rsidR="002B0777" w:rsidRPr="00F6205B" w:rsidRDefault="002B0777" w:rsidP="00AD4AA9">
            <w:pPr>
              <w:keepNext/>
              <w:keepLines/>
              <w:spacing w:after="0"/>
              <w:rPr>
                <w:sz w:val="20"/>
                <w:szCs w:val="20"/>
              </w:rPr>
            </w:pPr>
            <w:r>
              <w:rPr>
                <w:sz w:val="20"/>
                <w:szCs w:val="20"/>
              </w:rPr>
              <w:t>Attic insulation</w:t>
            </w:r>
          </w:p>
        </w:tc>
        <w:tc>
          <w:tcPr>
            <w:tcW w:w="1290" w:type="dxa"/>
            <w:tcBorders>
              <w:top w:val="single" w:sz="4" w:space="0" w:color="auto"/>
              <w:bottom w:val="single" w:sz="4" w:space="0" w:color="000000" w:themeColor="text1"/>
            </w:tcBorders>
            <w:vAlign w:val="center"/>
          </w:tcPr>
          <w:p w14:paraId="642E3B6F" w14:textId="7174EC39" w:rsidR="002B0777" w:rsidRPr="00F6205B" w:rsidRDefault="002B0777" w:rsidP="00AD4AA9">
            <w:pPr>
              <w:keepNext/>
              <w:keepLines/>
              <w:spacing w:after="0"/>
              <w:jc w:val="center"/>
              <w:rPr>
                <w:sz w:val="20"/>
                <w:szCs w:val="20"/>
              </w:rPr>
            </w:pPr>
            <w:r>
              <w:rPr>
                <w:sz w:val="20"/>
                <w:szCs w:val="20"/>
              </w:rPr>
              <w:t>166</w:t>
            </w:r>
          </w:p>
        </w:tc>
        <w:tc>
          <w:tcPr>
            <w:tcW w:w="5035" w:type="dxa"/>
            <w:gridSpan w:val="5"/>
            <w:tcBorders>
              <w:top w:val="single" w:sz="4" w:space="0" w:color="000000" w:themeColor="text1"/>
              <w:bottom w:val="single" w:sz="4" w:space="0" w:color="000000" w:themeColor="text1"/>
              <w:right w:val="single" w:sz="4" w:space="0" w:color="auto"/>
            </w:tcBorders>
            <w:vAlign w:val="center"/>
          </w:tcPr>
          <w:p w14:paraId="5CAAFC9F" w14:textId="7B2AB701" w:rsidR="002B0777" w:rsidRPr="00F6205B" w:rsidRDefault="002B0777" w:rsidP="002B0777">
            <w:pPr>
              <w:keepNext/>
              <w:keepLines/>
              <w:spacing w:after="0"/>
              <w:jc w:val="center"/>
              <w:rPr>
                <w:sz w:val="20"/>
                <w:szCs w:val="20"/>
              </w:rPr>
            </w:pPr>
            <w:r>
              <w:rPr>
                <w:sz w:val="20"/>
                <w:szCs w:val="20"/>
              </w:rPr>
              <w:t>R-38</w:t>
            </w:r>
          </w:p>
        </w:tc>
      </w:tr>
      <w:tr w:rsidR="00AD4AA9" w:rsidRPr="00F6205B" w14:paraId="11EC4809" w14:textId="77777777" w:rsidTr="00AD4AA9">
        <w:trPr>
          <w:trHeight w:val="288"/>
          <w:jc w:val="center"/>
        </w:trPr>
        <w:tc>
          <w:tcPr>
            <w:tcW w:w="283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C11935F" w14:textId="69F39737" w:rsidR="00AD4AA9" w:rsidRPr="00F6205B" w:rsidRDefault="00AD4AA9" w:rsidP="00AD4AA9">
            <w:pPr>
              <w:keepNext/>
              <w:keepLines/>
              <w:spacing w:after="0"/>
              <w:rPr>
                <w:sz w:val="20"/>
                <w:szCs w:val="20"/>
              </w:rPr>
            </w:pPr>
            <w:r>
              <w:rPr>
                <w:sz w:val="20"/>
                <w:szCs w:val="20"/>
              </w:rPr>
              <w:t>Vaulted ceiling insulation</w:t>
            </w:r>
          </w:p>
        </w:tc>
        <w:tc>
          <w:tcPr>
            <w:tcW w:w="1290" w:type="dxa"/>
            <w:tcBorders>
              <w:top w:val="single" w:sz="4" w:space="0" w:color="000000" w:themeColor="text1"/>
              <w:bottom w:val="single" w:sz="4" w:space="0" w:color="000000" w:themeColor="text1"/>
            </w:tcBorders>
            <w:vAlign w:val="center"/>
          </w:tcPr>
          <w:p w14:paraId="794FA2A9" w14:textId="18B502E9" w:rsidR="00AD4AA9" w:rsidRPr="00F6205B" w:rsidRDefault="002B0777" w:rsidP="00AD4AA9">
            <w:pPr>
              <w:keepNext/>
              <w:keepLines/>
              <w:spacing w:after="0"/>
              <w:jc w:val="center"/>
              <w:rPr>
                <w:sz w:val="20"/>
                <w:szCs w:val="20"/>
              </w:rPr>
            </w:pPr>
            <w:r>
              <w:rPr>
                <w:sz w:val="20"/>
                <w:szCs w:val="20"/>
              </w:rPr>
              <w:t>75</w:t>
            </w:r>
          </w:p>
        </w:tc>
        <w:tc>
          <w:tcPr>
            <w:tcW w:w="1007" w:type="dxa"/>
            <w:tcBorders>
              <w:top w:val="single" w:sz="4" w:space="0" w:color="000000" w:themeColor="text1"/>
              <w:bottom w:val="single" w:sz="4" w:space="0" w:color="000000" w:themeColor="text1"/>
              <w:right w:val="single" w:sz="4" w:space="0" w:color="000000" w:themeColor="text1"/>
            </w:tcBorders>
            <w:vAlign w:val="center"/>
          </w:tcPr>
          <w:p w14:paraId="7BEB0E70" w14:textId="163BAC3E" w:rsidR="00AD4AA9" w:rsidRPr="00F6205B" w:rsidRDefault="002B0777" w:rsidP="002B0777">
            <w:pPr>
              <w:keepNext/>
              <w:keepLines/>
              <w:spacing w:after="0"/>
              <w:jc w:val="center"/>
              <w:rPr>
                <w:sz w:val="20"/>
                <w:szCs w:val="20"/>
              </w:rPr>
            </w:pPr>
            <w:r>
              <w:rPr>
                <w:sz w:val="20"/>
                <w:szCs w:val="20"/>
              </w:rPr>
              <w:t>--</w:t>
            </w:r>
          </w:p>
        </w:tc>
        <w:tc>
          <w:tcPr>
            <w:tcW w:w="1007" w:type="dxa"/>
            <w:tcBorders>
              <w:top w:val="single" w:sz="4" w:space="0" w:color="000000" w:themeColor="text1"/>
              <w:bottom w:val="single" w:sz="4" w:space="0" w:color="000000" w:themeColor="text1"/>
              <w:right w:val="single" w:sz="4" w:space="0" w:color="000000" w:themeColor="text1"/>
            </w:tcBorders>
            <w:vAlign w:val="center"/>
          </w:tcPr>
          <w:p w14:paraId="42413CC1" w14:textId="0B48BB8A" w:rsidR="00AD4AA9" w:rsidRPr="00F6205B" w:rsidRDefault="002B0777" w:rsidP="002B0777">
            <w:pPr>
              <w:keepNext/>
              <w:keepLines/>
              <w:spacing w:after="0"/>
              <w:jc w:val="center"/>
              <w:rPr>
                <w:sz w:val="20"/>
                <w:szCs w:val="20"/>
              </w:rPr>
            </w:pPr>
            <w:r>
              <w:rPr>
                <w:sz w:val="20"/>
                <w:szCs w:val="20"/>
              </w:rPr>
              <w:t>R-19</w:t>
            </w:r>
          </w:p>
        </w:tc>
        <w:tc>
          <w:tcPr>
            <w:tcW w:w="1007" w:type="dxa"/>
            <w:tcBorders>
              <w:top w:val="single" w:sz="4" w:space="0" w:color="000000" w:themeColor="text1"/>
              <w:bottom w:val="single" w:sz="4" w:space="0" w:color="000000" w:themeColor="text1"/>
              <w:right w:val="single" w:sz="4" w:space="0" w:color="000000" w:themeColor="text1"/>
            </w:tcBorders>
            <w:vAlign w:val="center"/>
          </w:tcPr>
          <w:p w14:paraId="723EADBE" w14:textId="3AD160DA" w:rsidR="00AD4AA9" w:rsidRPr="00F6205B" w:rsidRDefault="002B0777" w:rsidP="002B0777">
            <w:pPr>
              <w:keepNext/>
              <w:keepLines/>
              <w:spacing w:after="0"/>
              <w:jc w:val="center"/>
              <w:rPr>
                <w:sz w:val="20"/>
                <w:szCs w:val="20"/>
              </w:rPr>
            </w:pPr>
            <w:r>
              <w:rPr>
                <w:sz w:val="20"/>
                <w:szCs w:val="20"/>
              </w:rPr>
              <w:t>R-25</w:t>
            </w:r>
          </w:p>
        </w:tc>
        <w:tc>
          <w:tcPr>
            <w:tcW w:w="1007" w:type="dxa"/>
            <w:tcBorders>
              <w:top w:val="single" w:sz="4" w:space="0" w:color="000000" w:themeColor="text1"/>
              <w:bottom w:val="single" w:sz="4" w:space="0" w:color="000000" w:themeColor="text1"/>
              <w:right w:val="single" w:sz="4" w:space="0" w:color="000000" w:themeColor="text1"/>
            </w:tcBorders>
            <w:vAlign w:val="center"/>
          </w:tcPr>
          <w:p w14:paraId="71661C74" w14:textId="55B98CC3" w:rsidR="00AD4AA9" w:rsidRPr="00F6205B" w:rsidRDefault="002B0777" w:rsidP="002B0777">
            <w:pPr>
              <w:keepNext/>
              <w:keepLines/>
              <w:spacing w:after="0"/>
              <w:jc w:val="center"/>
              <w:rPr>
                <w:sz w:val="20"/>
                <w:szCs w:val="20"/>
              </w:rPr>
            </w:pPr>
            <w:r>
              <w:rPr>
                <w:sz w:val="20"/>
                <w:szCs w:val="20"/>
              </w:rPr>
              <w:t>R-32</w:t>
            </w:r>
          </w:p>
        </w:tc>
        <w:tc>
          <w:tcPr>
            <w:tcW w:w="1007"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F203709" w14:textId="2A18F772" w:rsidR="00AD4AA9" w:rsidRPr="00F6205B" w:rsidRDefault="002B0777" w:rsidP="002B0777">
            <w:pPr>
              <w:keepNext/>
              <w:keepLines/>
              <w:spacing w:after="0"/>
              <w:jc w:val="center"/>
              <w:rPr>
                <w:sz w:val="20"/>
                <w:szCs w:val="20"/>
              </w:rPr>
            </w:pPr>
            <w:r>
              <w:rPr>
                <w:sz w:val="20"/>
                <w:szCs w:val="20"/>
              </w:rPr>
              <w:t>R-38</w:t>
            </w:r>
          </w:p>
        </w:tc>
      </w:tr>
      <w:tr w:rsidR="00AD4AA9" w:rsidRPr="00F6205B" w14:paraId="32E29D6F" w14:textId="77777777" w:rsidTr="00AD4AA9">
        <w:trPr>
          <w:trHeight w:val="288"/>
          <w:jc w:val="center"/>
        </w:trPr>
        <w:tc>
          <w:tcPr>
            <w:tcW w:w="283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0944D2C" w14:textId="23592CA8" w:rsidR="00AD4AA9" w:rsidRPr="00F6205B" w:rsidRDefault="00AD4AA9" w:rsidP="00AD4AA9">
            <w:pPr>
              <w:keepNext/>
              <w:keepLines/>
              <w:spacing w:after="0"/>
              <w:rPr>
                <w:sz w:val="20"/>
                <w:szCs w:val="20"/>
              </w:rPr>
            </w:pPr>
            <w:r>
              <w:rPr>
                <w:sz w:val="20"/>
                <w:szCs w:val="20"/>
              </w:rPr>
              <w:t>Above-grade wall insulation</w:t>
            </w:r>
          </w:p>
        </w:tc>
        <w:tc>
          <w:tcPr>
            <w:tcW w:w="1290" w:type="dxa"/>
            <w:tcBorders>
              <w:top w:val="single" w:sz="4" w:space="0" w:color="000000" w:themeColor="text1"/>
              <w:bottom w:val="single" w:sz="4" w:space="0" w:color="000000" w:themeColor="text1"/>
            </w:tcBorders>
            <w:vAlign w:val="center"/>
          </w:tcPr>
          <w:p w14:paraId="44616AE6" w14:textId="0584222C" w:rsidR="00AD4AA9" w:rsidRPr="00F6205B" w:rsidRDefault="002B0777" w:rsidP="00AD4AA9">
            <w:pPr>
              <w:keepNext/>
              <w:keepLines/>
              <w:spacing w:after="0"/>
              <w:jc w:val="center"/>
              <w:rPr>
                <w:sz w:val="20"/>
                <w:szCs w:val="20"/>
              </w:rPr>
            </w:pPr>
            <w:r>
              <w:rPr>
                <w:sz w:val="20"/>
                <w:szCs w:val="20"/>
              </w:rPr>
              <w:t>165</w:t>
            </w:r>
          </w:p>
        </w:tc>
        <w:tc>
          <w:tcPr>
            <w:tcW w:w="1007" w:type="dxa"/>
            <w:tcBorders>
              <w:top w:val="single" w:sz="4" w:space="0" w:color="000000" w:themeColor="text1"/>
              <w:bottom w:val="single" w:sz="4" w:space="0" w:color="000000" w:themeColor="text1"/>
              <w:right w:val="single" w:sz="4" w:space="0" w:color="000000" w:themeColor="text1"/>
            </w:tcBorders>
            <w:vAlign w:val="center"/>
          </w:tcPr>
          <w:p w14:paraId="2624B321" w14:textId="258FD59E" w:rsidR="00AD4AA9" w:rsidRPr="00F6205B" w:rsidRDefault="002B0777" w:rsidP="002B0777">
            <w:pPr>
              <w:keepNext/>
              <w:keepLines/>
              <w:spacing w:after="0"/>
              <w:jc w:val="center"/>
              <w:rPr>
                <w:sz w:val="20"/>
                <w:szCs w:val="20"/>
              </w:rPr>
            </w:pPr>
            <w:r>
              <w:rPr>
                <w:sz w:val="20"/>
                <w:szCs w:val="20"/>
              </w:rPr>
              <w:t>R-12</w:t>
            </w:r>
          </w:p>
        </w:tc>
        <w:tc>
          <w:tcPr>
            <w:tcW w:w="1007" w:type="dxa"/>
            <w:tcBorders>
              <w:top w:val="single" w:sz="4" w:space="0" w:color="000000" w:themeColor="text1"/>
              <w:bottom w:val="single" w:sz="4" w:space="0" w:color="000000" w:themeColor="text1"/>
              <w:right w:val="single" w:sz="4" w:space="0" w:color="000000" w:themeColor="text1"/>
            </w:tcBorders>
            <w:vAlign w:val="center"/>
          </w:tcPr>
          <w:p w14:paraId="21A9B216" w14:textId="509D03BD" w:rsidR="00AD4AA9" w:rsidRPr="00F6205B" w:rsidRDefault="002B0777" w:rsidP="002B0777">
            <w:pPr>
              <w:keepNext/>
              <w:keepLines/>
              <w:spacing w:after="0"/>
              <w:jc w:val="center"/>
              <w:rPr>
                <w:sz w:val="20"/>
                <w:szCs w:val="20"/>
              </w:rPr>
            </w:pPr>
            <w:r>
              <w:rPr>
                <w:sz w:val="20"/>
                <w:szCs w:val="20"/>
              </w:rPr>
              <w:t>R-19</w:t>
            </w:r>
          </w:p>
        </w:tc>
        <w:tc>
          <w:tcPr>
            <w:tcW w:w="1007" w:type="dxa"/>
            <w:tcBorders>
              <w:top w:val="single" w:sz="4" w:space="0" w:color="000000" w:themeColor="text1"/>
              <w:bottom w:val="single" w:sz="4" w:space="0" w:color="000000" w:themeColor="text1"/>
              <w:right w:val="single" w:sz="4" w:space="0" w:color="000000" w:themeColor="text1"/>
            </w:tcBorders>
            <w:vAlign w:val="center"/>
          </w:tcPr>
          <w:p w14:paraId="2B9B5D5F" w14:textId="1FE94F9B" w:rsidR="00AD4AA9" w:rsidRPr="00F6205B" w:rsidRDefault="002B0777" w:rsidP="002B0777">
            <w:pPr>
              <w:keepNext/>
              <w:keepLines/>
              <w:spacing w:after="0"/>
              <w:jc w:val="center"/>
              <w:rPr>
                <w:sz w:val="20"/>
                <w:szCs w:val="20"/>
              </w:rPr>
            </w:pPr>
            <w:r>
              <w:rPr>
                <w:sz w:val="20"/>
                <w:szCs w:val="20"/>
              </w:rPr>
              <w:t>--</w:t>
            </w:r>
          </w:p>
        </w:tc>
        <w:tc>
          <w:tcPr>
            <w:tcW w:w="1007" w:type="dxa"/>
            <w:tcBorders>
              <w:top w:val="single" w:sz="4" w:space="0" w:color="000000" w:themeColor="text1"/>
              <w:bottom w:val="single" w:sz="4" w:space="0" w:color="000000" w:themeColor="text1"/>
              <w:right w:val="single" w:sz="4" w:space="0" w:color="000000" w:themeColor="text1"/>
            </w:tcBorders>
            <w:vAlign w:val="center"/>
          </w:tcPr>
          <w:p w14:paraId="46990260" w14:textId="1DE51D44" w:rsidR="00AD4AA9" w:rsidRPr="00F6205B" w:rsidRDefault="002B0777" w:rsidP="002B0777">
            <w:pPr>
              <w:keepNext/>
              <w:keepLines/>
              <w:spacing w:after="0"/>
              <w:jc w:val="center"/>
              <w:rPr>
                <w:sz w:val="20"/>
                <w:szCs w:val="20"/>
              </w:rPr>
            </w:pPr>
            <w:r>
              <w:rPr>
                <w:sz w:val="20"/>
                <w:szCs w:val="20"/>
              </w:rPr>
              <w:t>--</w:t>
            </w:r>
          </w:p>
        </w:tc>
        <w:tc>
          <w:tcPr>
            <w:tcW w:w="1007"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84ED231" w14:textId="0F4C2674" w:rsidR="00AD4AA9" w:rsidRPr="00F6205B" w:rsidRDefault="002B0777" w:rsidP="002B0777">
            <w:pPr>
              <w:keepNext/>
              <w:keepLines/>
              <w:spacing w:after="0"/>
              <w:jc w:val="center"/>
              <w:rPr>
                <w:sz w:val="20"/>
                <w:szCs w:val="20"/>
              </w:rPr>
            </w:pPr>
            <w:r>
              <w:rPr>
                <w:sz w:val="20"/>
                <w:szCs w:val="20"/>
              </w:rPr>
              <w:t>--</w:t>
            </w:r>
          </w:p>
        </w:tc>
      </w:tr>
      <w:tr w:rsidR="002B0777" w:rsidRPr="00F6205B" w14:paraId="1ED5A702" w14:textId="77777777" w:rsidTr="00483793">
        <w:trPr>
          <w:trHeight w:val="288"/>
          <w:jc w:val="center"/>
        </w:trPr>
        <w:tc>
          <w:tcPr>
            <w:tcW w:w="2833" w:type="dxa"/>
            <w:tcBorders>
              <w:top w:val="single" w:sz="4" w:space="0" w:color="000000" w:themeColor="text1"/>
              <w:left w:val="single" w:sz="4" w:space="0" w:color="auto"/>
              <w:bottom w:val="single" w:sz="4" w:space="0" w:color="auto"/>
              <w:right w:val="single" w:sz="4" w:space="0" w:color="000000" w:themeColor="text1"/>
            </w:tcBorders>
            <w:vAlign w:val="center"/>
          </w:tcPr>
          <w:p w14:paraId="3ABE79ED" w14:textId="5AAF7839" w:rsidR="002B0777" w:rsidRPr="00F6205B" w:rsidRDefault="002B0777" w:rsidP="00AD4AA9">
            <w:pPr>
              <w:keepNext/>
              <w:keepLines/>
              <w:spacing w:after="0"/>
              <w:rPr>
                <w:sz w:val="20"/>
                <w:szCs w:val="20"/>
              </w:rPr>
            </w:pPr>
            <w:r>
              <w:rPr>
                <w:sz w:val="20"/>
                <w:szCs w:val="20"/>
              </w:rPr>
              <w:t>Foundation wall insulation</w:t>
            </w:r>
          </w:p>
        </w:tc>
        <w:tc>
          <w:tcPr>
            <w:tcW w:w="1290" w:type="dxa"/>
            <w:tcBorders>
              <w:top w:val="single" w:sz="4" w:space="0" w:color="000000" w:themeColor="text1"/>
              <w:bottom w:val="single" w:sz="4" w:space="0" w:color="auto"/>
            </w:tcBorders>
            <w:vAlign w:val="center"/>
          </w:tcPr>
          <w:p w14:paraId="38584154" w14:textId="49D660E4" w:rsidR="002B0777" w:rsidRPr="00F6205B" w:rsidRDefault="002B0777" w:rsidP="00AD4AA9">
            <w:pPr>
              <w:keepNext/>
              <w:keepLines/>
              <w:spacing w:after="0"/>
              <w:jc w:val="center"/>
              <w:rPr>
                <w:sz w:val="20"/>
                <w:szCs w:val="20"/>
              </w:rPr>
            </w:pPr>
            <w:r>
              <w:rPr>
                <w:sz w:val="20"/>
                <w:szCs w:val="20"/>
              </w:rPr>
              <w:t>91</w:t>
            </w:r>
          </w:p>
        </w:tc>
        <w:tc>
          <w:tcPr>
            <w:tcW w:w="5035" w:type="dxa"/>
            <w:gridSpan w:val="5"/>
            <w:tcBorders>
              <w:top w:val="single" w:sz="4" w:space="0" w:color="000000" w:themeColor="text1"/>
              <w:bottom w:val="single" w:sz="4" w:space="0" w:color="000000" w:themeColor="text1"/>
              <w:right w:val="single" w:sz="4" w:space="0" w:color="auto"/>
            </w:tcBorders>
            <w:vAlign w:val="center"/>
          </w:tcPr>
          <w:p w14:paraId="2CCF1141" w14:textId="72873ED2" w:rsidR="002B0777" w:rsidRPr="00F6205B" w:rsidRDefault="002B0777" w:rsidP="002B0777">
            <w:pPr>
              <w:keepNext/>
              <w:keepLines/>
              <w:spacing w:after="0"/>
              <w:jc w:val="center"/>
              <w:rPr>
                <w:sz w:val="20"/>
                <w:szCs w:val="20"/>
              </w:rPr>
            </w:pPr>
            <w:r>
              <w:rPr>
                <w:sz w:val="20"/>
                <w:szCs w:val="20"/>
              </w:rPr>
              <w:t>R-10 or R-13</w:t>
            </w:r>
          </w:p>
        </w:tc>
      </w:tr>
      <w:tr w:rsidR="002B0777" w:rsidRPr="00F6205B" w14:paraId="4A79BD63" w14:textId="77777777" w:rsidTr="00483793">
        <w:trPr>
          <w:trHeight w:val="288"/>
          <w:jc w:val="center"/>
        </w:trPr>
        <w:tc>
          <w:tcPr>
            <w:tcW w:w="2833" w:type="dxa"/>
            <w:tcBorders>
              <w:top w:val="single" w:sz="4" w:space="0" w:color="auto"/>
              <w:left w:val="single" w:sz="4" w:space="0" w:color="auto"/>
              <w:bottom w:val="single" w:sz="4" w:space="0" w:color="000000" w:themeColor="text1"/>
              <w:right w:val="single" w:sz="4" w:space="0" w:color="000000" w:themeColor="text1"/>
            </w:tcBorders>
            <w:vAlign w:val="center"/>
          </w:tcPr>
          <w:p w14:paraId="0574BAA4" w14:textId="4AA4A480" w:rsidR="002B0777" w:rsidRPr="00F6205B" w:rsidRDefault="002B0777" w:rsidP="00AD4AA9">
            <w:pPr>
              <w:keepNext/>
              <w:keepLines/>
              <w:spacing w:after="0"/>
              <w:rPr>
                <w:sz w:val="20"/>
                <w:szCs w:val="20"/>
              </w:rPr>
            </w:pPr>
            <w:r>
              <w:rPr>
                <w:sz w:val="20"/>
                <w:szCs w:val="20"/>
              </w:rPr>
              <w:t>Frame floor insulation</w:t>
            </w:r>
          </w:p>
        </w:tc>
        <w:tc>
          <w:tcPr>
            <w:tcW w:w="1290" w:type="dxa"/>
            <w:tcBorders>
              <w:top w:val="single" w:sz="4" w:space="0" w:color="auto"/>
              <w:bottom w:val="single" w:sz="4" w:space="0" w:color="000000" w:themeColor="text1"/>
            </w:tcBorders>
            <w:vAlign w:val="center"/>
          </w:tcPr>
          <w:p w14:paraId="6A28E0EB" w14:textId="7986974A" w:rsidR="002B0777" w:rsidRPr="00F6205B" w:rsidRDefault="002B0777" w:rsidP="00AD4AA9">
            <w:pPr>
              <w:keepNext/>
              <w:keepLines/>
              <w:spacing w:after="0"/>
              <w:jc w:val="center"/>
              <w:rPr>
                <w:sz w:val="20"/>
                <w:szCs w:val="20"/>
              </w:rPr>
            </w:pPr>
            <w:r>
              <w:rPr>
                <w:sz w:val="20"/>
                <w:szCs w:val="20"/>
              </w:rPr>
              <w:t>161</w:t>
            </w:r>
          </w:p>
        </w:tc>
        <w:tc>
          <w:tcPr>
            <w:tcW w:w="1007" w:type="dxa"/>
            <w:tcBorders>
              <w:top w:val="single" w:sz="4" w:space="0" w:color="000000" w:themeColor="text1"/>
              <w:bottom w:val="single" w:sz="4" w:space="0" w:color="000000" w:themeColor="text1"/>
              <w:right w:val="single" w:sz="4" w:space="0" w:color="000000" w:themeColor="text1"/>
            </w:tcBorders>
            <w:vAlign w:val="center"/>
          </w:tcPr>
          <w:p w14:paraId="7542216D" w14:textId="58D7A2FF" w:rsidR="002B0777" w:rsidRPr="00F6205B" w:rsidRDefault="002B0777" w:rsidP="002B0777">
            <w:pPr>
              <w:keepNext/>
              <w:keepLines/>
              <w:spacing w:after="0"/>
              <w:jc w:val="center"/>
              <w:rPr>
                <w:sz w:val="20"/>
                <w:szCs w:val="20"/>
              </w:rPr>
            </w:pPr>
            <w:r>
              <w:rPr>
                <w:sz w:val="20"/>
                <w:szCs w:val="20"/>
              </w:rPr>
              <w:t>--</w:t>
            </w:r>
          </w:p>
        </w:tc>
        <w:tc>
          <w:tcPr>
            <w:tcW w:w="1007" w:type="dxa"/>
            <w:tcBorders>
              <w:top w:val="single" w:sz="4" w:space="0" w:color="000000" w:themeColor="text1"/>
              <w:bottom w:val="single" w:sz="4" w:space="0" w:color="000000" w:themeColor="text1"/>
              <w:right w:val="single" w:sz="4" w:space="0" w:color="000000" w:themeColor="text1"/>
            </w:tcBorders>
            <w:vAlign w:val="center"/>
          </w:tcPr>
          <w:p w14:paraId="3FA554C0" w14:textId="38745F8E" w:rsidR="002B0777" w:rsidRPr="00F6205B" w:rsidRDefault="002B0777" w:rsidP="002B0777">
            <w:pPr>
              <w:keepNext/>
              <w:keepLines/>
              <w:spacing w:after="0"/>
              <w:jc w:val="center"/>
              <w:rPr>
                <w:sz w:val="20"/>
                <w:szCs w:val="20"/>
              </w:rPr>
            </w:pPr>
            <w:r>
              <w:rPr>
                <w:sz w:val="20"/>
                <w:szCs w:val="20"/>
              </w:rPr>
              <w:t>R-21</w:t>
            </w:r>
          </w:p>
        </w:tc>
        <w:tc>
          <w:tcPr>
            <w:tcW w:w="3021" w:type="dxa"/>
            <w:gridSpan w:val="3"/>
            <w:tcBorders>
              <w:top w:val="single" w:sz="4" w:space="0" w:color="000000" w:themeColor="text1"/>
              <w:bottom w:val="single" w:sz="4" w:space="0" w:color="000000" w:themeColor="text1"/>
              <w:right w:val="single" w:sz="4" w:space="0" w:color="auto"/>
            </w:tcBorders>
            <w:vAlign w:val="center"/>
          </w:tcPr>
          <w:p w14:paraId="3D49922E" w14:textId="02ED838F" w:rsidR="002B0777" w:rsidRPr="00F6205B" w:rsidRDefault="002B0777" w:rsidP="002B0777">
            <w:pPr>
              <w:keepNext/>
              <w:keepLines/>
              <w:spacing w:after="0"/>
              <w:jc w:val="center"/>
              <w:rPr>
                <w:sz w:val="20"/>
                <w:szCs w:val="20"/>
              </w:rPr>
            </w:pPr>
            <w:r>
              <w:rPr>
                <w:sz w:val="20"/>
                <w:szCs w:val="20"/>
              </w:rPr>
              <w:t>R-30</w:t>
            </w:r>
          </w:p>
        </w:tc>
      </w:tr>
    </w:tbl>
    <w:p w14:paraId="79EB94EF" w14:textId="77777777" w:rsidR="00AD4AA9" w:rsidRPr="00AD4AA9" w:rsidRDefault="00AD4AA9" w:rsidP="00AD4AA9">
      <w:pPr>
        <w:rPr>
          <w:lang w:bidi="ar-SA"/>
        </w:rPr>
      </w:pPr>
    </w:p>
    <w:p w14:paraId="10B74659" w14:textId="77777777" w:rsidR="00DD02E5" w:rsidRDefault="00DD02E5" w:rsidP="004A27CF">
      <w:pPr>
        <w:sectPr w:rsidR="00DD02E5" w:rsidSect="007C5BAD">
          <w:headerReference w:type="default" r:id="rId79"/>
          <w:footerReference w:type="default" r:id="rId80"/>
          <w:headerReference w:type="first" r:id="rId81"/>
          <w:footerReference w:type="first" r:id="rId82"/>
          <w:pgSz w:w="12240" w:h="15840"/>
          <w:pgMar w:top="1440" w:right="1872" w:bottom="1440" w:left="1440" w:header="0" w:footer="0" w:gutter="0"/>
          <w:pgNumType w:start="1"/>
          <w:cols w:space="720"/>
          <w:titlePg/>
          <w:docGrid w:linePitch="272"/>
        </w:sectPr>
      </w:pPr>
    </w:p>
    <w:bookmarkStart w:id="494" w:name="_Ref439690207"/>
    <w:bookmarkStart w:id="495" w:name="_Toc439939422"/>
    <w:p w14:paraId="5B7BD2BD" w14:textId="65E90410" w:rsidR="00DD02E5" w:rsidRDefault="00DD02E5" w:rsidP="00DD02E5">
      <w:pPr>
        <w:pStyle w:val="ApHeading1"/>
        <w:rPr>
          <w:rFonts w:hint="eastAsia"/>
        </w:rPr>
      </w:pPr>
      <w:r w:rsidRPr="00F6205B">
        <w:rPr>
          <w:rFonts w:hint="eastAsia"/>
          <w:noProof/>
        </w:rPr>
        <w:lastRenderedPageBreak/>
        <mc:AlternateContent>
          <mc:Choice Requires="wps">
            <w:drawing>
              <wp:anchor distT="0" distB="0" distL="114300" distR="114300" simplePos="0" relativeHeight="251649024" behindDoc="0" locked="0" layoutInCell="1" allowOverlap="1" wp14:anchorId="3850857C" wp14:editId="0BEB8146">
                <wp:simplePos x="0" y="0"/>
                <wp:positionH relativeFrom="column">
                  <wp:posOffset>-165100</wp:posOffset>
                </wp:positionH>
                <wp:positionV relativeFrom="paragraph">
                  <wp:posOffset>97790</wp:posOffset>
                </wp:positionV>
                <wp:extent cx="1143000" cy="114300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5F6EC6B" w14:textId="79FD3FE8" w:rsidR="009027EC" w:rsidRPr="00691F20" w:rsidRDefault="009027EC" w:rsidP="00DD02E5">
                            <w:pPr>
                              <w:spacing w:after="0"/>
                              <w:jc w:val="center"/>
                              <w:rPr>
                                <w:b/>
                                <w:color w:val="FFFFFF" w:themeColor="background1"/>
                                <w:sz w:val="134"/>
                                <w:szCs w:val="134"/>
                              </w:rPr>
                            </w:pPr>
                            <w:r>
                              <w:rPr>
                                <w:b/>
                                <w:color w:val="FFFFFF" w:themeColor="background1"/>
                                <w:sz w:val="134"/>
                                <w:szCs w:val="13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3850857C" id="Text Box 3" o:spid="_x0000_s1037" type="#_x0000_t202" style="position:absolute;left:0;text-align:left;margin-left:-13pt;margin-top:7.7pt;width:90pt;height:90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pTFxAIAAO4FAAAOAAAAZHJzL2Uyb0RvYy54bWysVFtv2jAUfp+0/2D5nSYBekMNVUrFNAmt&#10;1dqpz8axIarj49kGwqb99x07CaXdXjrtJTnH5zv3y9V1UyuyFdZVoHOanaSUCM2hrPQqp98e54ML&#10;SpxnumQKtMjpXjh6Pf344WpnJmIIa1ClsASNaDfZmZyuvTeTJHF8LWrmTsAIjUIJtmYeWbtKSst2&#10;aL1WyTBNz5Id2NJY4MI5fL1thXQa7UspuL+T0glPVE4xNh+/Nn6X4ZtMr9hkZZlZV7wLg/1DFDWr&#10;NDo9mLplnpGNrf4wVVfcggPpTzjUCUhZcRFzwGyy9E02D2tmRMwFi+PMoUzu/5nlX7b3llRlTkeU&#10;aFZjix5F48kNNGQUqrMzboKgB4Mw3+Azdjlm6swC+LNDSHKEaRUcokM1Gmnr8Mc8CSpiA/aHogcv&#10;PFjLxqM0RRFHWc8Eqy/qxjr/SUBNApFTi12NIbDtwvkW2kOCNweqKueVUpGxq+VMWbJlYQLmZ+ej&#10;m5AWWn8FUzqANQS1Vty+iDhDrRs2wZiRDMgQfezvz9np+bA4P70cnBWn2WCcpReDokiHg9t5kRbp&#10;eD67HN/86lz2+rFibZFC7ZzfKxGsKv1VSOxGrFWMPuyBOMTPOBfaZ521iA4oiUG/R7HDxzxifu9R&#10;biuCGtEzaH9QrisNtp2N12GXz33IssV3M9PlHUrgm2UTxzCL0PC0hHKPQ2ehXVpn+LzC/i+Y8/fM&#10;4pbizODl8Xf4kQp2OYWOomQN9sff3gMelwellOxw63Pqvm+YFZSozxrX6jIbj8OZiMwYO4uMPZYs&#10;jyV6U88AxyrDG2d4JAPeq56UFuonPFBF8Ioipjn6zqnvyZlvbxEeOC6KIoLwMBjmF/rB8H7XwnQ/&#10;Nk/Mmm4FPE7SF+jvA5u82YQWGxqkodh4kFVck5eqdg3AoxJXoTuA4Wod8xH1cqanvwEAAP//AwBQ&#10;SwMEFAAGAAgAAAAhAOnxeDbdAAAACgEAAA8AAABkcnMvZG93bnJldi54bWxMT01PAjEQvZv4H5ox&#10;8QZdyIKwbJcYEzQeRWPgVrbj7sbtdG0L1H/vcMLbvI+8ea9cJ9uLE/rQOVIwGWcgkGpnOmoUfLxv&#10;RgsQIWoyuneECn4xwLq6vSl1YdyZ3vC0jY3gEAqFVtDGOBRShrpFq8PYDUisfTlvdWToG2m8PnO4&#10;7eU0y+bS6o74Q6sHfGqx/t4erYKUyD8M+5/XRf4iJ2G3/Nzs4rNS93fpcQUiYopXM1zqc3WouNPB&#10;HckE0SsYTee8JbIwy0FcDLOciQMfS2ZkVcr/E6o/AAAA//8DAFBLAQItABQABgAIAAAAIQC2gziS&#10;/gAAAOEBAAATAAAAAAAAAAAAAAAAAAAAAABbQ29udGVudF9UeXBlc10ueG1sUEsBAi0AFAAGAAgA&#10;AAAhADj9If/WAAAAlAEAAAsAAAAAAAAAAAAAAAAALwEAAF9yZWxzLy5yZWxzUEsBAi0AFAAGAAgA&#10;AAAhAHc+lMXEAgAA7gUAAA4AAAAAAAAAAAAAAAAALgIAAGRycy9lMm9Eb2MueG1sUEsBAi0AFAAG&#10;AAgAAAAhAOnxeDbdAAAACgEAAA8AAAAAAAAAAAAAAAAAHgUAAGRycy9kb3ducmV2LnhtbFBLBQYA&#10;AAAABAAEAPMAAAAoBgAAAAA=&#10;" fillcolor="#0f673b" stroked="f">
                <v:path arrowok="t"/>
                <v:textbox>
                  <w:txbxContent>
                    <w:p w14:paraId="15F6EC6B" w14:textId="79FD3FE8" w:rsidR="009027EC" w:rsidRPr="00691F20" w:rsidRDefault="009027EC" w:rsidP="00DD02E5">
                      <w:pPr>
                        <w:spacing w:after="0"/>
                        <w:jc w:val="center"/>
                        <w:rPr>
                          <w:b/>
                          <w:color w:val="FFFFFF" w:themeColor="background1"/>
                          <w:sz w:val="134"/>
                          <w:szCs w:val="134"/>
                        </w:rPr>
                      </w:pPr>
                      <w:r>
                        <w:rPr>
                          <w:b/>
                          <w:color w:val="FFFFFF" w:themeColor="background1"/>
                          <w:sz w:val="134"/>
                          <w:szCs w:val="134"/>
                        </w:rPr>
                        <w:t>C</w:t>
                      </w:r>
                    </w:p>
                  </w:txbxContent>
                </v:textbox>
                <w10:wrap type="square"/>
              </v:shape>
            </w:pict>
          </mc:Fallback>
        </mc:AlternateContent>
      </w:r>
      <w:r>
        <w:t>Modeling Assumptions and O</w:t>
      </w:r>
      <w:r>
        <w:rPr>
          <w:rFonts w:hint="eastAsia"/>
        </w:rPr>
        <w:t>t</w:t>
      </w:r>
      <w:r>
        <w:t>her Details</w:t>
      </w:r>
      <w:bookmarkEnd w:id="494"/>
      <w:bookmarkEnd w:id="495"/>
    </w:p>
    <w:p w14:paraId="374DC868" w14:textId="7B9870B6" w:rsidR="00DD02E5" w:rsidRDefault="00DD02E5" w:rsidP="00DD02E5">
      <w:pPr>
        <w:rPr>
          <w:lang w:bidi="ar-SA"/>
        </w:rPr>
      </w:pPr>
      <w:r>
        <w:rPr>
          <w:lang w:bidi="ar-SA"/>
        </w:rPr>
        <w:t>This appendix provides additional information regarding the assumptions that were made in modeling and calculating potential savings.</w:t>
      </w:r>
    </w:p>
    <w:p w14:paraId="2228FDF7" w14:textId="77777777" w:rsidR="00E90365" w:rsidRDefault="00E90365" w:rsidP="00DD02E5">
      <w:pPr>
        <w:rPr>
          <w:lang w:bidi="ar-SA"/>
        </w:rPr>
      </w:pPr>
    </w:p>
    <w:p w14:paraId="067F6DF5" w14:textId="77777777" w:rsidR="00DD02E5" w:rsidRDefault="00DD02E5" w:rsidP="009C5BEF">
      <w:pPr>
        <w:pStyle w:val="ApHeading2"/>
        <w:numPr>
          <w:ilvl w:val="0"/>
          <w:numId w:val="0"/>
        </w:numPr>
        <w:jc w:val="both"/>
        <w:rPr>
          <w:rFonts w:hint="eastAsia"/>
        </w:rPr>
      </w:pPr>
      <w:bookmarkStart w:id="496" w:name="_Toc373322753"/>
      <w:bookmarkStart w:id="497" w:name="_Toc391887331"/>
      <w:bookmarkStart w:id="498" w:name="_Toc439939423"/>
      <w:r>
        <w:t>Technical Feasibility for Advanced Measures</w:t>
      </w:r>
      <w:bookmarkEnd w:id="496"/>
      <w:bookmarkEnd w:id="497"/>
      <w:bookmarkEnd w:id="498"/>
    </w:p>
    <w:p w14:paraId="61AA02CE" w14:textId="77777777" w:rsidR="00DD02E5" w:rsidRDefault="00DD02E5" w:rsidP="00E90365">
      <w:pPr>
        <w:rPr>
          <w:lang w:bidi="ar-SA"/>
        </w:rPr>
      </w:pPr>
      <w:r>
        <w:rPr>
          <w:lang w:bidi="ar-SA"/>
        </w:rPr>
        <w:t xml:space="preserve">The following measures required special consideration when assessing technical feasibility. </w:t>
      </w:r>
    </w:p>
    <w:p w14:paraId="523A7885" w14:textId="0915C645" w:rsidR="00DD02E5" w:rsidRDefault="00DD02E5" w:rsidP="00E90365">
      <w:pPr>
        <w:rPr>
          <w:lang w:bidi="ar-SA"/>
        </w:rPr>
      </w:pPr>
      <w:r>
        <w:rPr>
          <w:b/>
          <w:lang w:bidi="ar-SA"/>
        </w:rPr>
        <w:t>Ground and conventional air source heat p</w:t>
      </w:r>
      <w:r w:rsidRPr="00DD02E5">
        <w:rPr>
          <w:b/>
          <w:lang w:bidi="ar-SA"/>
        </w:rPr>
        <w:t>umps</w:t>
      </w:r>
      <w:r>
        <w:rPr>
          <w:b/>
          <w:lang w:bidi="ar-SA"/>
        </w:rPr>
        <w:t>.</w:t>
      </w:r>
      <w:r w:rsidRPr="00DD02E5">
        <w:rPr>
          <w:lang w:bidi="ar-SA"/>
        </w:rPr>
        <w:t xml:space="preserve"> </w:t>
      </w:r>
      <w:r>
        <w:rPr>
          <w:lang w:bidi="ar-SA"/>
        </w:rPr>
        <w:t>These heat pump upgrades were applied to all homes with duct work and also all homes where the primary heating fuel was electricity. When modeling these upgrades, the capacity of these heat pumps was based on the cooling design load of the baseline REM/Rate models. Back-up heating equipment was also upgraded to technical potential levels and any remaining heating load was applied to said equipment.</w:t>
      </w:r>
    </w:p>
    <w:p w14:paraId="282E5E6F" w14:textId="4390D504" w:rsidR="00DD02E5" w:rsidRDefault="00DD02E5" w:rsidP="00E90365">
      <w:pPr>
        <w:rPr>
          <w:lang w:bidi="ar-SA"/>
        </w:rPr>
      </w:pPr>
      <w:r w:rsidRPr="00DD02E5">
        <w:rPr>
          <w:b/>
          <w:lang w:bidi="ar-SA"/>
        </w:rPr>
        <w:t xml:space="preserve">Photovoltaics and solar hot water. </w:t>
      </w:r>
      <w:r>
        <w:rPr>
          <w:lang w:bidi="ar-SA"/>
        </w:rPr>
        <w:t xml:space="preserve">These upgrades were applied to 60% (108 homes) of the sample. This figure is based on informal interviews the Team conducted with a handful of Connecticut based residential solar contractors. </w:t>
      </w:r>
    </w:p>
    <w:p w14:paraId="15E9932E" w14:textId="5AFCDFEB" w:rsidR="00DD02E5" w:rsidRDefault="00DD02E5" w:rsidP="00E90365">
      <w:pPr>
        <w:rPr>
          <w:lang w:bidi="ar-SA"/>
        </w:rPr>
      </w:pPr>
      <w:r w:rsidRPr="00DD02E5">
        <w:rPr>
          <w:b/>
          <w:lang w:bidi="ar-SA"/>
        </w:rPr>
        <w:t xml:space="preserve">Ductless mini-split heat pumps. </w:t>
      </w:r>
      <w:r>
        <w:rPr>
          <w:lang w:bidi="ar-SA"/>
        </w:rPr>
        <w:t xml:space="preserve">These units consist of two components—an outdoor condensing unit and an indoor air handler—linked by a conduit that contains refrigerant tubing and the power cable. Depending on capacity, an outdoor component can have up to six indoor components, which deliver heating or cooling directly to a room. Like other heat pumps, ductless mini-splits are capable of both heating and cooling. These upgrades were assumed to be technically feasible at all 180 homes. When modeling these upgrades, the capacity of the ductless mini-split was based on the cooling design load of the baseline REM/Rate models. Back-up heating equipment was also upgraded to technical potential levels and any remaining heating load was applied to said equipment.  </w:t>
      </w:r>
    </w:p>
    <w:p w14:paraId="3CC010CC" w14:textId="77777777" w:rsidR="00DD02E5" w:rsidRDefault="00DD02E5" w:rsidP="00E90365">
      <w:pPr>
        <w:rPr>
          <w:lang w:bidi="ar-SA"/>
        </w:rPr>
      </w:pPr>
      <w:r>
        <w:rPr>
          <w:lang w:bidi="ar-SA"/>
        </w:rPr>
        <w:t>These heat pumps were modeled using REM/Rate’s ground source heat pump library in order to account for the fact that REM/Rate does not adequately estimate the efficiencies of ductless mini-split heat pumps.</w:t>
      </w:r>
      <w:r>
        <w:rPr>
          <w:rStyle w:val="FootnoteReference"/>
          <w:lang w:bidi="ar-SA"/>
        </w:rPr>
        <w:footnoteReference w:id="78"/>
      </w:r>
      <w:r>
        <w:rPr>
          <w:lang w:bidi="ar-SA"/>
        </w:rPr>
        <w:t xml:space="preserve"> </w:t>
      </w:r>
    </w:p>
    <w:p w14:paraId="2F5127B8" w14:textId="77777777" w:rsidR="00DD02E5" w:rsidRDefault="00DD02E5" w:rsidP="009C5BEF">
      <w:pPr>
        <w:pStyle w:val="ApHeading2"/>
        <w:keepNext/>
        <w:keepLines/>
        <w:numPr>
          <w:ilvl w:val="0"/>
          <w:numId w:val="0"/>
        </w:numPr>
        <w:jc w:val="both"/>
        <w:rPr>
          <w:rFonts w:hint="eastAsia"/>
        </w:rPr>
      </w:pPr>
      <w:bookmarkStart w:id="499" w:name="_Toc373322754"/>
      <w:bookmarkStart w:id="500" w:name="_Toc391887332"/>
      <w:bookmarkStart w:id="501" w:name="_Toc439939424"/>
      <w:r>
        <w:lastRenderedPageBreak/>
        <w:t>Baseline Assessment for Measures Not Inventoried During Site Visits</w:t>
      </w:r>
      <w:r>
        <w:rPr>
          <w:rStyle w:val="FootnoteReference"/>
        </w:rPr>
        <w:footnoteReference w:id="79"/>
      </w:r>
      <w:bookmarkEnd w:id="499"/>
      <w:bookmarkEnd w:id="500"/>
      <w:bookmarkEnd w:id="501"/>
    </w:p>
    <w:p w14:paraId="576D8DDE" w14:textId="77777777" w:rsidR="00DD02E5" w:rsidRDefault="00DD02E5" w:rsidP="00E90365">
      <w:pPr>
        <w:rPr>
          <w:lang w:bidi="ar-SA"/>
        </w:rPr>
      </w:pPr>
      <w:r>
        <w:rPr>
          <w:lang w:bidi="ar-SA"/>
        </w:rPr>
        <w:t>Data was not collected for the following measures during the site visits for this study, and as a result, assumptions were made regarding their baseline condition.</w:t>
      </w:r>
    </w:p>
    <w:p w14:paraId="20E85731" w14:textId="72BB990B" w:rsidR="00DD02E5" w:rsidRDefault="00DD02E5" w:rsidP="00E90365">
      <w:pPr>
        <w:rPr>
          <w:lang w:bidi="ar-SA"/>
        </w:rPr>
      </w:pPr>
      <w:r w:rsidRPr="00DD02E5">
        <w:rPr>
          <w:b/>
          <w:lang w:bidi="ar-SA"/>
        </w:rPr>
        <w:t>Lighting.</w:t>
      </w:r>
      <w:r>
        <w:rPr>
          <w:lang w:bidi="ar-SA"/>
        </w:rPr>
        <w:t xml:space="preserve"> As part of the Weatherization Baseline Study data collection efforts, information was collected on light fixtures but </w:t>
      </w:r>
      <w:r w:rsidRPr="00D72A74">
        <w:rPr>
          <w:i/>
          <w:lang w:bidi="ar-SA"/>
        </w:rPr>
        <w:t>not</w:t>
      </w:r>
      <w:r>
        <w:rPr>
          <w:lang w:bidi="ar-SA"/>
        </w:rPr>
        <w:t xml:space="preserve"> on light bulbs.</w:t>
      </w:r>
      <w:r>
        <w:rPr>
          <w:rStyle w:val="FootnoteReference"/>
          <w:lang w:bidi="ar-SA"/>
        </w:rPr>
        <w:footnoteReference w:id="80"/>
      </w:r>
      <w:r>
        <w:rPr>
          <w:lang w:bidi="ar-SA"/>
        </w:rPr>
        <w:t xml:space="preserve"> For this reason, results from a recent Connecticut lighting evaluation were leveraged to estimate the baseline saturation of energy efficient light bulbs.</w:t>
      </w:r>
      <w:r>
        <w:rPr>
          <w:rStyle w:val="FootnoteReference"/>
          <w:lang w:bidi="ar-SA"/>
        </w:rPr>
        <w:footnoteReference w:id="81"/>
      </w:r>
      <w:r>
        <w:rPr>
          <w:lang w:bidi="ar-SA"/>
        </w:rPr>
        <w:t xml:space="preserve"> The number of sockets and number of efficient vs. inefficient bulbs was estimated for various single-family home sizes using the onsite data from the aforementioned study. The study results included a combination of CFLs, LEDs, and other efficient light bulbs that were all categorized together as “efficient</w:t>
      </w:r>
      <w:r w:rsidR="00380843">
        <w:rPr>
          <w:lang w:bidi="ar-SA"/>
        </w:rPr>
        <w:t>.</w:t>
      </w:r>
      <w:r>
        <w:rPr>
          <w:lang w:bidi="ar-SA"/>
        </w:rPr>
        <w:t>” The wattages that were modeled for this study were the average wattages of all efficient bulbs found in the Connecticut lighting evaluation.  On average, the study found that CFL saturation in Connecticut homes was 27%.</w:t>
      </w:r>
    </w:p>
    <w:p w14:paraId="0C65A89A" w14:textId="0AD8B60F" w:rsidR="00DD02E5" w:rsidRDefault="00DD02E5" w:rsidP="00E90365">
      <w:pPr>
        <w:rPr>
          <w:lang w:bidi="ar-SA"/>
        </w:rPr>
      </w:pPr>
      <w:r w:rsidRPr="00DD02E5">
        <w:rPr>
          <w:b/>
          <w:lang w:bidi="ar-SA"/>
        </w:rPr>
        <w:t>Dehumidifiers.</w:t>
      </w:r>
      <w:r>
        <w:rPr>
          <w:lang w:bidi="ar-SA"/>
        </w:rPr>
        <w:t xml:space="preserve"> Dehumidifiers were not part of the Weatherization Baseline Study `data collection efforts. In order to develop a baseline estimate for dehumidifiers, the Team utilized onsite data from a recent existing homes baseline study that was conducted in Vermont.</w:t>
      </w:r>
      <w:r>
        <w:rPr>
          <w:rStyle w:val="FootnoteReference"/>
          <w:lang w:bidi="ar-SA"/>
        </w:rPr>
        <w:footnoteReference w:id="82"/>
      </w:r>
      <w:r>
        <w:rPr>
          <w:lang w:bidi="ar-SA"/>
        </w:rPr>
        <w:t xml:space="preserve"> After reviewing the data, the Team determined that dehumidifiers should apply to 27% of the sample (49 homes). </w:t>
      </w:r>
    </w:p>
    <w:p w14:paraId="3301DF75" w14:textId="3D6A6A40" w:rsidR="00DD02E5" w:rsidRDefault="00DD02E5" w:rsidP="00E90365">
      <w:pPr>
        <w:rPr>
          <w:lang w:bidi="ar-SA"/>
        </w:rPr>
      </w:pPr>
      <w:r w:rsidRPr="00DD02E5">
        <w:rPr>
          <w:b/>
          <w:lang w:bidi="ar-SA"/>
        </w:rPr>
        <w:t>Low-flow showerheads and faucet aerators:</w:t>
      </w:r>
      <w:r>
        <w:rPr>
          <w:lang w:bidi="ar-SA"/>
        </w:rPr>
        <w:t xml:space="preserve"> Low-flow showerheads and faucet aerators were not part of the Weatherization Baseline Study data collection efforts. Similar to dehumidifiers, the Team utilized onsite data from a recent existing homes baseline study</w:t>
      </w:r>
      <w:r>
        <w:rPr>
          <w:rStyle w:val="FootnoteReference"/>
          <w:lang w:bidi="ar-SA"/>
        </w:rPr>
        <w:footnoteReference w:id="83"/>
      </w:r>
      <w:r>
        <w:rPr>
          <w:lang w:bidi="ar-SA"/>
        </w:rPr>
        <w:t xml:space="preserve"> in Vermont to estimate the baseline saturation of these technologies. </w:t>
      </w:r>
    </w:p>
    <w:p w14:paraId="69E6583A" w14:textId="77777777" w:rsidR="00DD02E5" w:rsidRPr="00DD02E5" w:rsidRDefault="00DD02E5" w:rsidP="00E90365">
      <w:pPr>
        <w:pStyle w:val="FootnoteText"/>
        <w:spacing w:after="120"/>
        <w:rPr>
          <w:rFonts w:cstheme="minorBidi"/>
          <w:sz w:val="22"/>
          <w:szCs w:val="22"/>
          <w:lang w:bidi="ar-SA"/>
        </w:rPr>
      </w:pPr>
      <w:r w:rsidRPr="00DD02E5">
        <w:rPr>
          <w:rFonts w:cstheme="minorBidi"/>
          <w:sz w:val="22"/>
          <w:szCs w:val="22"/>
          <w:lang w:bidi="ar-SA"/>
        </w:rPr>
        <w:t>The Vermont data revealed that the mean number of faucet aerators per home in that state is 1.23, while the mean number of low-flow showerheads per home is 0.55. The level of opportunity for faucet aerator and low-flow showerhead installation was therefore judged as follows:</w:t>
      </w:r>
    </w:p>
    <w:p w14:paraId="44D3A946" w14:textId="77777777" w:rsidR="00DD02E5" w:rsidRPr="00DD02E5" w:rsidRDefault="00DD02E5" w:rsidP="00F52E2F">
      <w:pPr>
        <w:pStyle w:val="FootnoteText"/>
        <w:numPr>
          <w:ilvl w:val="0"/>
          <w:numId w:val="38"/>
        </w:numPr>
        <w:spacing w:after="120"/>
        <w:rPr>
          <w:rFonts w:cstheme="minorBidi"/>
          <w:sz w:val="22"/>
          <w:szCs w:val="22"/>
          <w:lang w:bidi="ar-SA"/>
        </w:rPr>
      </w:pPr>
      <w:r w:rsidRPr="00DD02E5">
        <w:rPr>
          <w:rFonts w:cstheme="minorBidi"/>
          <w:sz w:val="22"/>
          <w:szCs w:val="22"/>
          <w:lang w:bidi="ar-SA"/>
        </w:rPr>
        <w:t>Faucet aerator opportunity = (# Baths + 1) – 1.23</w:t>
      </w:r>
    </w:p>
    <w:p w14:paraId="0711B41B" w14:textId="77777777" w:rsidR="00DD02E5" w:rsidRPr="00DD02E5" w:rsidRDefault="00DD02E5" w:rsidP="00F52E2F">
      <w:pPr>
        <w:pStyle w:val="FootnoteText"/>
        <w:numPr>
          <w:ilvl w:val="0"/>
          <w:numId w:val="38"/>
        </w:numPr>
        <w:spacing w:after="120"/>
        <w:rPr>
          <w:rFonts w:cstheme="minorBidi"/>
          <w:sz w:val="22"/>
          <w:szCs w:val="22"/>
          <w:lang w:bidi="ar-SA"/>
        </w:rPr>
      </w:pPr>
      <w:r w:rsidRPr="00DD02E5">
        <w:rPr>
          <w:rFonts w:cstheme="minorBidi"/>
          <w:sz w:val="22"/>
          <w:szCs w:val="22"/>
          <w:lang w:bidi="ar-SA"/>
        </w:rPr>
        <w:t>Low-flow showerhead opportunity for homes with one bathroom = (# Baths – 0.55)</w:t>
      </w:r>
    </w:p>
    <w:p w14:paraId="4D3722D6" w14:textId="77777777" w:rsidR="00DD02E5" w:rsidRPr="00E90365" w:rsidRDefault="00DD02E5" w:rsidP="00F52E2F">
      <w:pPr>
        <w:pStyle w:val="ListParagraph"/>
        <w:numPr>
          <w:ilvl w:val="0"/>
          <w:numId w:val="38"/>
        </w:numPr>
        <w:rPr>
          <w:szCs w:val="24"/>
        </w:rPr>
      </w:pPr>
      <w:r w:rsidRPr="00E90365">
        <w:rPr>
          <w:szCs w:val="24"/>
        </w:rPr>
        <w:t>Low-flow showerhead opportunity for homes with more than one bathroom = (# Baths – 1) – 0.55</w:t>
      </w:r>
    </w:p>
    <w:p w14:paraId="66480A88" w14:textId="77777777" w:rsidR="00E90365" w:rsidRDefault="00E90365" w:rsidP="00DD02E5">
      <w:pPr>
        <w:rPr>
          <w:lang w:bidi="ar-SA"/>
        </w:rPr>
        <w:sectPr w:rsidR="00E90365" w:rsidSect="007C5BAD">
          <w:footerReference w:type="default" r:id="rId83"/>
          <w:footerReference w:type="first" r:id="rId84"/>
          <w:pgSz w:w="12240" w:h="15840"/>
          <w:pgMar w:top="1440" w:right="1872" w:bottom="1440" w:left="1440" w:header="0" w:footer="0" w:gutter="0"/>
          <w:pgNumType w:start="1"/>
          <w:cols w:space="720"/>
          <w:titlePg/>
          <w:docGrid w:linePitch="272"/>
        </w:sectPr>
      </w:pPr>
    </w:p>
    <w:bookmarkStart w:id="502" w:name="_Ref439690329"/>
    <w:bookmarkStart w:id="503" w:name="_Toc439939425"/>
    <w:p w14:paraId="52F6D0AF" w14:textId="3C51AE1A" w:rsidR="00E90365" w:rsidRDefault="00E90365" w:rsidP="00E90365">
      <w:pPr>
        <w:pStyle w:val="ApHeading1"/>
        <w:rPr>
          <w:rFonts w:hint="eastAsia"/>
        </w:rPr>
      </w:pPr>
      <w:r w:rsidRPr="00F6205B">
        <w:rPr>
          <w:rFonts w:hint="eastAsia"/>
          <w:noProof/>
        </w:rPr>
        <w:lastRenderedPageBreak/>
        <mc:AlternateContent>
          <mc:Choice Requires="wps">
            <w:drawing>
              <wp:anchor distT="0" distB="0" distL="114300" distR="114300" simplePos="0" relativeHeight="251663360" behindDoc="0" locked="0" layoutInCell="1" allowOverlap="1" wp14:anchorId="61B09EEA" wp14:editId="64CB091C">
                <wp:simplePos x="0" y="0"/>
                <wp:positionH relativeFrom="column">
                  <wp:posOffset>-165100</wp:posOffset>
                </wp:positionH>
                <wp:positionV relativeFrom="paragraph">
                  <wp:posOffset>97790</wp:posOffset>
                </wp:positionV>
                <wp:extent cx="1143000" cy="114300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3E544CA" w14:textId="2F14C417" w:rsidR="009027EC" w:rsidRPr="00691F20" w:rsidRDefault="009027EC" w:rsidP="00E90365">
                            <w:pPr>
                              <w:spacing w:after="0"/>
                              <w:jc w:val="center"/>
                              <w:rPr>
                                <w:b/>
                                <w:color w:val="FFFFFF" w:themeColor="background1"/>
                                <w:sz w:val="134"/>
                                <w:szCs w:val="134"/>
                              </w:rPr>
                            </w:pPr>
                            <w:r>
                              <w:rPr>
                                <w:b/>
                                <w:color w:val="FFFFFF" w:themeColor="background1"/>
                                <w:sz w:val="134"/>
                                <w:szCs w:val="13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61B09EEA" id="Text Box 12" o:spid="_x0000_s1038" type="#_x0000_t202" style="position:absolute;left:0;text-align:left;margin-left:-13pt;margin-top:7.7pt;width:90pt;height:9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g+8xQIAAPAFAAAOAAAAZHJzL2Uyb0RvYy54bWysVFtP2zAUfp+0/2D5vSQp5VaRolDUaVIF&#10;aDDx7Dp2G+H4eLbbpkP77zt2klLYXpj2ktg+37l953J51dSKbIR1FeicZkcpJUJzKCu9zOn3x9ng&#10;nBLnmS6ZAi1yuhOOXk0+f7rcmrEYwgpUKSxBI9qNtyanK+/NOEkcX4mauSMwQqNQgq2Zx6tdJqVl&#10;W7Req2SYpqfJFmxpLHDhHL7etEI6ifalFNzfSemEJyqnGJuPXxu/i/BNJpdsvLTMrCrehcH+IYqa&#10;VRqd7k3dMM/I2lZ/mKorbsGB9Ecc6gSkrLiIOWA2Wfoum4cVMyLmguQ4s6fJ/T+z/HZzb0lVYu2G&#10;lGhWY40eRePJNTQEn5CfrXFjhD0YBPoG3xEbc3VmDvzZISQ5wLQKDtGBj0baOvwxU4KKWILdnvbg&#10;hgdr2eg4TVHEUdZfgtVXdWOd/yKgJuGQU4t1jSGwzdz5FtpDgjcHqipnlVLxYpeLqbJkw0IPzE7P&#10;jq9DWmj9DUzpANYQ1Fpx+yJiF7Vu2BhjxmNAhuhjhV+mJ2fD4uzkYnBanGSDUZaeD4oiHQ5uZkVa&#10;pKPZ9GJ0/atz2etHxlqSAnfO75QIVpX+JiTWI3IVow+TIPbxM86F9llnLaIDSmLQH1Hs8DGPmN9H&#10;lFtGUCN6Bu33ynWlwba98Tbs8rkPWbb4rme6vAMFvlk0fSMi/+FpAeUOm85CO7bO8FmF9Z8z5++Z&#10;xTnFnsHd4+/wIxVscwrdiZIV2J9/ew94HB+UUrLFuc+p+7FmVlCivmocrItsNAqLIl5GWFm82EPJ&#10;4lCi1/UUsK0y3HKGx2PAe9UfpYX6CVdUEbyiiGmOvnPq++PUt9sIVxwXRRFBuBoM83P9YHg/a6G7&#10;H5snZk03Ah476Rb6DcHG7yahxYYCaSjWHmQVx+SV1a4AuFbiKHQrMOytw3tEvS7qyW8AAAD//wMA&#10;UEsDBBQABgAIAAAAIQDp8Xg23QAAAAoBAAAPAAAAZHJzL2Rvd25yZXYueG1sTE9NTwIxEL2b+B+a&#10;MfEGXciCsGyXGBM0HkVj4Fa24+7G7XRtC9R/73DC27yPvHmvXCfbixP60DlSMBlnIJBqZzpqFHy8&#10;b0YLECFqMrp3hAp+McC6ur0pdWHcmd7wtI2N4BAKhVbQxjgUUoa6RavD2A1IrH05b3Vk6BtpvD5z&#10;uO3lNMvm0uqO+EOrB3xqsf7eHq2ClMg/DPuf10X+Iidht/zc7OKzUvd36XEFImKKVzNc6nN1qLjT&#10;wR3JBNErGE3nvCWyMMtBXAyznIkDH0tmZFXK/xOqPwAAAP//AwBQSwECLQAUAAYACAAAACEAtoM4&#10;kv4AAADhAQAAEwAAAAAAAAAAAAAAAAAAAAAAW0NvbnRlbnRfVHlwZXNdLnhtbFBLAQItABQABgAI&#10;AAAAIQA4/SH/1gAAAJQBAAALAAAAAAAAAAAAAAAAAC8BAABfcmVscy8ucmVsc1BLAQItABQABgAI&#10;AAAAIQCUAg+8xQIAAPAFAAAOAAAAAAAAAAAAAAAAAC4CAABkcnMvZTJvRG9jLnhtbFBLAQItABQA&#10;BgAIAAAAIQDp8Xg23QAAAAoBAAAPAAAAAAAAAAAAAAAAAB8FAABkcnMvZG93bnJldi54bWxQSwUG&#10;AAAAAAQABADzAAAAKQYAAAAA&#10;" fillcolor="#0f673b" stroked="f">
                <v:path arrowok="t"/>
                <v:textbox>
                  <w:txbxContent>
                    <w:p w14:paraId="63E544CA" w14:textId="2F14C417" w:rsidR="009027EC" w:rsidRPr="00691F20" w:rsidRDefault="009027EC" w:rsidP="00E90365">
                      <w:pPr>
                        <w:spacing w:after="0"/>
                        <w:jc w:val="center"/>
                        <w:rPr>
                          <w:b/>
                          <w:color w:val="FFFFFF" w:themeColor="background1"/>
                          <w:sz w:val="134"/>
                          <w:szCs w:val="134"/>
                        </w:rPr>
                      </w:pPr>
                      <w:r>
                        <w:rPr>
                          <w:b/>
                          <w:color w:val="FFFFFF" w:themeColor="background1"/>
                          <w:sz w:val="134"/>
                          <w:szCs w:val="134"/>
                        </w:rPr>
                        <w:t>D</w:t>
                      </w:r>
                    </w:p>
                  </w:txbxContent>
                </v:textbox>
                <w10:wrap type="square"/>
              </v:shape>
            </w:pict>
          </mc:Fallback>
        </mc:AlternateContent>
      </w:r>
      <w:r>
        <w:t>Detailed Fuel Switching Impact T</w:t>
      </w:r>
      <w:r>
        <w:rPr>
          <w:rFonts w:hint="eastAsia"/>
        </w:rPr>
        <w:t>a</w:t>
      </w:r>
      <w:r>
        <w:t>bles</w:t>
      </w:r>
      <w:bookmarkEnd w:id="502"/>
      <w:bookmarkEnd w:id="503"/>
    </w:p>
    <w:p w14:paraId="0FA6C328" w14:textId="78E9EAA3" w:rsidR="00AB14BD" w:rsidRDefault="00091203" w:rsidP="00AB14BD">
      <w:pPr>
        <w:rPr>
          <w:lang w:bidi="ar-SA"/>
        </w:rPr>
      </w:pPr>
      <w:r>
        <w:rPr>
          <w:lang w:bidi="ar-SA"/>
        </w:rPr>
        <w:fldChar w:fldCharType="begin"/>
      </w:r>
      <w:r>
        <w:rPr>
          <w:lang w:bidi="ar-SA"/>
        </w:rPr>
        <w:instrText xml:space="preserve"> REF _Ref439680585 \h </w:instrText>
      </w:r>
      <w:r>
        <w:rPr>
          <w:lang w:bidi="ar-SA"/>
        </w:rPr>
      </w:r>
      <w:r>
        <w:rPr>
          <w:lang w:bidi="ar-SA"/>
        </w:rPr>
        <w:fldChar w:fldCharType="separate"/>
      </w:r>
      <w:r w:rsidR="00FA26A9">
        <w:t xml:space="preserve">Table </w:t>
      </w:r>
      <w:r w:rsidR="00FA26A9">
        <w:rPr>
          <w:noProof/>
        </w:rPr>
        <w:t>48</w:t>
      </w:r>
      <w:r>
        <w:rPr>
          <w:lang w:bidi="ar-SA"/>
        </w:rPr>
        <w:fldChar w:fldCharType="end"/>
      </w:r>
      <w:r>
        <w:rPr>
          <w:lang w:bidi="ar-SA"/>
        </w:rPr>
        <w:t xml:space="preserve"> </w:t>
      </w:r>
      <w:r w:rsidR="00AB14BD">
        <w:rPr>
          <w:lang w:bidi="ar-SA"/>
        </w:rPr>
        <w:t>describes the trajectory of annual consumption by fuel type for both the base c</w:t>
      </w:r>
      <w:r>
        <w:rPr>
          <w:lang w:bidi="ar-SA"/>
        </w:rPr>
        <w:t>ase and upgrade case scenarios.</w:t>
      </w:r>
    </w:p>
    <w:p w14:paraId="006DA6F9" w14:textId="77777777" w:rsidR="00AB14BD" w:rsidRDefault="00AB14BD" w:rsidP="00AB14BD">
      <w:pPr>
        <w:rPr>
          <w:lang w:bidi="ar-SA"/>
        </w:rPr>
        <w:sectPr w:rsidR="00AB14BD" w:rsidSect="00AB14BD">
          <w:footerReference w:type="first" r:id="rId85"/>
          <w:pgSz w:w="12240" w:h="15840"/>
          <w:pgMar w:top="1440" w:right="1872" w:bottom="1440" w:left="1440" w:header="0" w:footer="0" w:gutter="0"/>
          <w:pgNumType w:start="1"/>
          <w:cols w:space="720"/>
          <w:titlePg/>
          <w:docGrid w:linePitch="299"/>
        </w:sectPr>
      </w:pPr>
    </w:p>
    <w:p w14:paraId="3445C846" w14:textId="0A9F2C42" w:rsidR="00AB14BD" w:rsidRDefault="00AB14BD" w:rsidP="00AB14BD">
      <w:pPr>
        <w:pStyle w:val="Caption"/>
      </w:pPr>
      <w:bookmarkStart w:id="504" w:name="_Ref373322827"/>
      <w:bookmarkStart w:id="505" w:name="_Ref391887288"/>
      <w:bookmarkStart w:id="506" w:name="_Ref439680585"/>
      <w:bookmarkStart w:id="507" w:name="_Ref369170670"/>
      <w:bookmarkStart w:id="508" w:name="_Toc373324141"/>
      <w:bookmarkStart w:id="509" w:name="_Toc391887382"/>
      <w:bookmarkStart w:id="510" w:name="_Toc439931879"/>
      <w:r>
        <w:lastRenderedPageBreak/>
        <w:t>Table</w:t>
      </w:r>
      <w:bookmarkEnd w:id="504"/>
      <w:bookmarkEnd w:id="505"/>
      <w:r>
        <w:t xml:space="preserve"> </w:t>
      </w:r>
      <w:fldSimple w:instr=" SEQ Table \* ARABIC ">
        <w:r w:rsidR="00FA26A9">
          <w:rPr>
            <w:noProof/>
          </w:rPr>
          <w:t>48</w:t>
        </w:r>
      </w:fldSimple>
      <w:bookmarkEnd w:id="506"/>
      <w:r>
        <w:t xml:space="preserve">: </w:t>
      </w:r>
      <w:bookmarkEnd w:id="507"/>
      <w:r w:rsidR="004336BD">
        <w:t>Fuel Switching—</w:t>
      </w:r>
      <w:r>
        <w:t>Consumption Growth Trajectories Under the Maximum (100%) Uptake Rate</w:t>
      </w:r>
      <w:bookmarkEnd w:id="508"/>
      <w:bookmarkEnd w:id="509"/>
      <w:bookmarkEnd w:id="510"/>
    </w:p>
    <w:p w14:paraId="7420FAEC" w14:textId="77777777" w:rsidR="00AB14BD" w:rsidRPr="00BD5430" w:rsidRDefault="00AB14BD" w:rsidP="00AB14BD">
      <w:pPr>
        <w:pStyle w:val="Caption"/>
        <w:spacing w:before="0"/>
        <w:rPr>
          <w:rFonts w:ascii="Arial" w:hAnsi="Arial" w:cs="Arial"/>
          <w:b w:val="0"/>
          <w:caps/>
        </w:rPr>
      </w:pPr>
      <w:r w:rsidRPr="00BD5430">
        <w:rPr>
          <w:rFonts w:ascii="Arial" w:hAnsi="Arial" w:cs="Arial"/>
          <w:b w:val="0"/>
          <w:sz w:val="20"/>
          <w:szCs w:val="20"/>
        </w:rPr>
        <w:t>(Base: All SF homes, weighted to population)</w:t>
      </w:r>
      <w:r w:rsidRPr="00BD5430">
        <w:rPr>
          <w:rFonts w:ascii="Arial" w:hAnsi="Arial" w:cs="Arial"/>
          <w:b w:val="0"/>
        </w:rPr>
        <w:t xml:space="preserve"> </w:t>
      </w:r>
    </w:p>
    <w:tbl>
      <w:tblPr>
        <w:tblStyle w:val="TableGrid"/>
        <w:tblW w:w="13222"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5261"/>
        <w:gridCol w:w="1080"/>
        <w:gridCol w:w="1394"/>
        <w:gridCol w:w="990"/>
        <w:gridCol w:w="990"/>
        <w:gridCol w:w="990"/>
        <w:gridCol w:w="990"/>
        <w:gridCol w:w="1527"/>
      </w:tblGrid>
      <w:tr w:rsidR="00AB14BD" w14:paraId="38A8ADA1" w14:textId="77777777" w:rsidTr="00017F33">
        <w:trPr>
          <w:trHeight w:hRule="exact" w:val="288"/>
          <w:jc w:val="center"/>
        </w:trPr>
        <w:tc>
          <w:tcPr>
            <w:tcW w:w="5261" w:type="dxa"/>
            <w:vMerge w:val="restart"/>
            <w:tcBorders>
              <w:top w:val="single" w:sz="4" w:space="0" w:color="auto"/>
              <w:left w:val="single" w:sz="4" w:space="0" w:color="auto"/>
              <w:right w:val="single" w:sz="4" w:space="0" w:color="000000" w:themeColor="text1"/>
            </w:tcBorders>
            <w:shd w:val="clear" w:color="auto" w:fill="0B4D2C" w:themeFill="background2" w:themeFillShade="BF"/>
            <w:vAlign w:val="center"/>
          </w:tcPr>
          <w:p w14:paraId="3047133E" w14:textId="77777777" w:rsidR="00AB14BD" w:rsidRPr="00AB14BD" w:rsidRDefault="00AB14BD" w:rsidP="00AB14BD">
            <w:pPr>
              <w:keepNext/>
              <w:keepLines/>
              <w:spacing w:after="0"/>
              <w:rPr>
                <w:b/>
                <w:sz w:val="18"/>
                <w:szCs w:val="20"/>
              </w:rPr>
            </w:pPr>
            <w:r w:rsidRPr="00AB14BD">
              <w:rPr>
                <w:b/>
                <w:sz w:val="18"/>
                <w:szCs w:val="20"/>
              </w:rPr>
              <w:t>Impact</w:t>
            </w:r>
          </w:p>
        </w:tc>
        <w:tc>
          <w:tcPr>
            <w:tcW w:w="6434" w:type="dxa"/>
            <w:gridSpan w:val="6"/>
            <w:tcBorders>
              <w:top w:val="single" w:sz="4" w:space="0" w:color="auto"/>
              <w:bottom w:val="single" w:sz="4" w:space="0" w:color="000000" w:themeColor="text1"/>
            </w:tcBorders>
            <w:shd w:val="clear" w:color="auto" w:fill="0B4D2C" w:themeFill="background2" w:themeFillShade="BF"/>
            <w:vAlign w:val="center"/>
          </w:tcPr>
          <w:p w14:paraId="31B9ED64" w14:textId="77777777" w:rsidR="00AB14BD" w:rsidRPr="00AB14BD" w:rsidRDefault="00AB14BD" w:rsidP="00AB14BD">
            <w:pPr>
              <w:keepNext/>
              <w:keepLines/>
              <w:spacing w:after="0"/>
              <w:jc w:val="center"/>
              <w:rPr>
                <w:b/>
                <w:sz w:val="18"/>
                <w:szCs w:val="20"/>
                <w:vertAlign w:val="superscript"/>
              </w:rPr>
            </w:pPr>
            <w:r w:rsidRPr="00AB14BD">
              <w:rPr>
                <w:b/>
                <w:sz w:val="18"/>
                <w:szCs w:val="20"/>
              </w:rPr>
              <w:t>Annual Consumption</w:t>
            </w:r>
          </w:p>
        </w:tc>
        <w:tc>
          <w:tcPr>
            <w:tcW w:w="1527" w:type="dxa"/>
            <w:vMerge w:val="restart"/>
            <w:tcBorders>
              <w:top w:val="single" w:sz="4" w:space="0" w:color="auto"/>
              <w:right w:val="single" w:sz="4" w:space="0" w:color="auto"/>
            </w:tcBorders>
            <w:shd w:val="clear" w:color="auto" w:fill="0B4D2C" w:themeFill="background2" w:themeFillShade="BF"/>
            <w:vAlign w:val="center"/>
          </w:tcPr>
          <w:p w14:paraId="44D4F430" w14:textId="77777777" w:rsidR="00AB14BD" w:rsidRPr="00AB14BD" w:rsidRDefault="00AB14BD" w:rsidP="00AB14BD">
            <w:pPr>
              <w:keepNext/>
              <w:keepLines/>
              <w:spacing w:after="0"/>
              <w:jc w:val="center"/>
              <w:rPr>
                <w:b/>
                <w:sz w:val="18"/>
                <w:szCs w:val="20"/>
              </w:rPr>
            </w:pPr>
            <w:r w:rsidRPr="00AB14BD">
              <w:rPr>
                <w:b/>
                <w:sz w:val="18"/>
                <w:szCs w:val="20"/>
              </w:rPr>
              <w:t>Difference in 10-Year Totals</w:t>
            </w:r>
          </w:p>
        </w:tc>
      </w:tr>
      <w:tr w:rsidR="00AB14BD" w14:paraId="37F77FE3" w14:textId="77777777" w:rsidTr="00017F33">
        <w:trPr>
          <w:trHeight w:hRule="exact" w:val="288"/>
          <w:jc w:val="center"/>
        </w:trPr>
        <w:tc>
          <w:tcPr>
            <w:tcW w:w="5261" w:type="dxa"/>
            <w:vMerge/>
            <w:tcBorders>
              <w:left w:val="single" w:sz="4" w:space="0" w:color="auto"/>
              <w:bottom w:val="single" w:sz="4" w:space="0" w:color="auto"/>
              <w:right w:val="single" w:sz="4" w:space="0" w:color="000000" w:themeColor="text1"/>
            </w:tcBorders>
            <w:vAlign w:val="center"/>
          </w:tcPr>
          <w:p w14:paraId="3A19CB50" w14:textId="77777777" w:rsidR="00AB14BD" w:rsidRPr="00AB14BD" w:rsidRDefault="00AB14BD" w:rsidP="00AB14BD">
            <w:pPr>
              <w:keepNext/>
              <w:keepLines/>
              <w:spacing w:after="0"/>
              <w:rPr>
                <w:b/>
                <w:sz w:val="18"/>
                <w:szCs w:val="20"/>
              </w:rPr>
            </w:pPr>
          </w:p>
        </w:tc>
        <w:tc>
          <w:tcPr>
            <w:tcW w:w="1080" w:type="dxa"/>
            <w:tcBorders>
              <w:top w:val="single" w:sz="4" w:space="0" w:color="000000" w:themeColor="text1"/>
              <w:bottom w:val="single" w:sz="4" w:space="0" w:color="auto"/>
            </w:tcBorders>
            <w:shd w:val="clear" w:color="auto" w:fill="0B4D2C" w:themeFill="background2" w:themeFillShade="BF"/>
            <w:vAlign w:val="center"/>
          </w:tcPr>
          <w:p w14:paraId="0A997D07" w14:textId="77777777" w:rsidR="00AB14BD" w:rsidRPr="00AB14BD" w:rsidRDefault="00AB14BD" w:rsidP="00AB14BD">
            <w:pPr>
              <w:keepNext/>
              <w:keepLines/>
              <w:spacing w:after="0"/>
              <w:jc w:val="center"/>
              <w:rPr>
                <w:b/>
                <w:sz w:val="18"/>
                <w:szCs w:val="20"/>
              </w:rPr>
            </w:pPr>
            <w:r w:rsidRPr="00AB14BD">
              <w:rPr>
                <w:b/>
                <w:sz w:val="18"/>
                <w:szCs w:val="20"/>
              </w:rPr>
              <w:t>Current</w:t>
            </w:r>
          </w:p>
        </w:tc>
        <w:tc>
          <w:tcPr>
            <w:tcW w:w="1394" w:type="dxa"/>
            <w:tcBorders>
              <w:top w:val="single" w:sz="4" w:space="0" w:color="000000" w:themeColor="text1"/>
              <w:bottom w:val="single" w:sz="4" w:space="0" w:color="auto"/>
            </w:tcBorders>
            <w:shd w:val="clear" w:color="auto" w:fill="0B4D2C" w:themeFill="background2" w:themeFillShade="BF"/>
            <w:vAlign w:val="center"/>
          </w:tcPr>
          <w:p w14:paraId="3D5E3B87" w14:textId="77777777" w:rsidR="00AB14BD" w:rsidRPr="00AB14BD" w:rsidRDefault="00AB14BD" w:rsidP="00AB14BD">
            <w:pPr>
              <w:keepNext/>
              <w:keepLines/>
              <w:spacing w:after="0"/>
              <w:jc w:val="center"/>
              <w:rPr>
                <w:b/>
                <w:sz w:val="18"/>
                <w:szCs w:val="20"/>
              </w:rPr>
            </w:pPr>
            <w:r w:rsidRPr="00AB14BD">
              <w:rPr>
                <w:b/>
                <w:sz w:val="18"/>
                <w:szCs w:val="20"/>
              </w:rPr>
              <w:t>Growth Rate</w:t>
            </w:r>
          </w:p>
        </w:tc>
        <w:tc>
          <w:tcPr>
            <w:tcW w:w="990" w:type="dxa"/>
            <w:tcBorders>
              <w:top w:val="single" w:sz="4" w:space="0" w:color="000000" w:themeColor="text1"/>
              <w:bottom w:val="single" w:sz="4" w:space="0" w:color="auto"/>
            </w:tcBorders>
            <w:shd w:val="clear" w:color="auto" w:fill="0B4D2C" w:themeFill="background2" w:themeFillShade="BF"/>
            <w:vAlign w:val="center"/>
          </w:tcPr>
          <w:p w14:paraId="631E768B" w14:textId="77777777" w:rsidR="00AB14BD" w:rsidRPr="00AB14BD" w:rsidRDefault="00AB14BD" w:rsidP="00AB14BD">
            <w:pPr>
              <w:keepNext/>
              <w:keepLines/>
              <w:spacing w:after="0"/>
              <w:jc w:val="center"/>
              <w:rPr>
                <w:b/>
                <w:sz w:val="18"/>
                <w:szCs w:val="20"/>
              </w:rPr>
            </w:pPr>
            <w:r w:rsidRPr="00AB14BD">
              <w:rPr>
                <w:b/>
                <w:sz w:val="18"/>
                <w:szCs w:val="20"/>
              </w:rPr>
              <w:t>Year 2.5</w:t>
            </w:r>
          </w:p>
        </w:tc>
        <w:tc>
          <w:tcPr>
            <w:tcW w:w="990" w:type="dxa"/>
            <w:tcBorders>
              <w:top w:val="single" w:sz="4" w:space="0" w:color="000000" w:themeColor="text1"/>
              <w:bottom w:val="single" w:sz="4" w:space="0" w:color="auto"/>
            </w:tcBorders>
            <w:shd w:val="clear" w:color="auto" w:fill="0B4D2C" w:themeFill="background2" w:themeFillShade="BF"/>
            <w:vAlign w:val="center"/>
          </w:tcPr>
          <w:p w14:paraId="22B69DCC" w14:textId="77777777" w:rsidR="00AB14BD" w:rsidRPr="00AB14BD" w:rsidRDefault="00AB14BD" w:rsidP="00AB14BD">
            <w:pPr>
              <w:keepNext/>
              <w:keepLines/>
              <w:spacing w:after="0"/>
              <w:jc w:val="center"/>
              <w:rPr>
                <w:b/>
                <w:sz w:val="18"/>
                <w:szCs w:val="20"/>
              </w:rPr>
            </w:pPr>
            <w:r w:rsidRPr="00AB14BD">
              <w:rPr>
                <w:b/>
                <w:sz w:val="18"/>
                <w:szCs w:val="20"/>
              </w:rPr>
              <w:t>Year 5</w:t>
            </w:r>
          </w:p>
        </w:tc>
        <w:tc>
          <w:tcPr>
            <w:tcW w:w="990" w:type="dxa"/>
            <w:tcBorders>
              <w:top w:val="single" w:sz="4" w:space="0" w:color="000000" w:themeColor="text1"/>
              <w:bottom w:val="single" w:sz="4" w:space="0" w:color="auto"/>
              <w:right w:val="single" w:sz="4" w:space="0" w:color="000000" w:themeColor="text1"/>
            </w:tcBorders>
            <w:shd w:val="clear" w:color="auto" w:fill="0B4D2C" w:themeFill="background2" w:themeFillShade="BF"/>
            <w:vAlign w:val="center"/>
          </w:tcPr>
          <w:p w14:paraId="52D052C8" w14:textId="77777777" w:rsidR="00AB14BD" w:rsidRPr="00AB14BD" w:rsidRDefault="00AB14BD" w:rsidP="00AB14BD">
            <w:pPr>
              <w:keepNext/>
              <w:keepLines/>
              <w:spacing w:after="0"/>
              <w:jc w:val="center"/>
              <w:rPr>
                <w:b/>
                <w:sz w:val="18"/>
                <w:szCs w:val="20"/>
              </w:rPr>
            </w:pPr>
            <w:r w:rsidRPr="00AB14BD">
              <w:rPr>
                <w:b/>
                <w:sz w:val="18"/>
                <w:szCs w:val="20"/>
              </w:rPr>
              <w:t>Year 7.5</w:t>
            </w:r>
          </w:p>
        </w:tc>
        <w:tc>
          <w:tcPr>
            <w:tcW w:w="990" w:type="dxa"/>
            <w:tcBorders>
              <w:top w:val="single" w:sz="4" w:space="0" w:color="000000" w:themeColor="text1"/>
              <w:bottom w:val="single" w:sz="4" w:space="0" w:color="auto"/>
            </w:tcBorders>
            <w:shd w:val="clear" w:color="auto" w:fill="0B4D2C" w:themeFill="background2" w:themeFillShade="BF"/>
            <w:vAlign w:val="center"/>
          </w:tcPr>
          <w:p w14:paraId="1D049AED" w14:textId="77777777" w:rsidR="00AB14BD" w:rsidRPr="00AB14BD" w:rsidRDefault="00AB14BD" w:rsidP="00AB14BD">
            <w:pPr>
              <w:keepNext/>
              <w:keepLines/>
              <w:spacing w:after="0"/>
              <w:jc w:val="center"/>
              <w:rPr>
                <w:b/>
                <w:sz w:val="18"/>
                <w:szCs w:val="20"/>
              </w:rPr>
            </w:pPr>
            <w:r w:rsidRPr="00AB14BD">
              <w:rPr>
                <w:b/>
                <w:sz w:val="18"/>
                <w:szCs w:val="20"/>
              </w:rPr>
              <w:t>Year 10</w:t>
            </w:r>
          </w:p>
        </w:tc>
        <w:tc>
          <w:tcPr>
            <w:tcW w:w="1527" w:type="dxa"/>
            <w:vMerge/>
            <w:tcBorders>
              <w:bottom w:val="single" w:sz="4" w:space="0" w:color="auto"/>
              <w:right w:val="single" w:sz="4" w:space="0" w:color="auto"/>
            </w:tcBorders>
            <w:vAlign w:val="center"/>
          </w:tcPr>
          <w:p w14:paraId="54B82886" w14:textId="77777777" w:rsidR="00AB14BD" w:rsidRPr="00AB14BD" w:rsidRDefault="00AB14BD" w:rsidP="00AB14BD">
            <w:pPr>
              <w:keepNext/>
              <w:keepLines/>
              <w:spacing w:after="0"/>
              <w:jc w:val="center"/>
              <w:rPr>
                <w:b/>
                <w:sz w:val="18"/>
                <w:szCs w:val="20"/>
              </w:rPr>
            </w:pPr>
          </w:p>
        </w:tc>
      </w:tr>
      <w:tr w:rsidR="00AB14BD" w:rsidRPr="00C92849" w14:paraId="583D80A2" w14:textId="77777777" w:rsidTr="00C92849">
        <w:trPr>
          <w:trHeight w:val="288"/>
          <w:jc w:val="center"/>
        </w:trPr>
        <w:tc>
          <w:tcPr>
            <w:tcW w:w="13222" w:type="dxa"/>
            <w:gridSpan w:val="8"/>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2CF1EDD3" w14:textId="77777777" w:rsidR="00AB14BD" w:rsidRPr="00C92849" w:rsidRDefault="00AB14BD" w:rsidP="00AB14BD">
            <w:pPr>
              <w:keepNext/>
              <w:keepLines/>
              <w:spacing w:after="0"/>
              <w:jc w:val="center"/>
              <w:rPr>
                <w:b/>
                <w:color w:val="FFFFFF" w:themeColor="background1"/>
                <w:sz w:val="18"/>
                <w:szCs w:val="20"/>
              </w:rPr>
            </w:pPr>
            <w:r w:rsidRPr="00C92849">
              <w:rPr>
                <w:b/>
                <w:color w:val="FFFFFF" w:themeColor="background1"/>
                <w:sz w:val="18"/>
                <w:szCs w:val="20"/>
              </w:rPr>
              <w:t>Base Case</w:t>
            </w:r>
          </w:p>
        </w:tc>
      </w:tr>
      <w:tr w:rsidR="00AB14BD" w:rsidRPr="00946190" w14:paraId="3B4C783C" w14:textId="77777777" w:rsidTr="00017F33">
        <w:trPr>
          <w:trHeight w:val="288"/>
          <w:jc w:val="center"/>
        </w:trPr>
        <w:tc>
          <w:tcPr>
            <w:tcW w:w="5261" w:type="dxa"/>
            <w:tcBorders>
              <w:top w:val="single" w:sz="4" w:space="0" w:color="auto"/>
              <w:left w:val="single" w:sz="4" w:space="0" w:color="auto"/>
              <w:bottom w:val="single" w:sz="4" w:space="0" w:color="000000" w:themeColor="text1"/>
              <w:right w:val="single" w:sz="4" w:space="0" w:color="000000" w:themeColor="text1"/>
            </w:tcBorders>
            <w:vAlign w:val="center"/>
          </w:tcPr>
          <w:p w14:paraId="4A7C9D8B" w14:textId="77777777" w:rsidR="00AB14BD" w:rsidRPr="00AB14BD" w:rsidRDefault="00AB14BD" w:rsidP="00AB14BD">
            <w:pPr>
              <w:keepNext/>
              <w:keepLines/>
              <w:spacing w:after="0"/>
              <w:rPr>
                <w:sz w:val="18"/>
                <w:szCs w:val="20"/>
              </w:rPr>
            </w:pPr>
            <w:r w:rsidRPr="00AB14BD">
              <w:rPr>
                <w:sz w:val="18"/>
                <w:szCs w:val="20"/>
              </w:rPr>
              <w:t>Oil consumption, existing trajectory (million gallons)</w:t>
            </w:r>
          </w:p>
        </w:tc>
        <w:tc>
          <w:tcPr>
            <w:tcW w:w="1080" w:type="dxa"/>
            <w:vMerge w:val="restart"/>
            <w:tcBorders>
              <w:top w:val="single" w:sz="4" w:space="0" w:color="auto"/>
            </w:tcBorders>
            <w:vAlign w:val="center"/>
          </w:tcPr>
          <w:p w14:paraId="29B4BD68" w14:textId="77777777" w:rsidR="00AB14BD" w:rsidRPr="00AB14BD" w:rsidRDefault="00AB14BD" w:rsidP="00AB14BD">
            <w:pPr>
              <w:keepNext/>
              <w:keepLines/>
              <w:spacing w:after="0"/>
              <w:jc w:val="center"/>
              <w:rPr>
                <w:sz w:val="18"/>
                <w:szCs w:val="20"/>
              </w:rPr>
            </w:pPr>
            <w:r w:rsidRPr="00AB14BD">
              <w:rPr>
                <w:sz w:val="18"/>
                <w:szCs w:val="20"/>
              </w:rPr>
              <w:t>527.6</w:t>
            </w:r>
          </w:p>
        </w:tc>
        <w:tc>
          <w:tcPr>
            <w:tcW w:w="1394" w:type="dxa"/>
            <w:vMerge w:val="restart"/>
            <w:tcBorders>
              <w:top w:val="single" w:sz="4" w:space="0" w:color="auto"/>
            </w:tcBorders>
            <w:vAlign w:val="center"/>
          </w:tcPr>
          <w:p w14:paraId="15D30571" w14:textId="77777777" w:rsidR="00AB14BD" w:rsidRPr="00AB14BD" w:rsidRDefault="00AB14BD" w:rsidP="00AB14BD">
            <w:pPr>
              <w:keepNext/>
              <w:keepLines/>
              <w:spacing w:after="0"/>
              <w:jc w:val="center"/>
              <w:rPr>
                <w:i/>
                <w:sz w:val="18"/>
                <w:szCs w:val="20"/>
              </w:rPr>
            </w:pPr>
            <w:r w:rsidRPr="00AB14BD">
              <w:rPr>
                <w:i/>
                <w:sz w:val="18"/>
                <w:szCs w:val="20"/>
              </w:rPr>
              <w:t>- 2.1%</w:t>
            </w:r>
          </w:p>
        </w:tc>
        <w:tc>
          <w:tcPr>
            <w:tcW w:w="990" w:type="dxa"/>
            <w:tcBorders>
              <w:top w:val="single" w:sz="4" w:space="0" w:color="auto"/>
              <w:bottom w:val="single" w:sz="4" w:space="0" w:color="000000" w:themeColor="text1"/>
            </w:tcBorders>
            <w:vAlign w:val="center"/>
          </w:tcPr>
          <w:p w14:paraId="5B847E8A" w14:textId="77777777" w:rsidR="00AB14BD" w:rsidRPr="00AB14BD" w:rsidRDefault="00AB14BD" w:rsidP="00AB14BD">
            <w:pPr>
              <w:keepNext/>
              <w:keepLines/>
              <w:spacing w:after="0"/>
              <w:jc w:val="center"/>
              <w:rPr>
                <w:sz w:val="18"/>
                <w:szCs w:val="20"/>
              </w:rPr>
            </w:pPr>
            <w:r w:rsidRPr="00AB14BD">
              <w:rPr>
                <w:sz w:val="18"/>
                <w:szCs w:val="20"/>
              </w:rPr>
              <w:t>511.1</w:t>
            </w:r>
          </w:p>
        </w:tc>
        <w:tc>
          <w:tcPr>
            <w:tcW w:w="990" w:type="dxa"/>
            <w:tcBorders>
              <w:top w:val="single" w:sz="4" w:space="0" w:color="auto"/>
              <w:bottom w:val="single" w:sz="4" w:space="0" w:color="000000" w:themeColor="text1"/>
            </w:tcBorders>
            <w:vAlign w:val="center"/>
          </w:tcPr>
          <w:p w14:paraId="04F760B5" w14:textId="77777777" w:rsidR="00AB14BD" w:rsidRPr="00AB14BD" w:rsidRDefault="00AB14BD" w:rsidP="00AB14BD">
            <w:pPr>
              <w:keepNext/>
              <w:keepLines/>
              <w:spacing w:after="0"/>
              <w:jc w:val="center"/>
              <w:rPr>
                <w:sz w:val="18"/>
                <w:szCs w:val="20"/>
              </w:rPr>
            </w:pPr>
            <w:r w:rsidRPr="00AB14BD">
              <w:rPr>
                <w:sz w:val="18"/>
                <w:szCs w:val="20"/>
              </w:rPr>
              <w:t>484.7</w:t>
            </w:r>
          </w:p>
        </w:tc>
        <w:tc>
          <w:tcPr>
            <w:tcW w:w="990" w:type="dxa"/>
            <w:tcBorders>
              <w:top w:val="single" w:sz="4" w:space="0" w:color="auto"/>
              <w:bottom w:val="single" w:sz="4" w:space="0" w:color="000000" w:themeColor="text1"/>
              <w:right w:val="single" w:sz="4" w:space="0" w:color="000000" w:themeColor="text1"/>
            </w:tcBorders>
            <w:vAlign w:val="center"/>
          </w:tcPr>
          <w:p w14:paraId="2145BACD" w14:textId="77777777" w:rsidR="00AB14BD" w:rsidRPr="00AB14BD" w:rsidRDefault="00AB14BD" w:rsidP="00AB14BD">
            <w:pPr>
              <w:keepNext/>
              <w:keepLines/>
              <w:spacing w:after="0"/>
              <w:jc w:val="center"/>
              <w:rPr>
                <w:sz w:val="18"/>
                <w:szCs w:val="20"/>
              </w:rPr>
            </w:pPr>
            <w:r w:rsidRPr="00AB14BD">
              <w:rPr>
                <w:sz w:val="18"/>
                <w:szCs w:val="20"/>
              </w:rPr>
              <w:t>459.7</w:t>
            </w:r>
          </w:p>
        </w:tc>
        <w:tc>
          <w:tcPr>
            <w:tcW w:w="990" w:type="dxa"/>
            <w:tcBorders>
              <w:top w:val="single" w:sz="4" w:space="0" w:color="auto"/>
              <w:bottom w:val="single" w:sz="4" w:space="0" w:color="000000" w:themeColor="text1"/>
            </w:tcBorders>
            <w:vAlign w:val="center"/>
          </w:tcPr>
          <w:p w14:paraId="0B1C030C" w14:textId="77777777" w:rsidR="00AB14BD" w:rsidRPr="00AB14BD" w:rsidRDefault="00AB14BD" w:rsidP="00AB14BD">
            <w:pPr>
              <w:keepNext/>
              <w:keepLines/>
              <w:spacing w:after="0"/>
              <w:jc w:val="center"/>
              <w:rPr>
                <w:sz w:val="18"/>
                <w:szCs w:val="20"/>
              </w:rPr>
            </w:pPr>
            <w:r w:rsidRPr="00AB14BD">
              <w:rPr>
                <w:sz w:val="18"/>
                <w:szCs w:val="20"/>
              </w:rPr>
              <w:t>435.9</w:t>
            </w:r>
          </w:p>
        </w:tc>
        <w:tc>
          <w:tcPr>
            <w:tcW w:w="1527" w:type="dxa"/>
            <w:tcBorders>
              <w:top w:val="single" w:sz="4" w:space="0" w:color="auto"/>
              <w:bottom w:val="single" w:sz="4" w:space="0" w:color="000000" w:themeColor="text1"/>
              <w:right w:val="single" w:sz="4" w:space="0" w:color="auto"/>
            </w:tcBorders>
            <w:vAlign w:val="center"/>
          </w:tcPr>
          <w:p w14:paraId="4CAD9C28" w14:textId="77777777" w:rsidR="00AB14BD" w:rsidRPr="00AB14BD" w:rsidRDefault="00AB14BD" w:rsidP="00AB14BD">
            <w:pPr>
              <w:keepNext/>
              <w:keepLines/>
              <w:spacing w:after="0"/>
              <w:jc w:val="center"/>
              <w:rPr>
                <w:sz w:val="18"/>
                <w:szCs w:val="20"/>
              </w:rPr>
            </w:pPr>
            <w:r w:rsidRPr="00AB14BD">
              <w:rPr>
                <w:sz w:val="18"/>
                <w:szCs w:val="20"/>
              </w:rPr>
              <w:t>-</w:t>
            </w:r>
          </w:p>
        </w:tc>
      </w:tr>
      <w:tr w:rsidR="00AB14BD" w:rsidRPr="00BA5276" w14:paraId="7965BA33" w14:textId="77777777" w:rsidTr="00017F33">
        <w:trPr>
          <w:trHeight w:val="288"/>
          <w:jc w:val="center"/>
        </w:trPr>
        <w:tc>
          <w:tcPr>
            <w:tcW w:w="526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FAD5721" w14:textId="77777777" w:rsidR="00AB14BD" w:rsidRPr="00AB14BD" w:rsidRDefault="00AB14BD" w:rsidP="00AB14BD">
            <w:pPr>
              <w:keepNext/>
              <w:keepLines/>
              <w:spacing w:after="0"/>
              <w:rPr>
                <w:i/>
                <w:sz w:val="18"/>
                <w:szCs w:val="20"/>
              </w:rPr>
            </w:pPr>
            <w:r w:rsidRPr="00AB14BD">
              <w:rPr>
                <w:i/>
                <w:sz w:val="18"/>
                <w:szCs w:val="20"/>
              </w:rPr>
              <w:t xml:space="preserve">  Oil consumption trajectory with fuel switching</w:t>
            </w:r>
          </w:p>
        </w:tc>
        <w:tc>
          <w:tcPr>
            <w:tcW w:w="1080" w:type="dxa"/>
            <w:vMerge/>
            <w:vAlign w:val="center"/>
          </w:tcPr>
          <w:p w14:paraId="37F49C2D" w14:textId="77777777" w:rsidR="00AB14BD" w:rsidRPr="00AB14BD" w:rsidRDefault="00AB14BD" w:rsidP="00AB14BD">
            <w:pPr>
              <w:keepNext/>
              <w:keepLines/>
              <w:spacing w:after="0"/>
              <w:jc w:val="center"/>
              <w:rPr>
                <w:i/>
                <w:sz w:val="18"/>
                <w:szCs w:val="20"/>
              </w:rPr>
            </w:pPr>
          </w:p>
        </w:tc>
        <w:tc>
          <w:tcPr>
            <w:tcW w:w="1394" w:type="dxa"/>
            <w:vMerge/>
            <w:vAlign w:val="center"/>
          </w:tcPr>
          <w:p w14:paraId="3E1848AF" w14:textId="77777777" w:rsidR="00AB14BD" w:rsidRPr="00AB14BD" w:rsidRDefault="00AB14BD" w:rsidP="00AB14BD">
            <w:pPr>
              <w:keepNext/>
              <w:keepLines/>
              <w:spacing w:after="0"/>
              <w:jc w:val="center"/>
              <w:rPr>
                <w:i/>
                <w:sz w:val="18"/>
                <w:szCs w:val="20"/>
              </w:rPr>
            </w:pPr>
          </w:p>
        </w:tc>
        <w:tc>
          <w:tcPr>
            <w:tcW w:w="990" w:type="dxa"/>
            <w:tcBorders>
              <w:top w:val="single" w:sz="4" w:space="0" w:color="000000" w:themeColor="text1"/>
              <w:bottom w:val="single" w:sz="4" w:space="0" w:color="000000" w:themeColor="text1"/>
            </w:tcBorders>
            <w:vAlign w:val="center"/>
          </w:tcPr>
          <w:p w14:paraId="44A92F5A" w14:textId="77777777" w:rsidR="00AB14BD" w:rsidRPr="00AB14BD" w:rsidRDefault="00AB14BD" w:rsidP="00AB14BD">
            <w:pPr>
              <w:keepNext/>
              <w:keepLines/>
              <w:spacing w:after="0"/>
              <w:jc w:val="center"/>
              <w:rPr>
                <w:i/>
                <w:sz w:val="18"/>
                <w:szCs w:val="20"/>
              </w:rPr>
            </w:pPr>
            <w:r w:rsidRPr="00AB14BD">
              <w:rPr>
                <w:i/>
                <w:sz w:val="18"/>
                <w:szCs w:val="20"/>
              </w:rPr>
              <w:t>412.6</w:t>
            </w:r>
          </w:p>
        </w:tc>
        <w:tc>
          <w:tcPr>
            <w:tcW w:w="990" w:type="dxa"/>
            <w:tcBorders>
              <w:top w:val="single" w:sz="4" w:space="0" w:color="000000" w:themeColor="text1"/>
              <w:bottom w:val="single" w:sz="4" w:space="0" w:color="000000" w:themeColor="text1"/>
            </w:tcBorders>
            <w:vAlign w:val="center"/>
          </w:tcPr>
          <w:p w14:paraId="298A5801" w14:textId="77777777" w:rsidR="00AB14BD" w:rsidRPr="00AB14BD" w:rsidRDefault="00AB14BD" w:rsidP="00AB14BD">
            <w:pPr>
              <w:keepNext/>
              <w:keepLines/>
              <w:spacing w:after="0"/>
              <w:jc w:val="center"/>
              <w:rPr>
                <w:i/>
                <w:sz w:val="18"/>
                <w:szCs w:val="20"/>
              </w:rPr>
            </w:pPr>
            <w:r w:rsidRPr="00AB14BD">
              <w:rPr>
                <w:i/>
                <w:sz w:val="18"/>
                <w:szCs w:val="20"/>
              </w:rPr>
              <w:t>297.9</w:t>
            </w:r>
          </w:p>
        </w:tc>
        <w:tc>
          <w:tcPr>
            <w:tcW w:w="990" w:type="dxa"/>
            <w:tcBorders>
              <w:top w:val="single" w:sz="4" w:space="0" w:color="000000" w:themeColor="text1"/>
              <w:bottom w:val="single" w:sz="4" w:space="0" w:color="000000" w:themeColor="text1"/>
              <w:right w:val="single" w:sz="4" w:space="0" w:color="000000" w:themeColor="text1"/>
            </w:tcBorders>
            <w:vAlign w:val="center"/>
          </w:tcPr>
          <w:p w14:paraId="3B5EDCB4" w14:textId="77777777" w:rsidR="00AB14BD" w:rsidRPr="00AB14BD" w:rsidRDefault="00AB14BD" w:rsidP="00AB14BD">
            <w:pPr>
              <w:keepNext/>
              <w:keepLines/>
              <w:spacing w:after="0"/>
              <w:jc w:val="center"/>
              <w:rPr>
                <w:i/>
                <w:sz w:val="18"/>
                <w:szCs w:val="20"/>
              </w:rPr>
            </w:pPr>
            <w:r w:rsidRPr="00AB14BD">
              <w:rPr>
                <w:i/>
                <w:sz w:val="18"/>
                <w:szCs w:val="20"/>
              </w:rPr>
              <w:t>193.9</w:t>
            </w:r>
          </w:p>
        </w:tc>
        <w:tc>
          <w:tcPr>
            <w:tcW w:w="990" w:type="dxa"/>
            <w:tcBorders>
              <w:top w:val="single" w:sz="4" w:space="0" w:color="000000" w:themeColor="text1"/>
              <w:bottom w:val="single" w:sz="4" w:space="0" w:color="000000" w:themeColor="text1"/>
            </w:tcBorders>
            <w:vAlign w:val="center"/>
          </w:tcPr>
          <w:p w14:paraId="4145C406" w14:textId="77777777" w:rsidR="00AB14BD" w:rsidRPr="00AB14BD" w:rsidRDefault="00AB14BD" w:rsidP="00AB14BD">
            <w:pPr>
              <w:keepNext/>
              <w:keepLines/>
              <w:spacing w:after="0"/>
              <w:jc w:val="center"/>
              <w:rPr>
                <w:i/>
                <w:sz w:val="18"/>
                <w:szCs w:val="20"/>
              </w:rPr>
            </w:pPr>
            <w:r w:rsidRPr="00AB14BD">
              <w:rPr>
                <w:i/>
                <w:sz w:val="18"/>
                <w:szCs w:val="20"/>
              </w:rPr>
              <w:t>99.9</w:t>
            </w:r>
          </w:p>
        </w:tc>
        <w:tc>
          <w:tcPr>
            <w:tcW w:w="1527" w:type="dxa"/>
            <w:tcBorders>
              <w:top w:val="single" w:sz="4" w:space="0" w:color="000000" w:themeColor="text1"/>
              <w:bottom w:val="single" w:sz="4" w:space="0" w:color="000000" w:themeColor="text1"/>
              <w:right w:val="single" w:sz="4" w:space="0" w:color="auto"/>
            </w:tcBorders>
            <w:vAlign w:val="center"/>
          </w:tcPr>
          <w:p w14:paraId="2C7E03D5" w14:textId="77777777" w:rsidR="00AB14BD" w:rsidRPr="00AB14BD" w:rsidRDefault="00AB14BD" w:rsidP="00AB14BD">
            <w:pPr>
              <w:keepNext/>
              <w:keepLines/>
              <w:spacing w:after="0"/>
              <w:jc w:val="center"/>
              <w:rPr>
                <w:i/>
                <w:sz w:val="18"/>
                <w:szCs w:val="20"/>
              </w:rPr>
            </w:pPr>
            <w:r w:rsidRPr="00AB14BD">
              <w:rPr>
                <w:i/>
                <w:sz w:val="18"/>
                <w:szCs w:val="20"/>
              </w:rPr>
              <w:t>- 1,972.2</w:t>
            </w:r>
          </w:p>
        </w:tc>
      </w:tr>
      <w:tr w:rsidR="00AB14BD" w14:paraId="70377C2E" w14:textId="77777777" w:rsidTr="00C92849">
        <w:trPr>
          <w:trHeight w:val="288"/>
          <w:jc w:val="center"/>
        </w:trPr>
        <w:tc>
          <w:tcPr>
            <w:tcW w:w="526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4EA51CBB" w14:textId="77777777" w:rsidR="00AB14BD" w:rsidRPr="00AB14BD" w:rsidRDefault="00AB14BD" w:rsidP="00AB14BD">
            <w:pPr>
              <w:keepNext/>
              <w:keepLines/>
              <w:spacing w:after="0"/>
              <w:rPr>
                <w:sz w:val="18"/>
                <w:szCs w:val="20"/>
              </w:rPr>
            </w:pPr>
            <w:r w:rsidRPr="00AB14BD">
              <w:rPr>
                <w:sz w:val="18"/>
                <w:szCs w:val="20"/>
              </w:rPr>
              <w:t>Propane consumption, existing trajectory (million gallons)</w:t>
            </w:r>
          </w:p>
        </w:tc>
        <w:tc>
          <w:tcPr>
            <w:tcW w:w="1080" w:type="dxa"/>
            <w:vMerge w:val="restart"/>
            <w:shd w:val="clear" w:color="auto" w:fill="BFBFBF" w:themeFill="background1" w:themeFillShade="BF"/>
            <w:vAlign w:val="center"/>
          </w:tcPr>
          <w:p w14:paraId="2F4C027C" w14:textId="77777777" w:rsidR="00AB14BD" w:rsidRPr="00AB14BD" w:rsidRDefault="00AB14BD" w:rsidP="00AB14BD">
            <w:pPr>
              <w:keepNext/>
              <w:keepLines/>
              <w:spacing w:after="0"/>
              <w:jc w:val="center"/>
              <w:rPr>
                <w:sz w:val="18"/>
                <w:szCs w:val="20"/>
              </w:rPr>
            </w:pPr>
            <w:r w:rsidRPr="00AB14BD">
              <w:rPr>
                <w:sz w:val="18"/>
                <w:szCs w:val="20"/>
              </w:rPr>
              <w:t>34.4</w:t>
            </w:r>
          </w:p>
        </w:tc>
        <w:tc>
          <w:tcPr>
            <w:tcW w:w="1394" w:type="dxa"/>
            <w:vMerge w:val="restart"/>
            <w:shd w:val="clear" w:color="auto" w:fill="BFBFBF" w:themeFill="background1" w:themeFillShade="BF"/>
            <w:vAlign w:val="center"/>
          </w:tcPr>
          <w:p w14:paraId="12080CA4" w14:textId="77777777" w:rsidR="00AB14BD" w:rsidRPr="00AB14BD" w:rsidRDefault="00AB14BD" w:rsidP="00AB14BD">
            <w:pPr>
              <w:keepNext/>
              <w:keepLines/>
              <w:spacing w:after="0"/>
              <w:jc w:val="center"/>
              <w:rPr>
                <w:i/>
                <w:sz w:val="18"/>
                <w:szCs w:val="20"/>
              </w:rPr>
            </w:pPr>
            <w:r w:rsidRPr="00AB14BD">
              <w:rPr>
                <w:i/>
                <w:sz w:val="18"/>
                <w:szCs w:val="20"/>
              </w:rPr>
              <w:t>0.4%</w:t>
            </w:r>
          </w:p>
        </w:tc>
        <w:tc>
          <w:tcPr>
            <w:tcW w:w="990" w:type="dxa"/>
            <w:tcBorders>
              <w:top w:val="single" w:sz="4" w:space="0" w:color="000000" w:themeColor="text1"/>
              <w:bottom w:val="single" w:sz="4" w:space="0" w:color="000000" w:themeColor="text1"/>
            </w:tcBorders>
            <w:shd w:val="clear" w:color="auto" w:fill="BFBFBF" w:themeFill="background1" w:themeFillShade="BF"/>
            <w:vAlign w:val="center"/>
          </w:tcPr>
          <w:p w14:paraId="59D9AEE4" w14:textId="77777777" w:rsidR="00AB14BD" w:rsidRPr="00AB14BD" w:rsidRDefault="00AB14BD" w:rsidP="00AB14BD">
            <w:pPr>
              <w:keepNext/>
              <w:keepLines/>
              <w:spacing w:after="0"/>
              <w:jc w:val="center"/>
              <w:rPr>
                <w:sz w:val="18"/>
                <w:szCs w:val="20"/>
              </w:rPr>
            </w:pPr>
            <w:r w:rsidRPr="00AB14BD">
              <w:rPr>
                <w:sz w:val="18"/>
                <w:szCs w:val="20"/>
              </w:rPr>
              <w:t>34.6</w:t>
            </w:r>
          </w:p>
        </w:tc>
        <w:tc>
          <w:tcPr>
            <w:tcW w:w="990" w:type="dxa"/>
            <w:tcBorders>
              <w:top w:val="single" w:sz="4" w:space="0" w:color="000000" w:themeColor="text1"/>
              <w:bottom w:val="single" w:sz="4" w:space="0" w:color="000000" w:themeColor="text1"/>
            </w:tcBorders>
            <w:shd w:val="clear" w:color="auto" w:fill="BFBFBF" w:themeFill="background1" w:themeFillShade="BF"/>
            <w:vAlign w:val="center"/>
          </w:tcPr>
          <w:p w14:paraId="0F174D54" w14:textId="77777777" w:rsidR="00AB14BD" w:rsidRPr="00AB14BD" w:rsidRDefault="00AB14BD" w:rsidP="00AB14BD">
            <w:pPr>
              <w:keepNext/>
              <w:keepLines/>
              <w:spacing w:after="0"/>
              <w:jc w:val="center"/>
              <w:rPr>
                <w:sz w:val="18"/>
                <w:szCs w:val="20"/>
              </w:rPr>
            </w:pPr>
            <w:r w:rsidRPr="00AB14BD">
              <w:rPr>
                <w:sz w:val="18"/>
                <w:szCs w:val="20"/>
              </w:rPr>
              <w:t>35.0</w:t>
            </w:r>
          </w:p>
        </w:tc>
        <w:tc>
          <w:tcPr>
            <w:tcW w:w="990" w:type="dxa"/>
            <w:tcBorders>
              <w:top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0BFE4398" w14:textId="77777777" w:rsidR="00AB14BD" w:rsidRPr="00AB14BD" w:rsidRDefault="00AB14BD" w:rsidP="00AB14BD">
            <w:pPr>
              <w:keepNext/>
              <w:keepLines/>
              <w:spacing w:after="0"/>
              <w:jc w:val="center"/>
              <w:rPr>
                <w:sz w:val="18"/>
                <w:szCs w:val="20"/>
              </w:rPr>
            </w:pPr>
            <w:r w:rsidRPr="00AB14BD">
              <w:rPr>
                <w:sz w:val="18"/>
                <w:szCs w:val="20"/>
              </w:rPr>
              <w:t>35.3</w:t>
            </w:r>
          </w:p>
        </w:tc>
        <w:tc>
          <w:tcPr>
            <w:tcW w:w="990" w:type="dxa"/>
            <w:tcBorders>
              <w:top w:val="single" w:sz="4" w:space="0" w:color="000000" w:themeColor="text1"/>
              <w:bottom w:val="single" w:sz="4" w:space="0" w:color="000000" w:themeColor="text1"/>
            </w:tcBorders>
            <w:shd w:val="clear" w:color="auto" w:fill="BFBFBF" w:themeFill="background1" w:themeFillShade="BF"/>
            <w:vAlign w:val="center"/>
          </w:tcPr>
          <w:p w14:paraId="3473DAE9" w14:textId="77777777" w:rsidR="00AB14BD" w:rsidRPr="00AB14BD" w:rsidRDefault="00AB14BD" w:rsidP="00AB14BD">
            <w:pPr>
              <w:keepNext/>
              <w:keepLines/>
              <w:spacing w:after="0"/>
              <w:jc w:val="center"/>
              <w:rPr>
                <w:sz w:val="18"/>
                <w:szCs w:val="20"/>
              </w:rPr>
            </w:pPr>
            <w:r w:rsidRPr="00AB14BD">
              <w:rPr>
                <w:sz w:val="18"/>
                <w:szCs w:val="20"/>
              </w:rPr>
              <w:t>35.7</w:t>
            </w:r>
          </w:p>
        </w:tc>
        <w:tc>
          <w:tcPr>
            <w:tcW w:w="1527" w:type="dxa"/>
            <w:tcBorders>
              <w:top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5BA1FB6D" w14:textId="77777777" w:rsidR="00AB14BD" w:rsidRPr="00AB14BD" w:rsidRDefault="00AB14BD" w:rsidP="00AB14BD">
            <w:pPr>
              <w:keepNext/>
              <w:keepLines/>
              <w:spacing w:after="0"/>
              <w:jc w:val="center"/>
              <w:rPr>
                <w:sz w:val="18"/>
                <w:szCs w:val="20"/>
              </w:rPr>
            </w:pPr>
            <w:r w:rsidRPr="00AB14BD">
              <w:rPr>
                <w:sz w:val="18"/>
                <w:szCs w:val="20"/>
              </w:rPr>
              <w:t>-</w:t>
            </w:r>
          </w:p>
        </w:tc>
      </w:tr>
      <w:tr w:rsidR="00AB14BD" w:rsidRPr="00BA5276" w14:paraId="2A631435" w14:textId="77777777" w:rsidTr="00C92849">
        <w:trPr>
          <w:trHeight w:val="288"/>
          <w:jc w:val="center"/>
        </w:trPr>
        <w:tc>
          <w:tcPr>
            <w:tcW w:w="526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1BA3ED05" w14:textId="77777777" w:rsidR="00AB14BD" w:rsidRPr="00AB14BD" w:rsidRDefault="00AB14BD" w:rsidP="00AB14BD">
            <w:pPr>
              <w:keepNext/>
              <w:keepLines/>
              <w:spacing w:after="0"/>
              <w:rPr>
                <w:i/>
                <w:sz w:val="18"/>
                <w:szCs w:val="20"/>
              </w:rPr>
            </w:pPr>
            <w:r w:rsidRPr="00AB14BD">
              <w:rPr>
                <w:i/>
                <w:sz w:val="18"/>
                <w:szCs w:val="20"/>
              </w:rPr>
              <w:t xml:space="preserve">  Propane consumption trajectory with fuel switching</w:t>
            </w:r>
          </w:p>
        </w:tc>
        <w:tc>
          <w:tcPr>
            <w:tcW w:w="1080" w:type="dxa"/>
            <w:vMerge/>
            <w:shd w:val="clear" w:color="auto" w:fill="BFBFBF" w:themeFill="background1" w:themeFillShade="BF"/>
            <w:vAlign w:val="center"/>
          </w:tcPr>
          <w:p w14:paraId="7AC8997A" w14:textId="77777777" w:rsidR="00AB14BD" w:rsidRPr="00AB14BD" w:rsidRDefault="00AB14BD" w:rsidP="00AB14BD">
            <w:pPr>
              <w:keepNext/>
              <w:keepLines/>
              <w:spacing w:after="0"/>
              <w:jc w:val="center"/>
              <w:rPr>
                <w:sz w:val="18"/>
                <w:szCs w:val="20"/>
              </w:rPr>
            </w:pPr>
          </w:p>
        </w:tc>
        <w:tc>
          <w:tcPr>
            <w:tcW w:w="1394" w:type="dxa"/>
            <w:vMerge/>
            <w:shd w:val="clear" w:color="auto" w:fill="BFBFBF" w:themeFill="background1" w:themeFillShade="BF"/>
            <w:vAlign w:val="center"/>
          </w:tcPr>
          <w:p w14:paraId="7CB4D427" w14:textId="77777777" w:rsidR="00AB14BD" w:rsidRPr="00AB14BD" w:rsidRDefault="00AB14BD" w:rsidP="00AB14BD">
            <w:pPr>
              <w:keepNext/>
              <w:keepLines/>
              <w:spacing w:after="0"/>
              <w:jc w:val="center"/>
              <w:rPr>
                <w:i/>
                <w:sz w:val="18"/>
                <w:szCs w:val="20"/>
              </w:rPr>
            </w:pPr>
          </w:p>
        </w:tc>
        <w:tc>
          <w:tcPr>
            <w:tcW w:w="990" w:type="dxa"/>
            <w:tcBorders>
              <w:top w:val="single" w:sz="4" w:space="0" w:color="000000" w:themeColor="text1"/>
              <w:bottom w:val="single" w:sz="4" w:space="0" w:color="000000" w:themeColor="text1"/>
            </w:tcBorders>
            <w:shd w:val="clear" w:color="auto" w:fill="BFBFBF" w:themeFill="background1" w:themeFillShade="BF"/>
            <w:vAlign w:val="center"/>
          </w:tcPr>
          <w:p w14:paraId="403BDFAB" w14:textId="77777777" w:rsidR="00AB14BD" w:rsidRPr="00AB14BD" w:rsidRDefault="00AB14BD" w:rsidP="00AB14BD">
            <w:pPr>
              <w:keepNext/>
              <w:keepLines/>
              <w:spacing w:after="0"/>
              <w:jc w:val="center"/>
              <w:rPr>
                <w:i/>
                <w:sz w:val="18"/>
                <w:szCs w:val="20"/>
              </w:rPr>
            </w:pPr>
            <w:r w:rsidRPr="00AB14BD">
              <w:rPr>
                <w:i/>
                <w:sz w:val="18"/>
                <w:szCs w:val="20"/>
              </w:rPr>
              <w:t>29.5</w:t>
            </w:r>
          </w:p>
        </w:tc>
        <w:tc>
          <w:tcPr>
            <w:tcW w:w="990" w:type="dxa"/>
            <w:tcBorders>
              <w:top w:val="single" w:sz="4" w:space="0" w:color="000000" w:themeColor="text1"/>
              <w:bottom w:val="single" w:sz="4" w:space="0" w:color="000000" w:themeColor="text1"/>
            </w:tcBorders>
            <w:shd w:val="clear" w:color="auto" w:fill="BFBFBF" w:themeFill="background1" w:themeFillShade="BF"/>
            <w:vAlign w:val="center"/>
          </w:tcPr>
          <w:p w14:paraId="54007491" w14:textId="77777777" w:rsidR="00AB14BD" w:rsidRPr="00AB14BD" w:rsidRDefault="00AB14BD" w:rsidP="00AB14BD">
            <w:pPr>
              <w:keepNext/>
              <w:keepLines/>
              <w:spacing w:after="0"/>
              <w:jc w:val="center"/>
              <w:rPr>
                <w:i/>
                <w:sz w:val="18"/>
                <w:szCs w:val="20"/>
              </w:rPr>
            </w:pPr>
            <w:r w:rsidRPr="00AB14BD">
              <w:rPr>
                <w:i/>
                <w:sz w:val="18"/>
                <w:szCs w:val="20"/>
              </w:rPr>
              <w:t>24.6</w:t>
            </w:r>
          </w:p>
        </w:tc>
        <w:tc>
          <w:tcPr>
            <w:tcW w:w="990" w:type="dxa"/>
            <w:tcBorders>
              <w:top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3084C986" w14:textId="77777777" w:rsidR="00AB14BD" w:rsidRPr="00AB14BD" w:rsidRDefault="00AB14BD" w:rsidP="00AB14BD">
            <w:pPr>
              <w:keepNext/>
              <w:keepLines/>
              <w:spacing w:after="0"/>
              <w:jc w:val="center"/>
              <w:rPr>
                <w:i/>
                <w:sz w:val="18"/>
                <w:szCs w:val="20"/>
              </w:rPr>
            </w:pPr>
            <w:r w:rsidRPr="00AB14BD">
              <w:rPr>
                <w:i/>
                <w:sz w:val="18"/>
                <w:szCs w:val="20"/>
              </w:rPr>
              <w:t>19.7</w:t>
            </w:r>
          </w:p>
        </w:tc>
        <w:tc>
          <w:tcPr>
            <w:tcW w:w="990" w:type="dxa"/>
            <w:tcBorders>
              <w:top w:val="single" w:sz="4" w:space="0" w:color="000000" w:themeColor="text1"/>
              <w:bottom w:val="single" w:sz="4" w:space="0" w:color="000000" w:themeColor="text1"/>
            </w:tcBorders>
            <w:shd w:val="clear" w:color="auto" w:fill="BFBFBF" w:themeFill="background1" w:themeFillShade="BF"/>
            <w:vAlign w:val="center"/>
          </w:tcPr>
          <w:p w14:paraId="7133F444" w14:textId="77777777" w:rsidR="00AB14BD" w:rsidRPr="00AB14BD" w:rsidRDefault="00AB14BD" w:rsidP="00AB14BD">
            <w:pPr>
              <w:keepNext/>
              <w:keepLines/>
              <w:spacing w:after="0"/>
              <w:jc w:val="center"/>
              <w:rPr>
                <w:i/>
                <w:sz w:val="18"/>
                <w:szCs w:val="20"/>
              </w:rPr>
            </w:pPr>
            <w:r w:rsidRPr="00AB14BD">
              <w:rPr>
                <w:i/>
                <w:sz w:val="18"/>
                <w:szCs w:val="20"/>
              </w:rPr>
              <w:t>14.6</w:t>
            </w:r>
          </w:p>
        </w:tc>
        <w:tc>
          <w:tcPr>
            <w:tcW w:w="1527" w:type="dxa"/>
            <w:tcBorders>
              <w:top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712EC5B1" w14:textId="77777777" w:rsidR="00AB14BD" w:rsidRPr="00AB14BD" w:rsidRDefault="00AB14BD" w:rsidP="00AB14BD">
            <w:pPr>
              <w:keepNext/>
              <w:keepLines/>
              <w:spacing w:after="0"/>
              <w:jc w:val="center"/>
              <w:rPr>
                <w:i/>
                <w:sz w:val="18"/>
                <w:szCs w:val="20"/>
              </w:rPr>
            </w:pPr>
            <w:r w:rsidRPr="00AB14BD">
              <w:rPr>
                <w:i/>
                <w:sz w:val="18"/>
                <w:szCs w:val="20"/>
              </w:rPr>
              <w:t>- 114.6</w:t>
            </w:r>
          </w:p>
        </w:tc>
      </w:tr>
      <w:tr w:rsidR="00AB14BD" w14:paraId="0159076B" w14:textId="77777777" w:rsidTr="00017F33">
        <w:trPr>
          <w:trHeight w:val="288"/>
          <w:jc w:val="center"/>
        </w:trPr>
        <w:tc>
          <w:tcPr>
            <w:tcW w:w="526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60B074D" w14:textId="77777777" w:rsidR="00AB14BD" w:rsidRPr="00AB14BD" w:rsidRDefault="00AB14BD" w:rsidP="00AB14BD">
            <w:pPr>
              <w:keepNext/>
              <w:keepLines/>
              <w:spacing w:after="0"/>
              <w:rPr>
                <w:sz w:val="18"/>
                <w:szCs w:val="20"/>
              </w:rPr>
            </w:pPr>
            <w:r w:rsidRPr="00AB14BD">
              <w:rPr>
                <w:sz w:val="18"/>
                <w:szCs w:val="20"/>
              </w:rPr>
              <w:t>Natural gas consumption, existing trajectory (million ccf)</w:t>
            </w:r>
          </w:p>
        </w:tc>
        <w:tc>
          <w:tcPr>
            <w:tcW w:w="1080" w:type="dxa"/>
            <w:vMerge w:val="restart"/>
            <w:vAlign w:val="center"/>
          </w:tcPr>
          <w:p w14:paraId="6023EAD7" w14:textId="77777777" w:rsidR="00AB14BD" w:rsidRPr="00AB14BD" w:rsidRDefault="00AB14BD" w:rsidP="00AB14BD">
            <w:pPr>
              <w:keepNext/>
              <w:keepLines/>
              <w:spacing w:after="0"/>
              <w:jc w:val="center"/>
              <w:rPr>
                <w:sz w:val="18"/>
                <w:szCs w:val="20"/>
              </w:rPr>
            </w:pPr>
            <w:r w:rsidRPr="00AB14BD">
              <w:rPr>
                <w:sz w:val="18"/>
                <w:szCs w:val="20"/>
              </w:rPr>
              <w:t>326.8</w:t>
            </w:r>
          </w:p>
        </w:tc>
        <w:tc>
          <w:tcPr>
            <w:tcW w:w="1394" w:type="dxa"/>
            <w:vMerge w:val="restart"/>
            <w:vAlign w:val="center"/>
          </w:tcPr>
          <w:p w14:paraId="5CF51A16" w14:textId="77777777" w:rsidR="00AB14BD" w:rsidRPr="00AB14BD" w:rsidRDefault="00AB14BD" w:rsidP="00AB14BD">
            <w:pPr>
              <w:keepNext/>
              <w:keepLines/>
              <w:spacing w:after="0"/>
              <w:jc w:val="center"/>
              <w:rPr>
                <w:i/>
                <w:sz w:val="18"/>
                <w:szCs w:val="20"/>
              </w:rPr>
            </w:pPr>
            <w:r w:rsidRPr="00AB14BD">
              <w:rPr>
                <w:i/>
                <w:sz w:val="18"/>
                <w:szCs w:val="20"/>
              </w:rPr>
              <w:t>0.7%</w:t>
            </w:r>
          </w:p>
        </w:tc>
        <w:tc>
          <w:tcPr>
            <w:tcW w:w="990" w:type="dxa"/>
            <w:tcBorders>
              <w:top w:val="single" w:sz="4" w:space="0" w:color="000000" w:themeColor="text1"/>
              <w:bottom w:val="single" w:sz="4" w:space="0" w:color="000000" w:themeColor="text1"/>
            </w:tcBorders>
            <w:vAlign w:val="center"/>
          </w:tcPr>
          <w:p w14:paraId="41F6B1FB" w14:textId="77777777" w:rsidR="00AB14BD" w:rsidRPr="00AB14BD" w:rsidRDefault="00AB14BD" w:rsidP="00AB14BD">
            <w:pPr>
              <w:keepNext/>
              <w:keepLines/>
              <w:spacing w:after="0"/>
              <w:jc w:val="center"/>
              <w:rPr>
                <w:sz w:val="18"/>
                <w:szCs w:val="20"/>
              </w:rPr>
            </w:pPr>
            <w:r w:rsidRPr="00AB14BD">
              <w:rPr>
                <w:sz w:val="18"/>
                <w:szCs w:val="20"/>
              </w:rPr>
              <w:t>330.3</w:t>
            </w:r>
          </w:p>
        </w:tc>
        <w:tc>
          <w:tcPr>
            <w:tcW w:w="990" w:type="dxa"/>
            <w:tcBorders>
              <w:top w:val="single" w:sz="4" w:space="0" w:color="000000" w:themeColor="text1"/>
              <w:bottom w:val="single" w:sz="4" w:space="0" w:color="000000" w:themeColor="text1"/>
            </w:tcBorders>
            <w:vAlign w:val="center"/>
          </w:tcPr>
          <w:p w14:paraId="3016CAEB" w14:textId="77777777" w:rsidR="00AB14BD" w:rsidRPr="00AB14BD" w:rsidRDefault="00AB14BD" w:rsidP="00AB14BD">
            <w:pPr>
              <w:keepNext/>
              <w:keepLines/>
              <w:spacing w:after="0"/>
              <w:jc w:val="center"/>
              <w:rPr>
                <w:sz w:val="18"/>
                <w:szCs w:val="20"/>
              </w:rPr>
            </w:pPr>
            <w:r w:rsidRPr="00AB14BD">
              <w:rPr>
                <w:sz w:val="18"/>
                <w:szCs w:val="20"/>
              </w:rPr>
              <w:t>336.1</w:t>
            </w:r>
          </w:p>
        </w:tc>
        <w:tc>
          <w:tcPr>
            <w:tcW w:w="990" w:type="dxa"/>
            <w:tcBorders>
              <w:top w:val="single" w:sz="4" w:space="0" w:color="000000" w:themeColor="text1"/>
              <w:bottom w:val="single" w:sz="4" w:space="0" w:color="000000" w:themeColor="text1"/>
              <w:right w:val="single" w:sz="4" w:space="0" w:color="000000" w:themeColor="text1"/>
            </w:tcBorders>
            <w:vAlign w:val="center"/>
          </w:tcPr>
          <w:p w14:paraId="75735FF3" w14:textId="77777777" w:rsidR="00AB14BD" w:rsidRPr="00AB14BD" w:rsidRDefault="00AB14BD" w:rsidP="00AB14BD">
            <w:pPr>
              <w:keepNext/>
              <w:keepLines/>
              <w:spacing w:after="0"/>
              <w:jc w:val="center"/>
              <w:rPr>
                <w:sz w:val="18"/>
                <w:szCs w:val="20"/>
              </w:rPr>
            </w:pPr>
            <w:r w:rsidRPr="00AB14BD">
              <w:rPr>
                <w:sz w:val="18"/>
                <w:szCs w:val="20"/>
              </w:rPr>
              <w:t>342.0</w:t>
            </w:r>
          </w:p>
        </w:tc>
        <w:tc>
          <w:tcPr>
            <w:tcW w:w="990" w:type="dxa"/>
            <w:tcBorders>
              <w:top w:val="single" w:sz="4" w:space="0" w:color="000000" w:themeColor="text1"/>
              <w:bottom w:val="single" w:sz="4" w:space="0" w:color="000000" w:themeColor="text1"/>
            </w:tcBorders>
            <w:vAlign w:val="center"/>
          </w:tcPr>
          <w:p w14:paraId="6634F186" w14:textId="77777777" w:rsidR="00AB14BD" w:rsidRPr="00AB14BD" w:rsidRDefault="00AB14BD" w:rsidP="00AB14BD">
            <w:pPr>
              <w:keepNext/>
              <w:keepLines/>
              <w:spacing w:after="0"/>
              <w:jc w:val="center"/>
              <w:rPr>
                <w:sz w:val="18"/>
                <w:szCs w:val="20"/>
              </w:rPr>
            </w:pPr>
            <w:r w:rsidRPr="00AB14BD">
              <w:rPr>
                <w:sz w:val="18"/>
                <w:szCs w:val="20"/>
              </w:rPr>
              <w:t>348.0</w:t>
            </w:r>
          </w:p>
        </w:tc>
        <w:tc>
          <w:tcPr>
            <w:tcW w:w="1527" w:type="dxa"/>
            <w:tcBorders>
              <w:top w:val="single" w:sz="4" w:space="0" w:color="000000" w:themeColor="text1"/>
              <w:bottom w:val="single" w:sz="4" w:space="0" w:color="000000" w:themeColor="text1"/>
              <w:right w:val="single" w:sz="4" w:space="0" w:color="auto"/>
            </w:tcBorders>
            <w:vAlign w:val="center"/>
          </w:tcPr>
          <w:p w14:paraId="18229273" w14:textId="77777777" w:rsidR="00AB14BD" w:rsidRPr="00AB14BD" w:rsidRDefault="00AB14BD" w:rsidP="00AB14BD">
            <w:pPr>
              <w:keepNext/>
              <w:keepLines/>
              <w:spacing w:after="0"/>
              <w:jc w:val="center"/>
              <w:rPr>
                <w:sz w:val="18"/>
                <w:szCs w:val="20"/>
              </w:rPr>
            </w:pPr>
            <w:r w:rsidRPr="00AB14BD">
              <w:rPr>
                <w:sz w:val="18"/>
                <w:szCs w:val="20"/>
              </w:rPr>
              <w:t>-</w:t>
            </w:r>
          </w:p>
        </w:tc>
      </w:tr>
      <w:tr w:rsidR="00AB14BD" w:rsidRPr="00BA5276" w14:paraId="52C66EE6" w14:textId="77777777" w:rsidTr="00017F33">
        <w:trPr>
          <w:trHeight w:val="288"/>
          <w:jc w:val="center"/>
        </w:trPr>
        <w:tc>
          <w:tcPr>
            <w:tcW w:w="526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F7E4BD8" w14:textId="77777777" w:rsidR="00AB14BD" w:rsidRPr="00AB14BD" w:rsidRDefault="00AB14BD" w:rsidP="00AB14BD">
            <w:pPr>
              <w:keepNext/>
              <w:keepLines/>
              <w:spacing w:after="0"/>
              <w:rPr>
                <w:i/>
                <w:sz w:val="18"/>
                <w:szCs w:val="20"/>
              </w:rPr>
            </w:pPr>
            <w:r w:rsidRPr="00AB14BD">
              <w:rPr>
                <w:i/>
                <w:sz w:val="18"/>
                <w:szCs w:val="20"/>
              </w:rPr>
              <w:t xml:space="preserve">  Natural gas consumption trajectory with fuel switching</w:t>
            </w:r>
          </w:p>
        </w:tc>
        <w:tc>
          <w:tcPr>
            <w:tcW w:w="1080" w:type="dxa"/>
            <w:vMerge/>
            <w:vAlign w:val="center"/>
          </w:tcPr>
          <w:p w14:paraId="3B306B3F" w14:textId="77777777" w:rsidR="00AB14BD" w:rsidRPr="00AB14BD" w:rsidRDefault="00AB14BD" w:rsidP="00AB14BD">
            <w:pPr>
              <w:keepNext/>
              <w:keepLines/>
              <w:spacing w:after="0"/>
              <w:jc w:val="center"/>
              <w:rPr>
                <w:sz w:val="18"/>
                <w:szCs w:val="20"/>
              </w:rPr>
            </w:pPr>
          </w:p>
        </w:tc>
        <w:tc>
          <w:tcPr>
            <w:tcW w:w="1394" w:type="dxa"/>
            <w:vMerge/>
            <w:vAlign w:val="center"/>
          </w:tcPr>
          <w:p w14:paraId="4B8F23A8" w14:textId="77777777" w:rsidR="00AB14BD" w:rsidRPr="00AB14BD" w:rsidRDefault="00AB14BD" w:rsidP="00AB14BD">
            <w:pPr>
              <w:keepNext/>
              <w:keepLines/>
              <w:spacing w:after="0"/>
              <w:jc w:val="center"/>
              <w:rPr>
                <w:i/>
                <w:sz w:val="18"/>
                <w:szCs w:val="20"/>
              </w:rPr>
            </w:pPr>
          </w:p>
        </w:tc>
        <w:tc>
          <w:tcPr>
            <w:tcW w:w="990" w:type="dxa"/>
            <w:tcBorders>
              <w:top w:val="single" w:sz="4" w:space="0" w:color="000000" w:themeColor="text1"/>
              <w:bottom w:val="single" w:sz="4" w:space="0" w:color="000000" w:themeColor="text1"/>
            </w:tcBorders>
            <w:vAlign w:val="center"/>
          </w:tcPr>
          <w:p w14:paraId="4D57C0B8" w14:textId="77777777" w:rsidR="00AB14BD" w:rsidRPr="00AB14BD" w:rsidRDefault="00AB14BD" w:rsidP="00AB14BD">
            <w:pPr>
              <w:keepNext/>
              <w:keepLines/>
              <w:spacing w:after="0"/>
              <w:jc w:val="center"/>
              <w:rPr>
                <w:i/>
                <w:sz w:val="18"/>
                <w:szCs w:val="20"/>
              </w:rPr>
            </w:pPr>
            <w:r w:rsidRPr="00AB14BD">
              <w:rPr>
                <w:i/>
                <w:sz w:val="18"/>
                <w:szCs w:val="20"/>
              </w:rPr>
              <w:t>403.4</w:t>
            </w:r>
          </w:p>
        </w:tc>
        <w:tc>
          <w:tcPr>
            <w:tcW w:w="990" w:type="dxa"/>
            <w:tcBorders>
              <w:top w:val="single" w:sz="4" w:space="0" w:color="000000" w:themeColor="text1"/>
              <w:bottom w:val="single" w:sz="4" w:space="0" w:color="000000" w:themeColor="text1"/>
            </w:tcBorders>
            <w:vAlign w:val="center"/>
          </w:tcPr>
          <w:p w14:paraId="3A8920C5" w14:textId="77777777" w:rsidR="00AB14BD" w:rsidRPr="00AB14BD" w:rsidRDefault="00AB14BD" w:rsidP="00AB14BD">
            <w:pPr>
              <w:keepNext/>
              <w:keepLines/>
              <w:spacing w:after="0"/>
              <w:jc w:val="center"/>
              <w:rPr>
                <w:i/>
                <w:sz w:val="18"/>
                <w:szCs w:val="20"/>
              </w:rPr>
            </w:pPr>
            <w:r w:rsidRPr="00AB14BD">
              <w:rPr>
                <w:i/>
                <w:sz w:val="18"/>
                <w:szCs w:val="20"/>
              </w:rPr>
              <w:t>484.9</w:t>
            </w:r>
          </w:p>
        </w:tc>
        <w:tc>
          <w:tcPr>
            <w:tcW w:w="990" w:type="dxa"/>
            <w:tcBorders>
              <w:top w:val="single" w:sz="4" w:space="0" w:color="000000" w:themeColor="text1"/>
              <w:bottom w:val="single" w:sz="4" w:space="0" w:color="000000" w:themeColor="text1"/>
              <w:right w:val="single" w:sz="4" w:space="0" w:color="000000" w:themeColor="text1"/>
            </w:tcBorders>
            <w:vAlign w:val="center"/>
          </w:tcPr>
          <w:p w14:paraId="39BAFBCF" w14:textId="77777777" w:rsidR="00AB14BD" w:rsidRPr="00AB14BD" w:rsidRDefault="00AB14BD" w:rsidP="00AB14BD">
            <w:pPr>
              <w:keepNext/>
              <w:keepLines/>
              <w:spacing w:after="0"/>
              <w:jc w:val="center"/>
              <w:rPr>
                <w:i/>
                <w:sz w:val="18"/>
                <w:szCs w:val="20"/>
              </w:rPr>
            </w:pPr>
            <w:r w:rsidRPr="00AB14BD">
              <w:rPr>
                <w:i/>
                <w:sz w:val="18"/>
                <w:szCs w:val="20"/>
              </w:rPr>
              <w:t>569.1</w:t>
            </w:r>
          </w:p>
        </w:tc>
        <w:tc>
          <w:tcPr>
            <w:tcW w:w="990" w:type="dxa"/>
            <w:tcBorders>
              <w:top w:val="single" w:sz="4" w:space="0" w:color="000000" w:themeColor="text1"/>
              <w:bottom w:val="single" w:sz="4" w:space="0" w:color="000000" w:themeColor="text1"/>
            </w:tcBorders>
            <w:vAlign w:val="center"/>
          </w:tcPr>
          <w:p w14:paraId="555B10A9" w14:textId="77777777" w:rsidR="00AB14BD" w:rsidRPr="00AB14BD" w:rsidRDefault="00AB14BD" w:rsidP="00AB14BD">
            <w:pPr>
              <w:keepNext/>
              <w:keepLines/>
              <w:spacing w:after="0"/>
              <w:jc w:val="center"/>
              <w:rPr>
                <w:i/>
                <w:sz w:val="18"/>
                <w:szCs w:val="20"/>
              </w:rPr>
            </w:pPr>
            <w:r w:rsidRPr="00AB14BD">
              <w:rPr>
                <w:i/>
                <w:sz w:val="18"/>
                <w:szCs w:val="20"/>
              </w:rPr>
              <w:t>656.2</w:t>
            </w:r>
          </w:p>
        </w:tc>
        <w:tc>
          <w:tcPr>
            <w:tcW w:w="1527" w:type="dxa"/>
            <w:tcBorders>
              <w:top w:val="single" w:sz="4" w:space="0" w:color="000000" w:themeColor="text1"/>
              <w:bottom w:val="single" w:sz="4" w:space="0" w:color="000000" w:themeColor="text1"/>
              <w:right w:val="single" w:sz="4" w:space="0" w:color="auto"/>
            </w:tcBorders>
            <w:vAlign w:val="center"/>
          </w:tcPr>
          <w:p w14:paraId="219B02C8" w14:textId="77777777" w:rsidR="00AB14BD" w:rsidRPr="00AB14BD" w:rsidRDefault="00AB14BD" w:rsidP="00AB14BD">
            <w:pPr>
              <w:keepNext/>
              <w:keepLines/>
              <w:spacing w:after="0"/>
              <w:jc w:val="center"/>
              <w:rPr>
                <w:i/>
                <w:sz w:val="18"/>
                <w:szCs w:val="20"/>
              </w:rPr>
            </w:pPr>
            <w:r w:rsidRPr="00AB14BD">
              <w:rPr>
                <w:i/>
                <w:sz w:val="18"/>
                <w:szCs w:val="20"/>
              </w:rPr>
              <w:t>+ 1,659.9</w:t>
            </w:r>
          </w:p>
        </w:tc>
      </w:tr>
      <w:tr w:rsidR="00AB14BD" w14:paraId="580CD6E6" w14:textId="77777777" w:rsidTr="00C92849">
        <w:trPr>
          <w:trHeight w:val="288"/>
          <w:jc w:val="center"/>
        </w:trPr>
        <w:tc>
          <w:tcPr>
            <w:tcW w:w="526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219948E5" w14:textId="77777777" w:rsidR="00AB14BD" w:rsidRPr="00AB14BD" w:rsidRDefault="00AB14BD" w:rsidP="00AB14BD">
            <w:pPr>
              <w:keepNext/>
              <w:keepLines/>
              <w:spacing w:after="0"/>
              <w:rPr>
                <w:sz w:val="18"/>
                <w:szCs w:val="20"/>
              </w:rPr>
            </w:pPr>
            <w:r w:rsidRPr="00AB14BD">
              <w:rPr>
                <w:sz w:val="18"/>
                <w:szCs w:val="20"/>
              </w:rPr>
              <w:t>Electricity consumption, existing trajectory (million kWh)</w:t>
            </w:r>
          </w:p>
        </w:tc>
        <w:tc>
          <w:tcPr>
            <w:tcW w:w="1080" w:type="dxa"/>
            <w:vMerge w:val="restart"/>
            <w:tcBorders>
              <w:top w:val="single" w:sz="4" w:space="0" w:color="000000" w:themeColor="text1"/>
            </w:tcBorders>
            <w:shd w:val="clear" w:color="auto" w:fill="BFBFBF" w:themeFill="background1" w:themeFillShade="BF"/>
            <w:vAlign w:val="center"/>
          </w:tcPr>
          <w:p w14:paraId="108E3CC8" w14:textId="77777777" w:rsidR="00AB14BD" w:rsidRPr="00AB14BD" w:rsidRDefault="00AB14BD" w:rsidP="00AB14BD">
            <w:pPr>
              <w:keepNext/>
              <w:keepLines/>
              <w:spacing w:after="0"/>
              <w:jc w:val="center"/>
              <w:rPr>
                <w:sz w:val="18"/>
                <w:szCs w:val="20"/>
              </w:rPr>
            </w:pPr>
            <w:r w:rsidRPr="00AB14BD">
              <w:rPr>
                <w:sz w:val="18"/>
                <w:szCs w:val="20"/>
              </w:rPr>
              <w:t>12,048.2</w:t>
            </w:r>
          </w:p>
        </w:tc>
        <w:tc>
          <w:tcPr>
            <w:tcW w:w="1394" w:type="dxa"/>
            <w:vMerge w:val="restart"/>
            <w:tcBorders>
              <w:top w:val="single" w:sz="4" w:space="0" w:color="000000" w:themeColor="text1"/>
            </w:tcBorders>
            <w:shd w:val="clear" w:color="auto" w:fill="BFBFBF" w:themeFill="background1" w:themeFillShade="BF"/>
            <w:vAlign w:val="center"/>
          </w:tcPr>
          <w:p w14:paraId="3BBE71FD" w14:textId="77777777" w:rsidR="00AB14BD" w:rsidRPr="00AB14BD" w:rsidRDefault="00AB14BD" w:rsidP="00AB14BD">
            <w:pPr>
              <w:keepNext/>
              <w:keepLines/>
              <w:spacing w:after="0"/>
              <w:jc w:val="center"/>
              <w:rPr>
                <w:i/>
                <w:sz w:val="18"/>
                <w:szCs w:val="20"/>
              </w:rPr>
            </w:pPr>
            <w:r w:rsidRPr="00AB14BD">
              <w:rPr>
                <w:i/>
                <w:sz w:val="18"/>
                <w:szCs w:val="20"/>
              </w:rPr>
              <w:t>1.0%</w:t>
            </w:r>
          </w:p>
        </w:tc>
        <w:tc>
          <w:tcPr>
            <w:tcW w:w="990" w:type="dxa"/>
            <w:tcBorders>
              <w:top w:val="single" w:sz="4" w:space="0" w:color="000000" w:themeColor="text1"/>
              <w:bottom w:val="single" w:sz="4" w:space="0" w:color="000000" w:themeColor="text1"/>
            </w:tcBorders>
            <w:shd w:val="clear" w:color="auto" w:fill="BFBFBF" w:themeFill="background1" w:themeFillShade="BF"/>
            <w:vAlign w:val="center"/>
          </w:tcPr>
          <w:p w14:paraId="1427CCA2" w14:textId="77777777" w:rsidR="00AB14BD" w:rsidRPr="00AB14BD" w:rsidRDefault="00AB14BD" w:rsidP="00AB14BD">
            <w:pPr>
              <w:keepNext/>
              <w:keepLines/>
              <w:spacing w:after="0"/>
              <w:jc w:val="center"/>
              <w:rPr>
                <w:sz w:val="18"/>
                <w:szCs w:val="20"/>
              </w:rPr>
            </w:pPr>
            <w:r w:rsidRPr="00AB14BD">
              <w:rPr>
                <w:sz w:val="18"/>
                <w:szCs w:val="20"/>
              </w:rPr>
              <w:t>12,229.5</w:t>
            </w:r>
          </w:p>
        </w:tc>
        <w:tc>
          <w:tcPr>
            <w:tcW w:w="990" w:type="dxa"/>
            <w:tcBorders>
              <w:top w:val="single" w:sz="4" w:space="0" w:color="000000" w:themeColor="text1"/>
              <w:bottom w:val="single" w:sz="4" w:space="0" w:color="000000" w:themeColor="text1"/>
            </w:tcBorders>
            <w:shd w:val="clear" w:color="auto" w:fill="BFBFBF" w:themeFill="background1" w:themeFillShade="BF"/>
            <w:vAlign w:val="center"/>
          </w:tcPr>
          <w:p w14:paraId="55E20E89" w14:textId="77777777" w:rsidR="00AB14BD" w:rsidRPr="00AB14BD" w:rsidRDefault="00AB14BD" w:rsidP="00AB14BD">
            <w:pPr>
              <w:keepNext/>
              <w:keepLines/>
              <w:spacing w:after="0"/>
              <w:jc w:val="center"/>
              <w:rPr>
                <w:sz w:val="18"/>
                <w:szCs w:val="20"/>
              </w:rPr>
            </w:pPr>
            <w:r w:rsidRPr="00AB14BD">
              <w:rPr>
                <w:sz w:val="18"/>
                <w:szCs w:val="20"/>
              </w:rPr>
              <w:t>12,537.4</w:t>
            </w:r>
          </w:p>
        </w:tc>
        <w:tc>
          <w:tcPr>
            <w:tcW w:w="990" w:type="dxa"/>
            <w:tcBorders>
              <w:top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5C5473A3" w14:textId="77777777" w:rsidR="00AB14BD" w:rsidRPr="00AB14BD" w:rsidRDefault="00AB14BD" w:rsidP="00AB14BD">
            <w:pPr>
              <w:keepNext/>
              <w:keepLines/>
              <w:spacing w:after="0"/>
              <w:jc w:val="center"/>
              <w:rPr>
                <w:sz w:val="18"/>
                <w:szCs w:val="20"/>
              </w:rPr>
            </w:pPr>
            <w:r w:rsidRPr="00AB14BD">
              <w:rPr>
                <w:sz w:val="18"/>
                <w:szCs w:val="20"/>
              </w:rPr>
              <w:t>12,853.4</w:t>
            </w:r>
          </w:p>
        </w:tc>
        <w:tc>
          <w:tcPr>
            <w:tcW w:w="990" w:type="dxa"/>
            <w:tcBorders>
              <w:top w:val="single" w:sz="4" w:space="0" w:color="000000" w:themeColor="text1"/>
              <w:bottom w:val="single" w:sz="4" w:space="0" w:color="000000" w:themeColor="text1"/>
            </w:tcBorders>
            <w:shd w:val="clear" w:color="auto" w:fill="BFBFBF" w:themeFill="background1" w:themeFillShade="BF"/>
            <w:vAlign w:val="center"/>
          </w:tcPr>
          <w:p w14:paraId="2EE51433" w14:textId="77777777" w:rsidR="00AB14BD" w:rsidRPr="00AB14BD" w:rsidRDefault="00AB14BD" w:rsidP="00AB14BD">
            <w:pPr>
              <w:keepNext/>
              <w:keepLines/>
              <w:spacing w:after="0"/>
              <w:jc w:val="center"/>
              <w:rPr>
                <w:sz w:val="18"/>
                <w:szCs w:val="20"/>
              </w:rPr>
            </w:pPr>
            <w:r w:rsidRPr="00AB14BD">
              <w:rPr>
                <w:sz w:val="18"/>
                <w:szCs w:val="20"/>
              </w:rPr>
              <w:t>13,177.0</w:t>
            </w:r>
          </w:p>
        </w:tc>
        <w:tc>
          <w:tcPr>
            <w:tcW w:w="1527" w:type="dxa"/>
            <w:tcBorders>
              <w:top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2544B628" w14:textId="77777777" w:rsidR="00AB14BD" w:rsidRPr="00AB14BD" w:rsidRDefault="00AB14BD" w:rsidP="00AB14BD">
            <w:pPr>
              <w:keepNext/>
              <w:keepLines/>
              <w:spacing w:after="0"/>
              <w:jc w:val="center"/>
              <w:rPr>
                <w:sz w:val="18"/>
                <w:szCs w:val="20"/>
              </w:rPr>
            </w:pPr>
            <w:r w:rsidRPr="00AB14BD">
              <w:rPr>
                <w:sz w:val="18"/>
                <w:szCs w:val="20"/>
              </w:rPr>
              <w:t>-</w:t>
            </w:r>
          </w:p>
        </w:tc>
      </w:tr>
      <w:tr w:rsidR="00AB14BD" w:rsidRPr="00BA5276" w14:paraId="0989518C" w14:textId="77777777" w:rsidTr="00C92849">
        <w:trPr>
          <w:trHeight w:val="288"/>
          <w:jc w:val="center"/>
        </w:trPr>
        <w:tc>
          <w:tcPr>
            <w:tcW w:w="5261" w:type="dxa"/>
            <w:tcBorders>
              <w:top w:val="single" w:sz="4" w:space="0" w:color="000000" w:themeColor="text1"/>
              <w:left w:val="single" w:sz="4" w:space="0" w:color="auto"/>
              <w:bottom w:val="single" w:sz="4" w:space="0" w:color="auto"/>
              <w:right w:val="single" w:sz="4" w:space="0" w:color="000000" w:themeColor="text1"/>
            </w:tcBorders>
            <w:shd w:val="clear" w:color="auto" w:fill="BFBFBF" w:themeFill="background1" w:themeFillShade="BF"/>
            <w:vAlign w:val="center"/>
          </w:tcPr>
          <w:p w14:paraId="7F9D227F" w14:textId="77777777" w:rsidR="00AB14BD" w:rsidRPr="00AB14BD" w:rsidRDefault="00AB14BD" w:rsidP="00AB14BD">
            <w:pPr>
              <w:keepNext/>
              <w:keepLines/>
              <w:spacing w:after="0"/>
              <w:rPr>
                <w:i/>
                <w:sz w:val="18"/>
                <w:szCs w:val="20"/>
              </w:rPr>
            </w:pPr>
            <w:r w:rsidRPr="00AB14BD">
              <w:rPr>
                <w:i/>
                <w:sz w:val="18"/>
                <w:szCs w:val="20"/>
              </w:rPr>
              <w:t xml:space="preserve">  Electric consumption trajectory with fuel switching</w:t>
            </w:r>
          </w:p>
        </w:tc>
        <w:tc>
          <w:tcPr>
            <w:tcW w:w="1080" w:type="dxa"/>
            <w:vMerge/>
            <w:tcBorders>
              <w:bottom w:val="single" w:sz="4" w:space="0" w:color="auto"/>
            </w:tcBorders>
            <w:shd w:val="clear" w:color="auto" w:fill="BFBFBF" w:themeFill="background1" w:themeFillShade="BF"/>
            <w:vAlign w:val="center"/>
          </w:tcPr>
          <w:p w14:paraId="4A416663" w14:textId="77777777" w:rsidR="00AB14BD" w:rsidRPr="00AB14BD" w:rsidRDefault="00AB14BD" w:rsidP="00AB14BD">
            <w:pPr>
              <w:keepNext/>
              <w:keepLines/>
              <w:spacing w:after="0"/>
              <w:jc w:val="center"/>
              <w:rPr>
                <w:i/>
                <w:sz w:val="18"/>
                <w:szCs w:val="20"/>
              </w:rPr>
            </w:pPr>
          </w:p>
        </w:tc>
        <w:tc>
          <w:tcPr>
            <w:tcW w:w="1394" w:type="dxa"/>
            <w:vMerge/>
            <w:tcBorders>
              <w:bottom w:val="single" w:sz="4" w:space="0" w:color="auto"/>
            </w:tcBorders>
            <w:shd w:val="clear" w:color="auto" w:fill="BFBFBF" w:themeFill="background1" w:themeFillShade="BF"/>
            <w:vAlign w:val="center"/>
          </w:tcPr>
          <w:p w14:paraId="4A01AE5E" w14:textId="77777777" w:rsidR="00AB14BD" w:rsidRPr="00AB14BD" w:rsidRDefault="00AB14BD" w:rsidP="00AB14BD">
            <w:pPr>
              <w:keepNext/>
              <w:keepLines/>
              <w:spacing w:after="0"/>
              <w:jc w:val="center"/>
              <w:rPr>
                <w:i/>
                <w:sz w:val="18"/>
                <w:szCs w:val="20"/>
              </w:rPr>
            </w:pPr>
          </w:p>
        </w:tc>
        <w:tc>
          <w:tcPr>
            <w:tcW w:w="990" w:type="dxa"/>
            <w:tcBorders>
              <w:top w:val="single" w:sz="4" w:space="0" w:color="000000" w:themeColor="text1"/>
              <w:bottom w:val="single" w:sz="4" w:space="0" w:color="auto"/>
            </w:tcBorders>
            <w:shd w:val="clear" w:color="auto" w:fill="BFBFBF" w:themeFill="background1" w:themeFillShade="BF"/>
            <w:vAlign w:val="center"/>
          </w:tcPr>
          <w:p w14:paraId="3D8B3426" w14:textId="77777777" w:rsidR="00AB14BD" w:rsidRPr="00AB14BD" w:rsidRDefault="00AB14BD" w:rsidP="00AB14BD">
            <w:pPr>
              <w:keepNext/>
              <w:keepLines/>
              <w:spacing w:after="0"/>
              <w:jc w:val="center"/>
              <w:rPr>
                <w:i/>
                <w:sz w:val="18"/>
                <w:szCs w:val="20"/>
              </w:rPr>
            </w:pPr>
            <w:r w:rsidRPr="00AB14BD">
              <w:rPr>
                <w:i/>
                <w:sz w:val="18"/>
                <w:szCs w:val="20"/>
              </w:rPr>
              <w:t>12,641.2</w:t>
            </w:r>
          </w:p>
        </w:tc>
        <w:tc>
          <w:tcPr>
            <w:tcW w:w="990" w:type="dxa"/>
            <w:tcBorders>
              <w:top w:val="single" w:sz="4" w:space="0" w:color="000000" w:themeColor="text1"/>
              <w:bottom w:val="single" w:sz="4" w:space="0" w:color="auto"/>
            </w:tcBorders>
            <w:shd w:val="clear" w:color="auto" w:fill="BFBFBF" w:themeFill="background1" w:themeFillShade="BF"/>
            <w:vAlign w:val="center"/>
          </w:tcPr>
          <w:p w14:paraId="205C7424" w14:textId="77777777" w:rsidR="00AB14BD" w:rsidRPr="00AB14BD" w:rsidRDefault="00AB14BD" w:rsidP="00AB14BD">
            <w:pPr>
              <w:keepNext/>
              <w:keepLines/>
              <w:spacing w:after="0"/>
              <w:jc w:val="center"/>
              <w:rPr>
                <w:i/>
                <w:sz w:val="18"/>
                <w:szCs w:val="20"/>
              </w:rPr>
            </w:pPr>
            <w:r w:rsidRPr="00AB14BD">
              <w:rPr>
                <w:i/>
                <w:sz w:val="18"/>
                <w:szCs w:val="20"/>
              </w:rPr>
              <w:t>13,381.4</w:t>
            </w:r>
          </w:p>
        </w:tc>
        <w:tc>
          <w:tcPr>
            <w:tcW w:w="990" w:type="dxa"/>
            <w:tcBorders>
              <w:top w:val="single" w:sz="4" w:space="0" w:color="000000" w:themeColor="text1"/>
              <w:bottom w:val="single" w:sz="4" w:space="0" w:color="auto"/>
              <w:right w:val="single" w:sz="4" w:space="0" w:color="000000" w:themeColor="text1"/>
            </w:tcBorders>
            <w:shd w:val="clear" w:color="auto" w:fill="BFBFBF" w:themeFill="background1" w:themeFillShade="BF"/>
            <w:vAlign w:val="center"/>
          </w:tcPr>
          <w:p w14:paraId="15E056DB" w14:textId="77777777" w:rsidR="00AB14BD" w:rsidRPr="00AB14BD" w:rsidRDefault="00AB14BD" w:rsidP="00AB14BD">
            <w:pPr>
              <w:keepNext/>
              <w:keepLines/>
              <w:spacing w:after="0"/>
              <w:jc w:val="center"/>
              <w:rPr>
                <w:i/>
                <w:sz w:val="18"/>
                <w:szCs w:val="20"/>
              </w:rPr>
            </w:pPr>
            <w:r w:rsidRPr="00AB14BD">
              <w:rPr>
                <w:i/>
                <w:sz w:val="18"/>
                <w:szCs w:val="20"/>
              </w:rPr>
              <w:t>14,151.3</w:t>
            </w:r>
          </w:p>
        </w:tc>
        <w:tc>
          <w:tcPr>
            <w:tcW w:w="990" w:type="dxa"/>
            <w:tcBorders>
              <w:top w:val="single" w:sz="4" w:space="0" w:color="000000" w:themeColor="text1"/>
              <w:bottom w:val="single" w:sz="4" w:space="0" w:color="auto"/>
            </w:tcBorders>
            <w:shd w:val="clear" w:color="auto" w:fill="BFBFBF" w:themeFill="background1" w:themeFillShade="BF"/>
            <w:vAlign w:val="center"/>
          </w:tcPr>
          <w:p w14:paraId="5A70D7DD" w14:textId="77777777" w:rsidR="00AB14BD" w:rsidRPr="00AB14BD" w:rsidRDefault="00AB14BD" w:rsidP="00AB14BD">
            <w:pPr>
              <w:keepNext/>
              <w:keepLines/>
              <w:spacing w:after="0"/>
              <w:jc w:val="center"/>
              <w:rPr>
                <w:i/>
                <w:sz w:val="18"/>
                <w:szCs w:val="20"/>
              </w:rPr>
            </w:pPr>
            <w:r w:rsidRPr="00AB14BD">
              <w:rPr>
                <w:i/>
                <w:sz w:val="18"/>
                <w:szCs w:val="20"/>
              </w:rPr>
              <w:t>14,951.0</w:t>
            </w:r>
          </w:p>
        </w:tc>
        <w:tc>
          <w:tcPr>
            <w:tcW w:w="1527" w:type="dxa"/>
            <w:tcBorders>
              <w:top w:val="single" w:sz="4" w:space="0" w:color="000000" w:themeColor="text1"/>
              <w:bottom w:val="single" w:sz="4" w:space="0" w:color="auto"/>
              <w:right w:val="single" w:sz="4" w:space="0" w:color="auto"/>
            </w:tcBorders>
            <w:shd w:val="clear" w:color="auto" w:fill="BFBFBF" w:themeFill="background1" w:themeFillShade="BF"/>
            <w:vAlign w:val="center"/>
          </w:tcPr>
          <w:p w14:paraId="36161DFD" w14:textId="77777777" w:rsidR="00AB14BD" w:rsidRPr="00AB14BD" w:rsidRDefault="00AB14BD" w:rsidP="00AB14BD">
            <w:pPr>
              <w:keepNext/>
              <w:keepLines/>
              <w:spacing w:after="0"/>
              <w:jc w:val="center"/>
              <w:rPr>
                <w:i/>
                <w:sz w:val="18"/>
                <w:szCs w:val="20"/>
              </w:rPr>
            </w:pPr>
            <w:r w:rsidRPr="00AB14BD">
              <w:rPr>
                <w:i/>
                <w:sz w:val="18"/>
                <w:szCs w:val="20"/>
              </w:rPr>
              <w:t>+ 9,473.2</w:t>
            </w:r>
          </w:p>
        </w:tc>
      </w:tr>
      <w:tr w:rsidR="00C92849" w:rsidRPr="00C92849" w14:paraId="452608A0" w14:textId="77777777" w:rsidTr="00C92849">
        <w:trPr>
          <w:trHeight w:val="288"/>
          <w:jc w:val="center"/>
        </w:trPr>
        <w:tc>
          <w:tcPr>
            <w:tcW w:w="13222" w:type="dxa"/>
            <w:gridSpan w:val="8"/>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740A2B24" w14:textId="77777777" w:rsidR="00AB14BD" w:rsidRPr="00C92849" w:rsidRDefault="00AB14BD" w:rsidP="00AB14BD">
            <w:pPr>
              <w:keepNext/>
              <w:keepLines/>
              <w:spacing w:after="0"/>
              <w:jc w:val="center"/>
              <w:rPr>
                <w:b/>
                <w:color w:val="FFFFFF" w:themeColor="background1"/>
                <w:sz w:val="18"/>
                <w:szCs w:val="20"/>
              </w:rPr>
            </w:pPr>
            <w:r w:rsidRPr="00C92849">
              <w:rPr>
                <w:b/>
                <w:color w:val="FFFFFF" w:themeColor="background1"/>
                <w:sz w:val="18"/>
                <w:szCs w:val="20"/>
              </w:rPr>
              <w:t>Upgrade Case</w:t>
            </w:r>
          </w:p>
        </w:tc>
      </w:tr>
      <w:tr w:rsidR="00AB14BD" w:rsidRPr="00946190" w14:paraId="1348E7BA" w14:textId="77777777" w:rsidTr="00017F33">
        <w:trPr>
          <w:trHeight w:val="288"/>
          <w:jc w:val="center"/>
        </w:trPr>
        <w:tc>
          <w:tcPr>
            <w:tcW w:w="5261" w:type="dxa"/>
            <w:tcBorders>
              <w:top w:val="single" w:sz="4" w:space="0" w:color="auto"/>
              <w:left w:val="single" w:sz="4" w:space="0" w:color="auto"/>
              <w:bottom w:val="single" w:sz="4" w:space="0" w:color="000000" w:themeColor="text1"/>
              <w:right w:val="single" w:sz="4" w:space="0" w:color="000000" w:themeColor="text1"/>
            </w:tcBorders>
            <w:vAlign w:val="center"/>
          </w:tcPr>
          <w:p w14:paraId="5F25C867" w14:textId="77777777" w:rsidR="00AB14BD" w:rsidRPr="00AB14BD" w:rsidRDefault="00AB14BD" w:rsidP="00AB14BD">
            <w:pPr>
              <w:keepNext/>
              <w:keepLines/>
              <w:spacing w:after="0"/>
              <w:rPr>
                <w:sz w:val="18"/>
                <w:szCs w:val="20"/>
              </w:rPr>
            </w:pPr>
            <w:r w:rsidRPr="00AB14BD">
              <w:rPr>
                <w:sz w:val="18"/>
                <w:szCs w:val="20"/>
              </w:rPr>
              <w:t>Oil consumption, existing trajectory (million gallons)</w:t>
            </w:r>
          </w:p>
        </w:tc>
        <w:tc>
          <w:tcPr>
            <w:tcW w:w="1080" w:type="dxa"/>
            <w:vMerge w:val="restart"/>
            <w:tcBorders>
              <w:top w:val="single" w:sz="4" w:space="0" w:color="auto"/>
            </w:tcBorders>
            <w:vAlign w:val="center"/>
          </w:tcPr>
          <w:p w14:paraId="4785EEEF" w14:textId="77777777" w:rsidR="00AB14BD" w:rsidRPr="00AB14BD" w:rsidRDefault="00AB14BD" w:rsidP="00AB14BD">
            <w:pPr>
              <w:keepNext/>
              <w:keepLines/>
              <w:spacing w:after="0"/>
              <w:jc w:val="center"/>
              <w:rPr>
                <w:sz w:val="18"/>
                <w:szCs w:val="20"/>
              </w:rPr>
            </w:pPr>
            <w:r w:rsidRPr="00AB14BD">
              <w:rPr>
                <w:sz w:val="18"/>
                <w:szCs w:val="20"/>
              </w:rPr>
              <w:t>527.6</w:t>
            </w:r>
          </w:p>
        </w:tc>
        <w:tc>
          <w:tcPr>
            <w:tcW w:w="1394" w:type="dxa"/>
            <w:vMerge w:val="restart"/>
            <w:tcBorders>
              <w:top w:val="single" w:sz="4" w:space="0" w:color="auto"/>
            </w:tcBorders>
            <w:vAlign w:val="center"/>
          </w:tcPr>
          <w:p w14:paraId="782C26A8" w14:textId="77777777" w:rsidR="00AB14BD" w:rsidRPr="00AB14BD" w:rsidRDefault="00AB14BD" w:rsidP="00AB14BD">
            <w:pPr>
              <w:keepNext/>
              <w:keepLines/>
              <w:spacing w:after="0"/>
              <w:jc w:val="center"/>
              <w:rPr>
                <w:i/>
                <w:sz w:val="18"/>
                <w:szCs w:val="20"/>
              </w:rPr>
            </w:pPr>
            <w:r w:rsidRPr="00AB14BD">
              <w:rPr>
                <w:i/>
                <w:sz w:val="18"/>
                <w:szCs w:val="20"/>
              </w:rPr>
              <w:t>- 2.1%</w:t>
            </w:r>
          </w:p>
        </w:tc>
        <w:tc>
          <w:tcPr>
            <w:tcW w:w="990" w:type="dxa"/>
            <w:tcBorders>
              <w:top w:val="single" w:sz="4" w:space="0" w:color="auto"/>
              <w:bottom w:val="single" w:sz="4" w:space="0" w:color="000000" w:themeColor="text1"/>
            </w:tcBorders>
            <w:vAlign w:val="center"/>
          </w:tcPr>
          <w:p w14:paraId="50D3E115" w14:textId="77777777" w:rsidR="00AB14BD" w:rsidRPr="00AB14BD" w:rsidRDefault="00AB14BD" w:rsidP="00AB14BD">
            <w:pPr>
              <w:keepNext/>
              <w:keepLines/>
              <w:spacing w:after="0"/>
              <w:jc w:val="center"/>
              <w:rPr>
                <w:sz w:val="18"/>
                <w:szCs w:val="20"/>
              </w:rPr>
            </w:pPr>
            <w:r w:rsidRPr="00AB14BD">
              <w:rPr>
                <w:sz w:val="18"/>
                <w:szCs w:val="20"/>
              </w:rPr>
              <w:t>511.1</w:t>
            </w:r>
          </w:p>
        </w:tc>
        <w:tc>
          <w:tcPr>
            <w:tcW w:w="990" w:type="dxa"/>
            <w:tcBorders>
              <w:top w:val="single" w:sz="4" w:space="0" w:color="auto"/>
              <w:bottom w:val="single" w:sz="4" w:space="0" w:color="000000" w:themeColor="text1"/>
            </w:tcBorders>
            <w:vAlign w:val="center"/>
          </w:tcPr>
          <w:p w14:paraId="6B6ECBC0" w14:textId="77777777" w:rsidR="00AB14BD" w:rsidRPr="00AB14BD" w:rsidRDefault="00AB14BD" w:rsidP="00AB14BD">
            <w:pPr>
              <w:keepNext/>
              <w:keepLines/>
              <w:spacing w:after="0"/>
              <w:jc w:val="center"/>
              <w:rPr>
                <w:sz w:val="18"/>
                <w:szCs w:val="20"/>
              </w:rPr>
            </w:pPr>
            <w:r w:rsidRPr="00AB14BD">
              <w:rPr>
                <w:sz w:val="18"/>
                <w:szCs w:val="20"/>
              </w:rPr>
              <w:t>484.7</w:t>
            </w:r>
          </w:p>
        </w:tc>
        <w:tc>
          <w:tcPr>
            <w:tcW w:w="990" w:type="dxa"/>
            <w:tcBorders>
              <w:top w:val="single" w:sz="4" w:space="0" w:color="auto"/>
              <w:bottom w:val="single" w:sz="4" w:space="0" w:color="000000" w:themeColor="text1"/>
              <w:right w:val="single" w:sz="4" w:space="0" w:color="000000" w:themeColor="text1"/>
            </w:tcBorders>
            <w:vAlign w:val="center"/>
          </w:tcPr>
          <w:p w14:paraId="148B7EE3" w14:textId="77777777" w:rsidR="00AB14BD" w:rsidRPr="00AB14BD" w:rsidRDefault="00AB14BD" w:rsidP="00AB14BD">
            <w:pPr>
              <w:keepNext/>
              <w:keepLines/>
              <w:spacing w:after="0"/>
              <w:jc w:val="center"/>
              <w:rPr>
                <w:sz w:val="18"/>
                <w:szCs w:val="20"/>
              </w:rPr>
            </w:pPr>
            <w:r w:rsidRPr="00AB14BD">
              <w:rPr>
                <w:sz w:val="18"/>
                <w:szCs w:val="20"/>
              </w:rPr>
              <w:t>459.7</w:t>
            </w:r>
          </w:p>
        </w:tc>
        <w:tc>
          <w:tcPr>
            <w:tcW w:w="990" w:type="dxa"/>
            <w:tcBorders>
              <w:top w:val="single" w:sz="4" w:space="0" w:color="auto"/>
              <w:bottom w:val="single" w:sz="4" w:space="0" w:color="000000" w:themeColor="text1"/>
            </w:tcBorders>
            <w:vAlign w:val="center"/>
          </w:tcPr>
          <w:p w14:paraId="468F80F0" w14:textId="77777777" w:rsidR="00AB14BD" w:rsidRPr="00AB14BD" w:rsidRDefault="00AB14BD" w:rsidP="00AB14BD">
            <w:pPr>
              <w:keepNext/>
              <w:keepLines/>
              <w:spacing w:after="0"/>
              <w:jc w:val="center"/>
              <w:rPr>
                <w:sz w:val="18"/>
                <w:szCs w:val="20"/>
              </w:rPr>
            </w:pPr>
            <w:r w:rsidRPr="00AB14BD">
              <w:rPr>
                <w:sz w:val="18"/>
                <w:szCs w:val="20"/>
              </w:rPr>
              <w:t>435.9</w:t>
            </w:r>
          </w:p>
        </w:tc>
        <w:tc>
          <w:tcPr>
            <w:tcW w:w="1527" w:type="dxa"/>
            <w:tcBorders>
              <w:top w:val="single" w:sz="4" w:space="0" w:color="auto"/>
              <w:bottom w:val="single" w:sz="4" w:space="0" w:color="000000" w:themeColor="text1"/>
              <w:right w:val="single" w:sz="4" w:space="0" w:color="auto"/>
            </w:tcBorders>
            <w:vAlign w:val="center"/>
          </w:tcPr>
          <w:p w14:paraId="0A52530E" w14:textId="77777777" w:rsidR="00AB14BD" w:rsidRPr="00AB14BD" w:rsidRDefault="00AB14BD" w:rsidP="00AB14BD">
            <w:pPr>
              <w:keepNext/>
              <w:keepLines/>
              <w:spacing w:after="0"/>
              <w:jc w:val="center"/>
              <w:rPr>
                <w:sz w:val="18"/>
                <w:szCs w:val="20"/>
              </w:rPr>
            </w:pPr>
            <w:r w:rsidRPr="00AB14BD">
              <w:rPr>
                <w:sz w:val="18"/>
                <w:szCs w:val="20"/>
              </w:rPr>
              <w:t>-</w:t>
            </w:r>
          </w:p>
        </w:tc>
      </w:tr>
      <w:tr w:rsidR="00AB14BD" w14:paraId="75F74F2D" w14:textId="77777777" w:rsidTr="00017F33">
        <w:trPr>
          <w:trHeight w:val="288"/>
          <w:jc w:val="center"/>
        </w:trPr>
        <w:tc>
          <w:tcPr>
            <w:tcW w:w="526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EEE816A" w14:textId="77777777" w:rsidR="00AB14BD" w:rsidRPr="00AB14BD" w:rsidRDefault="00AB14BD" w:rsidP="00AB14BD">
            <w:pPr>
              <w:keepNext/>
              <w:keepLines/>
              <w:spacing w:after="0"/>
              <w:rPr>
                <w:i/>
                <w:sz w:val="18"/>
                <w:szCs w:val="20"/>
              </w:rPr>
            </w:pPr>
            <w:r w:rsidRPr="00AB14BD">
              <w:rPr>
                <w:i/>
                <w:sz w:val="18"/>
                <w:szCs w:val="20"/>
              </w:rPr>
              <w:t xml:space="preserve">  Oil consumption trajectory with fuel switching</w:t>
            </w:r>
          </w:p>
        </w:tc>
        <w:tc>
          <w:tcPr>
            <w:tcW w:w="1080" w:type="dxa"/>
            <w:vMerge/>
            <w:vAlign w:val="center"/>
          </w:tcPr>
          <w:p w14:paraId="4EE7BE36" w14:textId="77777777" w:rsidR="00AB14BD" w:rsidRPr="00AB14BD" w:rsidRDefault="00AB14BD" w:rsidP="00AB14BD">
            <w:pPr>
              <w:keepNext/>
              <w:keepLines/>
              <w:spacing w:after="0"/>
              <w:jc w:val="center"/>
              <w:rPr>
                <w:i/>
                <w:sz w:val="18"/>
                <w:szCs w:val="20"/>
              </w:rPr>
            </w:pPr>
          </w:p>
        </w:tc>
        <w:tc>
          <w:tcPr>
            <w:tcW w:w="1394" w:type="dxa"/>
            <w:vMerge/>
            <w:vAlign w:val="center"/>
          </w:tcPr>
          <w:p w14:paraId="2B78FD74" w14:textId="77777777" w:rsidR="00AB14BD" w:rsidRPr="00AB14BD" w:rsidRDefault="00AB14BD" w:rsidP="00AB14BD">
            <w:pPr>
              <w:keepNext/>
              <w:keepLines/>
              <w:spacing w:after="0"/>
              <w:jc w:val="center"/>
              <w:rPr>
                <w:i/>
                <w:sz w:val="18"/>
                <w:szCs w:val="20"/>
              </w:rPr>
            </w:pPr>
          </w:p>
        </w:tc>
        <w:tc>
          <w:tcPr>
            <w:tcW w:w="990" w:type="dxa"/>
            <w:tcBorders>
              <w:top w:val="single" w:sz="4" w:space="0" w:color="000000" w:themeColor="text1"/>
              <w:bottom w:val="single" w:sz="4" w:space="0" w:color="000000" w:themeColor="text1"/>
            </w:tcBorders>
            <w:vAlign w:val="center"/>
          </w:tcPr>
          <w:p w14:paraId="5BA00AD4" w14:textId="77777777" w:rsidR="00AB14BD" w:rsidRPr="00AB14BD" w:rsidRDefault="00AB14BD" w:rsidP="00AB14BD">
            <w:pPr>
              <w:keepNext/>
              <w:keepLines/>
              <w:spacing w:after="0"/>
              <w:jc w:val="center"/>
              <w:rPr>
                <w:i/>
                <w:sz w:val="18"/>
                <w:szCs w:val="20"/>
              </w:rPr>
            </w:pPr>
            <w:r w:rsidRPr="00AB14BD">
              <w:rPr>
                <w:i/>
                <w:sz w:val="18"/>
                <w:szCs w:val="20"/>
              </w:rPr>
              <w:t>403.8</w:t>
            </w:r>
          </w:p>
        </w:tc>
        <w:tc>
          <w:tcPr>
            <w:tcW w:w="990" w:type="dxa"/>
            <w:tcBorders>
              <w:top w:val="single" w:sz="4" w:space="0" w:color="000000" w:themeColor="text1"/>
              <w:bottom w:val="single" w:sz="4" w:space="0" w:color="000000" w:themeColor="text1"/>
            </w:tcBorders>
            <w:vAlign w:val="center"/>
          </w:tcPr>
          <w:p w14:paraId="25CC4FFE" w14:textId="77777777" w:rsidR="00AB14BD" w:rsidRPr="00AB14BD" w:rsidRDefault="00AB14BD" w:rsidP="00AB14BD">
            <w:pPr>
              <w:keepNext/>
              <w:keepLines/>
              <w:spacing w:after="0"/>
              <w:jc w:val="center"/>
              <w:rPr>
                <w:i/>
                <w:sz w:val="18"/>
                <w:szCs w:val="20"/>
              </w:rPr>
            </w:pPr>
            <w:r w:rsidRPr="00AB14BD">
              <w:rPr>
                <w:i/>
                <w:sz w:val="18"/>
                <w:szCs w:val="20"/>
              </w:rPr>
              <w:t>281.2</w:t>
            </w:r>
          </w:p>
        </w:tc>
        <w:tc>
          <w:tcPr>
            <w:tcW w:w="990" w:type="dxa"/>
            <w:tcBorders>
              <w:top w:val="single" w:sz="4" w:space="0" w:color="000000" w:themeColor="text1"/>
              <w:bottom w:val="single" w:sz="4" w:space="0" w:color="000000" w:themeColor="text1"/>
              <w:right w:val="single" w:sz="4" w:space="0" w:color="000000" w:themeColor="text1"/>
            </w:tcBorders>
            <w:vAlign w:val="center"/>
          </w:tcPr>
          <w:p w14:paraId="2A25891C" w14:textId="77777777" w:rsidR="00AB14BD" w:rsidRPr="00AB14BD" w:rsidRDefault="00AB14BD" w:rsidP="00AB14BD">
            <w:pPr>
              <w:keepNext/>
              <w:keepLines/>
              <w:spacing w:after="0"/>
              <w:jc w:val="center"/>
              <w:rPr>
                <w:i/>
                <w:sz w:val="18"/>
                <w:szCs w:val="20"/>
              </w:rPr>
            </w:pPr>
            <w:r w:rsidRPr="00AB14BD">
              <w:rPr>
                <w:i/>
                <w:sz w:val="18"/>
                <w:szCs w:val="20"/>
              </w:rPr>
              <w:t>170.1</w:t>
            </w:r>
          </w:p>
        </w:tc>
        <w:tc>
          <w:tcPr>
            <w:tcW w:w="990" w:type="dxa"/>
            <w:tcBorders>
              <w:top w:val="single" w:sz="4" w:space="0" w:color="000000" w:themeColor="text1"/>
              <w:bottom w:val="single" w:sz="4" w:space="0" w:color="000000" w:themeColor="text1"/>
            </w:tcBorders>
            <w:vAlign w:val="center"/>
          </w:tcPr>
          <w:p w14:paraId="7D09B5BC" w14:textId="77777777" w:rsidR="00AB14BD" w:rsidRPr="00AB14BD" w:rsidRDefault="00AB14BD" w:rsidP="00AB14BD">
            <w:pPr>
              <w:keepNext/>
              <w:keepLines/>
              <w:spacing w:after="0"/>
              <w:jc w:val="center"/>
              <w:rPr>
                <w:i/>
                <w:sz w:val="18"/>
                <w:szCs w:val="20"/>
              </w:rPr>
            </w:pPr>
            <w:r w:rsidRPr="00AB14BD">
              <w:rPr>
                <w:i/>
                <w:sz w:val="18"/>
                <w:szCs w:val="20"/>
              </w:rPr>
              <w:t>69.8</w:t>
            </w:r>
          </w:p>
        </w:tc>
        <w:tc>
          <w:tcPr>
            <w:tcW w:w="1527" w:type="dxa"/>
            <w:tcBorders>
              <w:top w:val="single" w:sz="4" w:space="0" w:color="000000" w:themeColor="text1"/>
              <w:bottom w:val="single" w:sz="4" w:space="0" w:color="000000" w:themeColor="text1"/>
              <w:right w:val="single" w:sz="4" w:space="0" w:color="auto"/>
            </w:tcBorders>
            <w:vAlign w:val="center"/>
          </w:tcPr>
          <w:p w14:paraId="788DE0D5" w14:textId="77777777" w:rsidR="00AB14BD" w:rsidRPr="00AB14BD" w:rsidRDefault="00AB14BD" w:rsidP="00AB14BD">
            <w:pPr>
              <w:keepNext/>
              <w:keepLines/>
              <w:spacing w:after="0"/>
              <w:jc w:val="center"/>
              <w:rPr>
                <w:i/>
                <w:sz w:val="18"/>
                <w:szCs w:val="20"/>
              </w:rPr>
            </w:pPr>
            <w:r w:rsidRPr="00AB14BD">
              <w:rPr>
                <w:i/>
                <w:sz w:val="18"/>
                <w:szCs w:val="20"/>
              </w:rPr>
              <w:t>- 2,148.6</w:t>
            </w:r>
          </w:p>
        </w:tc>
      </w:tr>
      <w:tr w:rsidR="00AB14BD" w14:paraId="4A924171" w14:textId="77777777" w:rsidTr="00017F33">
        <w:trPr>
          <w:trHeight w:val="288"/>
          <w:jc w:val="center"/>
        </w:trPr>
        <w:tc>
          <w:tcPr>
            <w:tcW w:w="526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BA55EAB" w14:textId="77777777" w:rsidR="00AB14BD" w:rsidRPr="00AB14BD" w:rsidRDefault="00AB14BD" w:rsidP="00AB14BD">
            <w:pPr>
              <w:keepNext/>
              <w:keepLines/>
              <w:spacing w:after="0"/>
              <w:rPr>
                <w:i/>
                <w:sz w:val="18"/>
                <w:szCs w:val="20"/>
              </w:rPr>
            </w:pPr>
            <w:r w:rsidRPr="00AB14BD">
              <w:rPr>
                <w:i/>
                <w:sz w:val="18"/>
                <w:szCs w:val="20"/>
              </w:rPr>
              <w:t xml:space="preserve">  Potential oil savings due to program incentives</w:t>
            </w:r>
          </w:p>
        </w:tc>
        <w:tc>
          <w:tcPr>
            <w:tcW w:w="1080" w:type="dxa"/>
            <w:vMerge/>
            <w:vAlign w:val="center"/>
          </w:tcPr>
          <w:p w14:paraId="022DA090" w14:textId="77777777" w:rsidR="00AB14BD" w:rsidRPr="00AB14BD" w:rsidRDefault="00AB14BD" w:rsidP="00AB14BD">
            <w:pPr>
              <w:keepNext/>
              <w:keepLines/>
              <w:spacing w:after="0"/>
              <w:jc w:val="center"/>
              <w:rPr>
                <w:sz w:val="18"/>
                <w:szCs w:val="20"/>
              </w:rPr>
            </w:pPr>
          </w:p>
        </w:tc>
        <w:tc>
          <w:tcPr>
            <w:tcW w:w="1394" w:type="dxa"/>
            <w:vMerge/>
            <w:vAlign w:val="center"/>
          </w:tcPr>
          <w:p w14:paraId="2B757102" w14:textId="77777777" w:rsidR="00AB14BD" w:rsidRPr="00AB14BD" w:rsidRDefault="00AB14BD" w:rsidP="00AB14BD">
            <w:pPr>
              <w:keepNext/>
              <w:keepLines/>
              <w:spacing w:after="0"/>
              <w:jc w:val="center"/>
              <w:rPr>
                <w:i/>
                <w:sz w:val="18"/>
                <w:szCs w:val="20"/>
              </w:rPr>
            </w:pPr>
          </w:p>
        </w:tc>
        <w:tc>
          <w:tcPr>
            <w:tcW w:w="990" w:type="dxa"/>
            <w:tcBorders>
              <w:top w:val="single" w:sz="4" w:space="0" w:color="000000" w:themeColor="text1"/>
              <w:bottom w:val="single" w:sz="4" w:space="0" w:color="000000" w:themeColor="text1"/>
            </w:tcBorders>
            <w:vAlign w:val="center"/>
          </w:tcPr>
          <w:p w14:paraId="537D1226" w14:textId="77777777" w:rsidR="00AB14BD" w:rsidRPr="00AB14BD" w:rsidRDefault="00AB14BD" w:rsidP="00AB14BD">
            <w:pPr>
              <w:keepNext/>
              <w:keepLines/>
              <w:spacing w:after="0"/>
              <w:jc w:val="center"/>
              <w:rPr>
                <w:i/>
                <w:sz w:val="18"/>
                <w:szCs w:val="20"/>
              </w:rPr>
            </w:pPr>
            <w:r w:rsidRPr="00AB14BD">
              <w:rPr>
                <w:i/>
                <w:sz w:val="18"/>
                <w:szCs w:val="20"/>
              </w:rPr>
              <w:t>8.8</w:t>
            </w:r>
          </w:p>
        </w:tc>
        <w:tc>
          <w:tcPr>
            <w:tcW w:w="990" w:type="dxa"/>
            <w:tcBorders>
              <w:top w:val="single" w:sz="4" w:space="0" w:color="000000" w:themeColor="text1"/>
              <w:bottom w:val="single" w:sz="4" w:space="0" w:color="000000" w:themeColor="text1"/>
            </w:tcBorders>
            <w:vAlign w:val="center"/>
          </w:tcPr>
          <w:p w14:paraId="002E2409" w14:textId="77777777" w:rsidR="00AB14BD" w:rsidRPr="00AB14BD" w:rsidRDefault="00AB14BD" w:rsidP="00AB14BD">
            <w:pPr>
              <w:keepNext/>
              <w:keepLines/>
              <w:spacing w:after="0"/>
              <w:jc w:val="center"/>
              <w:rPr>
                <w:i/>
                <w:sz w:val="18"/>
                <w:szCs w:val="20"/>
              </w:rPr>
            </w:pPr>
            <w:r w:rsidRPr="00AB14BD">
              <w:rPr>
                <w:i/>
                <w:sz w:val="18"/>
                <w:szCs w:val="20"/>
              </w:rPr>
              <w:t>16.7</w:t>
            </w:r>
          </w:p>
        </w:tc>
        <w:tc>
          <w:tcPr>
            <w:tcW w:w="990" w:type="dxa"/>
            <w:tcBorders>
              <w:top w:val="single" w:sz="4" w:space="0" w:color="000000" w:themeColor="text1"/>
              <w:bottom w:val="single" w:sz="4" w:space="0" w:color="000000" w:themeColor="text1"/>
              <w:right w:val="single" w:sz="4" w:space="0" w:color="000000" w:themeColor="text1"/>
            </w:tcBorders>
            <w:vAlign w:val="center"/>
          </w:tcPr>
          <w:p w14:paraId="052913C9" w14:textId="77777777" w:rsidR="00AB14BD" w:rsidRPr="00AB14BD" w:rsidRDefault="00AB14BD" w:rsidP="00AB14BD">
            <w:pPr>
              <w:keepNext/>
              <w:keepLines/>
              <w:spacing w:after="0"/>
              <w:jc w:val="center"/>
              <w:rPr>
                <w:i/>
                <w:sz w:val="18"/>
                <w:szCs w:val="20"/>
              </w:rPr>
            </w:pPr>
            <w:r w:rsidRPr="00AB14BD">
              <w:rPr>
                <w:i/>
                <w:sz w:val="18"/>
                <w:szCs w:val="20"/>
              </w:rPr>
              <w:t>23.8</w:t>
            </w:r>
          </w:p>
        </w:tc>
        <w:tc>
          <w:tcPr>
            <w:tcW w:w="990" w:type="dxa"/>
            <w:tcBorders>
              <w:top w:val="single" w:sz="4" w:space="0" w:color="000000" w:themeColor="text1"/>
              <w:bottom w:val="single" w:sz="4" w:space="0" w:color="000000" w:themeColor="text1"/>
            </w:tcBorders>
            <w:vAlign w:val="center"/>
          </w:tcPr>
          <w:p w14:paraId="13E8C770" w14:textId="77777777" w:rsidR="00AB14BD" w:rsidRPr="00AB14BD" w:rsidRDefault="00AB14BD" w:rsidP="00AB14BD">
            <w:pPr>
              <w:keepNext/>
              <w:keepLines/>
              <w:spacing w:after="0"/>
              <w:jc w:val="center"/>
              <w:rPr>
                <w:i/>
                <w:sz w:val="18"/>
                <w:szCs w:val="20"/>
              </w:rPr>
            </w:pPr>
            <w:r w:rsidRPr="00AB14BD">
              <w:rPr>
                <w:i/>
                <w:sz w:val="18"/>
                <w:szCs w:val="20"/>
              </w:rPr>
              <w:t>30.1</w:t>
            </w:r>
          </w:p>
        </w:tc>
        <w:tc>
          <w:tcPr>
            <w:tcW w:w="1527" w:type="dxa"/>
            <w:tcBorders>
              <w:top w:val="single" w:sz="4" w:space="0" w:color="000000" w:themeColor="text1"/>
              <w:bottom w:val="single" w:sz="4" w:space="0" w:color="000000" w:themeColor="text1"/>
              <w:right w:val="single" w:sz="4" w:space="0" w:color="auto"/>
            </w:tcBorders>
            <w:vAlign w:val="center"/>
          </w:tcPr>
          <w:p w14:paraId="6437C520" w14:textId="77777777" w:rsidR="00AB14BD" w:rsidRPr="00AB14BD" w:rsidRDefault="00AB14BD" w:rsidP="00AB14BD">
            <w:pPr>
              <w:keepNext/>
              <w:keepLines/>
              <w:spacing w:after="0"/>
              <w:jc w:val="center"/>
              <w:rPr>
                <w:i/>
                <w:sz w:val="18"/>
                <w:szCs w:val="20"/>
              </w:rPr>
            </w:pPr>
            <w:r w:rsidRPr="00AB14BD">
              <w:rPr>
                <w:i/>
                <w:sz w:val="18"/>
                <w:szCs w:val="20"/>
              </w:rPr>
              <w:t>- 176.4</w:t>
            </w:r>
          </w:p>
        </w:tc>
      </w:tr>
      <w:tr w:rsidR="00AB14BD" w14:paraId="3E970F6C" w14:textId="77777777" w:rsidTr="00C92849">
        <w:trPr>
          <w:trHeight w:val="288"/>
          <w:jc w:val="center"/>
        </w:trPr>
        <w:tc>
          <w:tcPr>
            <w:tcW w:w="526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67E561EB" w14:textId="77777777" w:rsidR="00AB14BD" w:rsidRPr="00AB14BD" w:rsidRDefault="00AB14BD" w:rsidP="00AB14BD">
            <w:pPr>
              <w:keepNext/>
              <w:keepLines/>
              <w:spacing w:after="0"/>
              <w:rPr>
                <w:sz w:val="18"/>
                <w:szCs w:val="20"/>
              </w:rPr>
            </w:pPr>
            <w:r w:rsidRPr="00AB14BD">
              <w:rPr>
                <w:sz w:val="18"/>
                <w:szCs w:val="20"/>
              </w:rPr>
              <w:t>Propane consumption, existing trajectory (million gallons)</w:t>
            </w:r>
          </w:p>
        </w:tc>
        <w:tc>
          <w:tcPr>
            <w:tcW w:w="1080" w:type="dxa"/>
            <w:vMerge w:val="restart"/>
            <w:shd w:val="clear" w:color="auto" w:fill="BFBFBF" w:themeFill="background1" w:themeFillShade="BF"/>
            <w:vAlign w:val="center"/>
          </w:tcPr>
          <w:p w14:paraId="65EA545A" w14:textId="77777777" w:rsidR="00AB14BD" w:rsidRPr="00AB14BD" w:rsidRDefault="00AB14BD" w:rsidP="00AB14BD">
            <w:pPr>
              <w:keepNext/>
              <w:keepLines/>
              <w:spacing w:after="0"/>
              <w:jc w:val="center"/>
              <w:rPr>
                <w:sz w:val="18"/>
                <w:szCs w:val="20"/>
              </w:rPr>
            </w:pPr>
            <w:r w:rsidRPr="00AB14BD">
              <w:rPr>
                <w:sz w:val="18"/>
                <w:szCs w:val="20"/>
              </w:rPr>
              <w:t>34.4</w:t>
            </w:r>
          </w:p>
        </w:tc>
        <w:tc>
          <w:tcPr>
            <w:tcW w:w="1394" w:type="dxa"/>
            <w:vMerge w:val="restart"/>
            <w:shd w:val="clear" w:color="auto" w:fill="BFBFBF" w:themeFill="background1" w:themeFillShade="BF"/>
            <w:vAlign w:val="center"/>
          </w:tcPr>
          <w:p w14:paraId="69B2F4AF" w14:textId="77777777" w:rsidR="00AB14BD" w:rsidRPr="00AB14BD" w:rsidRDefault="00AB14BD" w:rsidP="00AB14BD">
            <w:pPr>
              <w:keepNext/>
              <w:keepLines/>
              <w:spacing w:after="0"/>
              <w:jc w:val="center"/>
              <w:rPr>
                <w:i/>
                <w:sz w:val="18"/>
                <w:szCs w:val="20"/>
              </w:rPr>
            </w:pPr>
            <w:r w:rsidRPr="00AB14BD">
              <w:rPr>
                <w:i/>
                <w:sz w:val="18"/>
                <w:szCs w:val="20"/>
              </w:rPr>
              <w:t>0.4%</w:t>
            </w:r>
          </w:p>
        </w:tc>
        <w:tc>
          <w:tcPr>
            <w:tcW w:w="990" w:type="dxa"/>
            <w:tcBorders>
              <w:top w:val="single" w:sz="4" w:space="0" w:color="000000" w:themeColor="text1"/>
              <w:bottom w:val="single" w:sz="4" w:space="0" w:color="000000" w:themeColor="text1"/>
            </w:tcBorders>
            <w:shd w:val="clear" w:color="auto" w:fill="BFBFBF" w:themeFill="background1" w:themeFillShade="BF"/>
            <w:vAlign w:val="center"/>
          </w:tcPr>
          <w:p w14:paraId="1161BE4F" w14:textId="77777777" w:rsidR="00AB14BD" w:rsidRPr="00AB14BD" w:rsidRDefault="00AB14BD" w:rsidP="00AB14BD">
            <w:pPr>
              <w:keepNext/>
              <w:keepLines/>
              <w:spacing w:after="0"/>
              <w:jc w:val="center"/>
              <w:rPr>
                <w:sz w:val="18"/>
                <w:szCs w:val="20"/>
              </w:rPr>
            </w:pPr>
            <w:r w:rsidRPr="00AB14BD">
              <w:rPr>
                <w:sz w:val="18"/>
                <w:szCs w:val="20"/>
              </w:rPr>
              <w:t>34.6</w:t>
            </w:r>
          </w:p>
        </w:tc>
        <w:tc>
          <w:tcPr>
            <w:tcW w:w="990" w:type="dxa"/>
            <w:tcBorders>
              <w:top w:val="single" w:sz="4" w:space="0" w:color="000000" w:themeColor="text1"/>
              <w:bottom w:val="single" w:sz="4" w:space="0" w:color="000000" w:themeColor="text1"/>
            </w:tcBorders>
            <w:shd w:val="clear" w:color="auto" w:fill="BFBFBF" w:themeFill="background1" w:themeFillShade="BF"/>
            <w:vAlign w:val="center"/>
          </w:tcPr>
          <w:p w14:paraId="6DCEA347" w14:textId="77777777" w:rsidR="00AB14BD" w:rsidRPr="00AB14BD" w:rsidRDefault="00AB14BD" w:rsidP="00AB14BD">
            <w:pPr>
              <w:keepNext/>
              <w:keepLines/>
              <w:spacing w:after="0"/>
              <w:jc w:val="center"/>
              <w:rPr>
                <w:sz w:val="18"/>
                <w:szCs w:val="20"/>
              </w:rPr>
            </w:pPr>
            <w:r w:rsidRPr="00AB14BD">
              <w:rPr>
                <w:sz w:val="18"/>
                <w:szCs w:val="20"/>
              </w:rPr>
              <w:t>35.0</w:t>
            </w:r>
          </w:p>
        </w:tc>
        <w:tc>
          <w:tcPr>
            <w:tcW w:w="990" w:type="dxa"/>
            <w:tcBorders>
              <w:top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2B5ADF0B" w14:textId="77777777" w:rsidR="00AB14BD" w:rsidRPr="00AB14BD" w:rsidRDefault="00AB14BD" w:rsidP="00AB14BD">
            <w:pPr>
              <w:keepNext/>
              <w:keepLines/>
              <w:spacing w:after="0"/>
              <w:jc w:val="center"/>
              <w:rPr>
                <w:sz w:val="18"/>
                <w:szCs w:val="20"/>
              </w:rPr>
            </w:pPr>
            <w:r w:rsidRPr="00AB14BD">
              <w:rPr>
                <w:sz w:val="18"/>
                <w:szCs w:val="20"/>
              </w:rPr>
              <w:t>35.3</w:t>
            </w:r>
          </w:p>
        </w:tc>
        <w:tc>
          <w:tcPr>
            <w:tcW w:w="990" w:type="dxa"/>
            <w:tcBorders>
              <w:top w:val="single" w:sz="4" w:space="0" w:color="000000" w:themeColor="text1"/>
              <w:bottom w:val="single" w:sz="4" w:space="0" w:color="000000" w:themeColor="text1"/>
            </w:tcBorders>
            <w:shd w:val="clear" w:color="auto" w:fill="BFBFBF" w:themeFill="background1" w:themeFillShade="BF"/>
            <w:vAlign w:val="center"/>
          </w:tcPr>
          <w:p w14:paraId="582B7366" w14:textId="77777777" w:rsidR="00AB14BD" w:rsidRPr="00AB14BD" w:rsidRDefault="00AB14BD" w:rsidP="00AB14BD">
            <w:pPr>
              <w:keepNext/>
              <w:keepLines/>
              <w:spacing w:after="0"/>
              <w:jc w:val="center"/>
              <w:rPr>
                <w:sz w:val="18"/>
                <w:szCs w:val="20"/>
              </w:rPr>
            </w:pPr>
            <w:r w:rsidRPr="00AB14BD">
              <w:rPr>
                <w:sz w:val="18"/>
                <w:szCs w:val="20"/>
              </w:rPr>
              <w:t>35.7</w:t>
            </w:r>
          </w:p>
        </w:tc>
        <w:tc>
          <w:tcPr>
            <w:tcW w:w="1527" w:type="dxa"/>
            <w:tcBorders>
              <w:top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15F6F80F" w14:textId="77777777" w:rsidR="00AB14BD" w:rsidRPr="00AB14BD" w:rsidRDefault="00AB14BD" w:rsidP="00AB14BD">
            <w:pPr>
              <w:keepNext/>
              <w:keepLines/>
              <w:spacing w:after="0"/>
              <w:jc w:val="center"/>
              <w:rPr>
                <w:sz w:val="18"/>
                <w:szCs w:val="20"/>
              </w:rPr>
            </w:pPr>
            <w:r w:rsidRPr="00AB14BD">
              <w:rPr>
                <w:sz w:val="18"/>
                <w:szCs w:val="20"/>
              </w:rPr>
              <w:t>-</w:t>
            </w:r>
          </w:p>
        </w:tc>
      </w:tr>
      <w:tr w:rsidR="00AB14BD" w14:paraId="496F264B" w14:textId="77777777" w:rsidTr="00C92849">
        <w:trPr>
          <w:trHeight w:val="288"/>
          <w:jc w:val="center"/>
        </w:trPr>
        <w:tc>
          <w:tcPr>
            <w:tcW w:w="526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44377003" w14:textId="77777777" w:rsidR="00AB14BD" w:rsidRPr="00AB14BD" w:rsidRDefault="00AB14BD" w:rsidP="00AB14BD">
            <w:pPr>
              <w:keepNext/>
              <w:keepLines/>
              <w:spacing w:after="0"/>
              <w:rPr>
                <w:i/>
                <w:sz w:val="18"/>
                <w:szCs w:val="20"/>
              </w:rPr>
            </w:pPr>
            <w:r w:rsidRPr="00AB14BD">
              <w:rPr>
                <w:i/>
                <w:sz w:val="18"/>
                <w:szCs w:val="20"/>
              </w:rPr>
              <w:t xml:space="preserve">  Propane consumption trajectory with fuel switching</w:t>
            </w:r>
          </w:p>
        </w:tc>
        <w:tc>
          <w:tcPr>
            <w:tcW w:w="1080" w:type="dxa"/>
            <w:vMerge/>
            <w:shd w:val="clear" w:color="auto" w:fill="BFBFBF" w:themeFill="background1" w:themeFillShade="BF"/>
            <w:vAlign w:val="center"/>
          </w:tcPr>
          <w:p w14:paraId="1DD0EB66" w14:textId="77777777" w:rsidR="00AB14BD" w:rsidRPr="00AB14BD" w:rsidRDefault="00AB14BD" w:rsidP="00AB14BD">
            <w:pPr>
              <w:keepNext/>
              <w:keepLines/>
              <w:spacing w:after="0"/>
              <w:jc w:val="center"/>
              <w:rPr>
                <w:sz w:val="18"/>
                <w:szCs w:val="20"/>
              </w:rPr>
            </w:pPr>
          </w:p>
        </w:tc>
        <w:tc>
          <w:tcPr>
            <w:tcW w:w="1394" w:type="dxa"/>
            <w:vMerge/>
            <w:shd w:val="clear" w:color="auto" w:fill="BFBFBF" w:themeFill="background1" w:themeFillShade="BF"/>
            <w:vAlign w:val="center"/>
          </w:tcPr>
          <w:p w14:paraId="72E36664" w14:textId="77777777" w:rsidR="00AB14BD" w:rsidRPr="00AB14BD" w:rsidRDefault="00AB14BD" w:rsidP="00AB14BD">
            <w:pPr>
              <w:keepNext/>
              <w:keepLines/>
              <w:spacing w:after="0"/>
              <w:jc w:val="center"/>
              <w:rPr>
                <w:i/>
                <w:sz w:val="18"/>
                <w:szCs w:val="20"/>
              </w:rPr>
            </w:pPr>
          </w:p>
        </w:tc>
        <w:tc>
          <w:tcPr>
            <w:tcW w:w="990" w:type="dxa"/>
            <w:tcBorders>
              <w:top w:val="single" w:sz="4" w:space="0" w:color="000000" w:themeColor="text1"/>
              <w:bottom w:val="single" w:sz="4" w:space="0" w:color="000000" w:themeColor="text1"/>
            </w:tcBorders>
            <w:shd w:val="clear" w:color="auto" w:fill="BFBFBF" w:themeFill="background1" w:themeFillShade="BF"/>
            <w:vAlign w:val="center"/>
          </w:tcPr>
          <w:p w14:paraId="18DC0F54" w14:textId="77777777" w:rsidR="00AB14BD" w:rsidRPr="00AB14BD" w:rsidRDefault="00AB14BD" w:rsidP="00AB14BD">
            <w:pPr>
              <w:keepNext/>
              <w:keepLines/>
              <w:spacing w:after="0"/>
              <w:jc w:val="center"/>
              <w:rPr>
                <w:i/>
                <w:sz w:val="18"/>
                <w:szCs w:val="20"/>
              </w:rPr>
            </w:pPr>
            <w:r w:rsidRPr="00AB14BD">
              <w:rPr>
                <w:i/>
                <w:sz w:val="18"/>
                <w:szCs w:val="20"/>
              </w:rPr>
              <w:t>28.3</w:t>
            </w:r>
          </w:p>
        </w:tc>
        <w:tc>
          <w:tcPr>
            <w:tcW w:w="990" w:type="dxa"/>
            <w:tcBorders>
              <w:top w:val="single" w:sz="4" w:space="0" w:color="000000" w:themeColor="text1"/>
              <w:bottom w:val="single" w:sz="4" w:space="0" w:color="000000" w:themeColor="text1"/>
            </w:tcBorders>
            <w:shd w:val="clear" w:color="auto" w:fill="BFBFBF" w:themeFill="background1" w:themeFillShade="BF"/>
            <w:vAlign w:val="center"/>
          </w:tcPr>
          <w:p w14:paraId="4D44CCE0" w14:textId="77777777" w:rsidR="00AB14BD" w:rsidRPr="00AB14BD" w:rsidRDefault="00AB14BD" w:rsidP="00AB14BD">
            <w:pPr>
              <w:keepNext/>
              <w:keepLines/>
              <w:spacing w:after="0"/>
              <w:jc w:val="center"/>
              <w:rPr>
                <w:i/>
                <w:sz w:val="18"/>
                <w:szCs w:val="20"/>
              </w:rPr>
            </w:pPr>
            <w:r w:rsidRPr="00AB14BD">
              <w:rPr>
                <w:i/>
                <w:sz w:val="18"/>
                <w:szCs w:val="20"/>
              </w:rPr>
              <w:t>22.3</w:t>
            </w:r>
          </w:p>
        </w:tc>
        <w:tc>
          <w:tcPr>
            <w:tcW w:w="990" w:type="dxa"/>
            <w:tcBorders>
              <w:top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63749287" w14:textId="77777777" w:rsidR="00AB14BD" w:rsidRPr="00AB14BD" w:rsidRDefault="00AB14BD" w:rsidP="00AB14BD">
            <w:pPr>
              <w:keepNext/>
              <w:keepLines/>
              <w:spacing w:after="0"/>
              <w:jc w:val="center"/>
              <w:rPr>
                <w:i/>
                <w:sz w:val="18"/>
                <w:szCs w:val="20"/>
              </w:rPr>
            </w:pPr>
            <w:r w:rsidRPr="00AB14BD">
              <w:rPr>
                <w:i/>
                <w:sz w:val="18"/>
                <w:szCs w:val="20"/>
              </w:rPr>
              <w:t>16.1</w:t>
            </w:r>
          </w:p>
        </w:tc>
        <w:tc>
          <w:tcPr>
            <w:tcW w:w="990" w:type="dxa"/>
            <w:tcBorders>
              <w:top w:val="single" w:sz="4" w:space="0" w:color="000000" w:themeColor="text1"/>
              <w:bottom w:val="single" w:sz="4" w:space="0" w:color="000000" w:themeColor="text1"/>
            </w:tcBorders>
            <w:shd w:val="clear" w:color="auto" w:fill="BFBFBF" w:themeFill="background1" w:themeFillShade="BF"/>
            <w:vAlign w:val="center"/>
          </w:tcPr>
          <w:p w14:paraId="0A262721" w14:textId="77777777" w:rsidR="00AB14BD" w:rsidRPr="00AB14BD" w:rsidRDefault="00AB14BD" w:rsidP="00AB14BD">
            <w:pPr>
              <w:keepNext/>
              <w:keepLines/>
              <w:spacing w:after="0"/>
              <w:jc w:val="center"/>
              <w:rPr>
                <w:i/>
                <w:sz w:val="18"/>
                <w:szCs w:val="20"/>
              </w:rPr>
            </w:pPr>
            <w:r w:rsidRPr="00AB14BD">
              <w:rPr>
                <w:i/>
                <w:sz w:val="18"/>
                <w:szCs w:val="20"/>
              </w:rPr>
              <w:t>9.8</w:t>
            </w:r>
          </w:p>
        </w:tc>
        <w:tc>
          <w:tcPr>
            <w:tcW w:w="1527" w:type="dxa"/>
            <w:tcBorders>
              <w:top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74B7C78B" w14:textId="77777777" w:rsidR="00AB14BD" w:rsidRPr="00AB14BD" w:rsidRDefault="00AB14BD" w:rsidP="00AB14BD">
            <w:pPr>
              <w:keepNext/>
              <w:keepLines/>
              <w:spacing w:after="0"/>
              <w:jc w:val="center"/>
              <w:rPr>
                <w:i/>
                <w:sz w:val="18"/>
                <w:szCs w:val="20"/>
              </w:rPr>
            </w:pPr>
            <w:r w:rsidRPr="00AB14BD">
              <w:rPr>
                <w:i/>
                <w:sz w:val="18"/>
                <w:szCs w:val="20"/>
              </w:rPr>
              <w:t>- 140.8</w:t>
            </w:r>
          </w:p>
        </w:tc>
      </w:tr>
      <w:tr w:rsidR="00AB14BD" w14:paraId="6E0F46B6" w14:textId="77777777" w:rsidTr="00C92849">
        <w:trPr>
          <w:trHeight w:val="288"/>
          <w:jc w:val="center"/>
        </w:trPr>
        <w:tc>
          <w:tcPr>
            <w:tcW w:w="526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481CDC65" w14:textId="77777777" w:rsidR="00AB14BD" w:rsidRPr="00AB14BD" w:rsidRDefault="00AB14BD" w:rsidP="00AB14BD">
            <w:pPr>
              <w:keepNext/>
              <w:keepLines/>
              <w:spacing w:after="0"/>
              <w:rPr>
                <w:i/>
                <w:sz w:val="18"/>
                <w:szCs w:val="20"/>
              </w:rPr>
            </w:pPr>
            <w:r w:rsidRPr="00AB14BD">
              <w:rPr>
                <w:i/>
                <w:sz w:val="18"/>
                <w:szCs w:val="20"/>
              </w:rPr>
              <w:t xml:space="preserve">  Potential propane savings due to program incentives</w:t>
            </w:r>
          </w:p>
        </w:tc>
        <w:tc>
          <w:tcPr>
            <w:tcW w:w="1080" w:type="dxa"/>
            <w:vMerge/>
            <w:shd w:val="clear" w:color="auto" w:fill="BFBFBF" w:themeFill="background1" w:themeFillShade="BF"/>
            <w:vAlign w:val="center"/>
          </w:tcPr>
          <w:p w14:paraId="163FDDAB" w14:textId="77777777" w:rsidR="00AB14BD" w:rsidRPr="00AB14BD" w:rsidRDefault="00AB14BD" w:rsidP="00AB14BD">
            <w:pPr>
              <w:keepNext/>
              <w:keepLines/>
              <w:spacing w:after="0"/>
              <w:jc w:val="center"/>
              <w:rPr>
                <w:sz w:val="18"/>
                <w:szCs w:val="20"/>
              </w:rPr>
            </w:pPr>
          </w:p>
        </w:tc>
        <w:tc>
          <w:tcPr>
            <w:tcW w:w="1394" w:type="dxa"/>
            <w:vMerge/>
            <w:shd w:val="clear" w:color="auto" w:fill="BFBFBF" w:themeFill="background1" w:themeFillShade="BF"/>
            <w:vAlign w:val="center"/>
          </w:tcPr>
          <w:p w14:paraId="2B27ADD5" w14:textId="77777777" w:rsidR="00AB14BD" w:rsidRPr="00AB14BD" w:rsidRDefault="00AB14BD" w:rsidP="00AB14BD">
            <w:pPr>
              <w:keepNext/>
              <w:keepLines/>
              <w:spacing w:after="0"/>
              <w:jc w:val="center"/>
              <w:rPr>
                <w:i/>
                <w:sz w:val="18"/>
                <w:szCs w:val="20"/>
              </w:rPr>
            </w:pPr>
          </w:p>
        </w:tc>
        <w:tc>
          <w:tcPr>
            <w:tcW w:w="990" w:type="dxa"/>
            <w:tcBorders>
              <w:top w:val="single" w:sz="4" w:space="0" w:color="000000" w:themeColor="text1"/>
              <w:bottom w:val="single" w:sz="4" w:space="0" w:color="000000" w:themeColor="text1"/>
            </w:tcBorders>
            <w:shd w:val="clear" w:color="auto" w:fill="BFBFBF" w:themeFill="background1" w:themeFillShade="BF"/>
            <w:vAlign w:val="center"/>
          </w:tcPr>
          <w:p w14:paraId="2C448D83" w14:textId="77777777" w:rsidR="00AB14BD" w:rsidRPr="00AB14BD" w:rsidRDefault="00AB14BD" w:rsidP="00AB14BD">
            <w:pPr>
              <w:keepNext/>
              <w:keepLines/>
              <w:spacing w:after="0"/>
              <w:jc w:val="center"/>
              <w:rPr>
                <w:i/>
                <w:sz w:val="18"/>
                <w:szCs w:val="20"/>
              </w:rPr>
            </w:pPr>
            <w:r w:rsidRPr="00AB14BD">
              <w:rPr>
                <w:i/>
                <w:sz w:val="18"/>
                <w:szCs w:val="20"/>
              </w:rPr>
              <w:t>1.2</w:t>
            </w:r>
          </w:p>
        </w:tc>
        <w:tc>
          <w:tcPr>
            <w:tcW w:w="990" w:type="dxa"/>
            <w:tcBorders>
              <w:top w:val="single" w:sz="4" w:space="0" w:color="000000" w:themeColor="text1"/>
              <w:bottom w:val="single" w:sz="4" w:space="0" w:color="000000" w:themeColor="text1"/>
            </w:tcBorders>
            <w:shd w:val="clear" w:color="auto" w:fill="BFBFBF" w:themeFill="background1" w:themeFillShade="BF"/>
            <w:vAlign w:val="center"/>
          </w:tcPr>
          <w:p w14:paraId="5CF598DB" w14:textId="77777777" w:rsidR="00AB14BD" w:rsidRPr="00AB14BD" w:rsidRDefault="00AB14BD" w:rsidP="00AB14BD">
            <w:pPr>
              <w:keepNext/>
              <w:keepLines/>
              <w:spacing w:after="0"/>
              <w:jc w:val="center"/>
              <w:rPr>
                <w:i/>
                <w:sz w:val="18"/>
                <w:szCs w:val="20"/>
              </w:rPr>
            </w:pPr>
            <w:r w:rsidRPr="00AB14BD">
              <w:rPr>
                <w:i/>
                <w:sz w:val="18"/>
                <w:szCs w:val="20"/>
              </w:rPr>
              <w:t>2.4</w:t>
            </w:r>
          </w:p>
        </w:tc>
        <w:tc>
          <w:tcPr>
            <w:tcW w:w="990" w:type="dxa"/>
            <w:tcBorders>
              <w:top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54F5E139" w14:textId="77777777" w:rsidR="00AB14BD" w:rsidRPr="00AB14BD" w:rsidRDefault="00AB14BD" w:rsidP="00AB14BD">
            <w:pPr>
              <w:keepNext/>
              <w:keepLines/>
              <w:spacing w:after="0"/>
              <w:jc w:val="center"/>
              <w:rPr>
                <w:i/>
                <w:sz w:val="18"/>
                <w:szCs w:val="20"/>
              </w:rPr>
            </w:pPr>
            <w:r w:rsidRPr="00AB14BD">
              <w:rPr>
                <w:i/>
                <w:sz w:val="18"/>
                <w:szCs w:val="20"/>
              </w:rPr>
              <w:t>3.6</w:t>
            </w:r>
          </w:p>
        </w:tc>
        <w:tc>
          <w:tcPr>
            <w:tcW w:w="990" w:type="dxa"/>
            <w:tcBorders>
              <w:top w:val="single" w:sz="4" w:space="0" w:color="000000" w:themeColor="text1"/>
              <w:bottom w:val="single" w:sz="4" w:space="0" w:color="000000" w:themeColor="text1"/>
            </w:tcBorders>
            <w:shd w:val="clear" w:color="auto" w:fill="BFBFBF" w:themeFill="background1" w:themeFillShade="BF"/>
            <w:vAlign w:val="center"/>
          </w:tcPr>
          <w:p w14:paraId="77CE3579" w14:textId="77777777" w:rsidR="00AB14BD" w:rsidRPr="00AB14BD" w:rsidRDefault="00AB14BD" w:rsidP="00AB14BD">
            <w:pPr>
              <w:keepNext/>
              <w:keepLines/>
              <w:spacing w:after="0"/>
              <w:jc w:val="center"/>
              <w:rPr>
                <w:i/>
                <w:sz w:val="18"/>
                <w:szCs w:val="20"/>
              </w:rPr>
            </w:pPr>
            <w:r w:rsidRPr="00AB14BD">
              <w:rPr>
                <w:i/>
                <w:sz w:val="18"/>
                <w:szCs w:val="20"/>
              </w:rPr>
              <w:t>4.8</w:t>
            </w:r>
          </w:p>
        </w:tc>
        <w:tc>
          <w:tcPr>
            <w:tcW w:w="1527" w:type="dxa"/>
            <w:tcBorders>
              <w:top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3CE66722" w14:textId="77777777" w:rsidR="00AB14BD" w:rsidRPr="00AB14BD" w:rsidRDefault="00AB14BD" w:rsidP="00AB14BD">
            <w:pPr>
              <w:keepNext/>
              <w:keepLines/>
              <w:spacing w:after="0"/>
              <w:jc w:val="center"/>
              <w:rPr>
                <w:i/>
                <w:sz w:val="18"/>
                <w:szCs w:val="20"/>
              </w:rPr>
            </w:pPr>
            <w:r w:rsidRPr="00AB14BD">
              <w:rPr>
                <w:i/>
                <w:sz w:val="18"/>
                <w:szCs w:val="20"/>
              </w:rPr>
              <w:t>- 26.2</w:t>
            </w:r>
          </w:p>
        </w:tc>
      </w:tr>
      <w:tr w:rsidR="00AB14BD" w14:paraId="6C13E4F9" w14:textId="77777777" w:rsidTr="00017F33">
        <w:trPr>
          <w:trHeight w:val="288"/>
          <w:jc w:val="center"/>
        </w:trPr>
        <w:tc>
          <w:tcPr>
            <w:tcW w:w="526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B189945" w14:textId="77777777" w:rsidR="00AB14BD" w:rsidRPr="00AB14BD" w:rsidRDefault="00AB14BD" w:rsidP="00AB14BD">
            <w:pPr>
              <w:keepNext/>
              <w:keepLines/>
              <w:spacing w:after="0"/>
              <w:rPr>
                <w:sz w:val="18"/>
                <w:szCs w:val="20"/>
              </w:rPr>
            </w:pPr>
            <w:r w:rsidRPr="00AB14BD">
              <w:rPr>
                <w:sz w:val="18"/>
                <w:szCs w:val="20"/>
              </w:rPr>
              <w:t>Natural gas consumption, existing trajectory (million ccf)</w:t>
            </w:r>
          </w:p>
        </w:tc>
        <w:tc>
          <w:tcPr>
            <w:tcW w:w="1080" w:type="dxa"/>
            <w:vMerge w:val="restart"/>
            <w:vAlign w:val="center"/>
          </w:tcPr>
          <w:p w14:paraId="59BCCE4C" w14:textId="77777777" w:rsidR="00AB14BD" w:rsidRPr="00AB14BD" w:rsidRDefault="00AB14BD" w:rsidP="00AB14BD">
            <w:pPr>
              <w:keepNext/>
              <w:keepLines/>
              <w:spacing w:after="0"/>
              <w:jc w:val="center"/>
              <w:rPr>
                <w:sz w:val="18"/>
                <w:szCs w:val="20"/>
              </w:rPr>
            </w:pPr>
            <w:r w:rsidRPr="00AB14BD">
              <w:rPr>
                <w:sz w:val="18"/>
                <w:szCs w:val="20"/>
              </w:rPr>
              <w:t>326.8</w:t>
            </w:r>
          </w:p>
        </w:tc>
        <w:tc>
          <w:tcPr>
            <w:tcW w:w="1394" w:type="dxa"/>
            <w:vMerge w:val="restart"/>
            <w:vAlign w:val="center"/>
          </w:tcPr>
          <w:p w14:paraId="3B431878" w14:textId="77777777" w:rsidR="00AB14BD" w:rsidRPr="00AB14BD" w:rsidRDefault="00AB14BD" w:rsidP="00AB14BD">
            <w:pPr>
              <w:keepNext/>
              <w:keepLines/>
              <w:spacing w:after="0"/>
              <w:jc w:val="center"/>
              <w:rPr>
                <w:i/>
                <w:sz w:val="18"/>
                <w:szCs w:val="20"/>
              </w:rPr>
            </w:pPr>
            <w:r w:rsidRPr="00AB14BD">
              <w:rPr>
                <w:i/>
                <w:sz w:val="18"/>
                <w:szCs w:val="20"/>
              </w:rPr>
              <w:t>0.7%</w:t>
            </w:r>
          </w:p>
        </w:tc>
        <w:tc>
          <w:tcPr>
            <w:tcW w:w="990" w:type="dxa"/>
            <w:tcBorders>
              <w:top w:val="single" w:sz="4" w:space="0" w:color="000000" w:themeColor="text1"/>
              <w:bottom w:val="single" w:sz="4" w:space="0" w:color="000000" w:themeColor="text1"/>
            </w:tcBorders>
            <w:vAlign w:val="center"/>
          </w:tcPr>
          <w:p w14:paraId="180E8BCA" w14:textId="77777777" w:rsidR="00AB14BD" w:rsidRPr="00AB14BD" w:rsidRDefault="00AB14BD" w:rsidP="00AB14BD">
            <w:pPr>
              <w:keepNext/>
              <w:keepLines/>
              <w:spacing w:after="0"/>
              <w:jc w:val="center"/>
              <w:rPr>
                <w:sz w:val="18"/>
                <w:szCs w:val="20"/>
              </w:rPr>
            </w:pPr>
            <w:r w:rsidRPr="00AB14BD">
              <w:rPr>
                <w:sz w:val="18"/>
                <w:szCs w:val="20"/>
              </w:rPr>
              <w:t>330.3</w:t>
            </w:r>
          </w:p>
        </w:tc>
        <w:tc>
          <w:tcPr>
            <w:tcW w:w="990" w:type="dxa"/>
            <w:tcBorders>
              <w:top w:val="single" w:sz="4" w:space="0" w:color="000000" w:themeColor="text1"/>
              <w:bottom w:val="single" w:sz="4" w:space="0" w:color="000000" w:themeColor="text1"/>
            </w:tcBorders>
            <w:vAlign w:val="center"/>
          </w:tcPr>
          <w:p w14:paraId="01156FD8" w14:textId="77777777" w:rsidR="00AB14BD" w:rsidRPr="00AB14BD" w:rsidRDefault="00AB14BD" w:rsidP="00AB14BD">
            <w:pPr>
              <w:keepNext/>
              <w:keepLines/>
              <w:spacing w:after="0"/>
              <w:jc w:val="center"/>
              <w:rPr>
                <w:sz w:val="18"/>
                <w:szCs w:val="20"/>
              </w:rPr>
            </w:pPr>
            <w:r w:rsidRPr="00AB14BD">
              <w:rPr>
                <w:sz w:val="18"/>
                <w:szCs w:val="20"/>
              </w:rPr>
              <w:t>336.1</w:t>
            </w:r>
          </w:p>
        </w:tc>
        <w:tc>
          <w:tcPr>
            <w:tcW w:w="990" w:type="dxa"/>
            <w:tcBorders>
              <w:top w:val="single" w:sz="4" w:space="0" w:color="000000" w:themeColor="text1"/>
              <w:bottom w:val="single" w:sz="4" w:space="0" w:color="000000" w:themeColor="text1"/>
              <w:right w:val="single" w:sz="4" w:space="0" w:color="000000" w:themeColor="text1"/>
            </w:tcBorders>
            <w:vAlign w:val="center"/>
          </w:tcPr>
          <w:p w14:paraId="2E70726F" w14:textId="77777777" w:rsidR="00AB14BD" w:rsidRPr="00AB14BD" w:rsidRDefault="00AB14BD" w:rsidP="00AB14BD">
            <w:pPr>
              <w:keepNext/>
              <w:keepLines/>
              <w:spacing w:after="0"/>
              <w:jc w:val="center"/>
              <w:rPr>
                <w:sz w:val="18"/>
                <w:szCs w:val="20"/>
              </w:rPr>
            </w:pPr>
            <w:r w:rsidRPr="00AB14BD">
              <w:rPr>
                <w:sz w:val="18"/>
                <w:szCs w:val="20"/>
              </w:rPr>
              <w:t>342.0</w:t>
            </w:r>
          </w:p>
        </w:tc>
        <w:tc>
          <w:tcPr>
            <w:tcW w:w="990" w:type="dxa"/>
            <w:tcBorders>
              <w:top w:val="single" w:sz="4" w:space="0" w:color="000000" w:themeColor="text1"/>
              <w:bottom w:val="single" w:sz="4" w:space="0" w:color="000000" w:themeColor="text1"/>
            </w:tcBorders>
            <w:vAlign w:val="center"/>
          </w:tcPr>
          <w:p w14:paraId="2AE2D24F" w14:textId="77777777" w:rsidR="00AB14BD" w:rsidRPr="00AB14BD" w:rsidRDefault="00AB14BD" w:rsidP="00AB14BD">
            <w:pPr>
              <w:keepNext/>
              <w:keepLines/>
              <w:spacing w:after="0"/>
              <w:jc w:val="center"/>
              <w:rPr>
                <w:sz w:val="18"/>
                <w:szCs w:val="20"/>
              </w:rPr>
            </w:pPr>
            <w:r w:rsidRPr="00AB14BD">
              <w:rPr>
                <w:sz w:val="18"/>
                <w:szCs w:val="20"/>
              </w:rPr>
              <w:t>348.0</w:t>
            </w:r>
          </w:p>
        </w:tc>
        <w:tc>
          <w:tcPr>
            <w:tcW w:w="1527" w:type="dxa"/>
            <w:tcBorders>
              <w:top w:val="single" w:sz="4" w:space="0" w:color="000000" w:themeColor="text1"/>
              <w:bottom w:val="single" w:sz="4" w:space="0" w:color="000000" w:themeColor="text1"/>
              <w:right w:val="single" w:sz="4" w:space="0" w:color="auto"/>
            </w:tcBorders>
            <w:vAlign w:val="center"/>
          </w:tcPr>
          <w:p w14:paraId="5AAAF8B4" w14:textId="77777777" w:rsidR="00AB14BD" w:rsidRPr="00AB14BD" w:rsidRDefault="00AB14BD" w:rsidP="00AB14BD">
            <w:pPr>
              <w:keepNext/>
              <w:keepLines/>
              <w:spacing w:after="0"/>
              <w:jc w:val="center"/>
              <w:rPr>
                <w:sz w:val="18"/>
                <w:szCs w:val="20"/>
              </w:rPr>
            </w:pPr>
            <w:r w:rsidRPr="00AB14BD">
              <w:rPr>
                <w:sz w:val="18"/>
                <w:szCs w:val="20"/>
              </w:rPr>
              <w:t>-</w:t>
            </w:r>
          </w:p>
        </w:tc>
      </w:tr>
      <w:tr w:rsidR="00AB14BD" w14:paraId="325D9053" w14:textId="77777777" w:rsidTr="00017F33">
        <w:trPr>
          <w:trHeight w:val="288"/>
          <w:jc w:val="center"/>
        </w:trPr>
        <w:tc>
          <w:tcPr>
            <w:tcW w:w="526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24402DE" w14:textId="77777777" w:rsidR="00AB14BD" w:rsidRPr="00AB14BD" w:rsidRDefault="00AB14BD" w:rsidP="00AB14BD">
            <w:pPr>
              <w:keepNext/>
              <w:keepLines/>
              <w:spacing w:after="0"/>
              <w:rPr>
                <w:i/>
                <w:sz w:val="18"/>
                <w:szCs w:val="20"/>
              </w:rPr>
            </w:pPr>
            <w:r w:rsidRPr="00AB14BD">
              <w:rPr>
                <w:i/>
                <w:sz w:val="18"/>
                <w:szCs w:val="20"/>
              </w:rPr>
              <w:t xml:space="preserve">  Natural gas consumption trajectory with fuel switching</w:t>
            </w:r>
          </w:p>
        </w:tc>
        <w:tc>
          <w:tcPr>
            <w:tcW w:w="1080" w:type="dxa"/>
            <w:vMerge/>
            <w:vAlign w:val="center"/>
          </w:tcPr>
          <w:p w14:paraId="162ED365" w14:textId="77777777" w:rsidR="00AB14BD" w:rsidRPr="00AB14BD" w:rsidRDefault="00AB14BD" w:rsidP="00AB14BD">
            <w:pPr>
              <w:keepNext/>
              <w:keepLines/>
              <w:spacing w:after="0"/>
              <w:jc w:val="center"/>
              <w:rPr>
                <w:sz w:val="18"/>
                <w:szCs w:val="20"/>
              </w:rPr>
            </w:pPr>
          </w:p>
        </w:tc>
        <w:tc>
          <w:tcPr>
            <w:tcW w:w="1394" w:type="dxa"/>
            <w:vMerge/>
            <w:vAlign w:val="center"/>
          </w:tcPr>
          <w:p w14:paraId="1D708DE1" w14:textId="77777777" w:rsidR="00AB14BD" w:rsidRPr="00AB14BD" w:rsidRDefault="00AB14BD" w:rsidP="00AB14BD">
            <w:pPr>
              <w:keepNext/>
              <w:keepLines/>
              <w:spacing w:after="0"/>
              <w:jc w:val="center"/>
              <w:rPr>
                <w:i/>
                <w:sz w:val="18"/>
                <w:szCs w:val="20"/>
              </w:rPr>
            </w:pPr>
          </w:p>
        </w:tc>
        <w:tc>
          <w:tcPr>
            <w:tcW w:w="990" w:type="dxa"/>
            <w:tcBorders>
              <w:top w:val="single" w:sz="4" w:space="0" w:color="000000" w:themeColor="text1"/>
              <w:bottom w:val="single" w:sz="4" w:space="0" w:color="000000" w:themeColor="text1"/>
            </w:tcBorders>
            <w:vAlign w:val="center"/>
          </w:tcPr>
          <w:p w14:paraId="01FFAF75" w14:textId="77777777" w:rsidR="00AB14BD" w:rsidRPr="00AB14BD" w:rsidRDefault="00AB14BD" w:rsidP="00AB14BD">
            <w:pPr>
              <w:keepNext/>
              <w:keepLines/>
              <w:spacing w:after="0"/>
              <w:jc w:val="center"/>
              <w:rPr>
                <w:i/>
                <w:sz w:val="18"/>
                <w:szCs w:val="20"/>
              </w:rPr>
            </w:pPr>
            <w:r w:rsidRPr="00AB14BD">
              <w:rPr>
                <w:i/>
                <w:sz w:val="18"/>
                <w:szCs w:val="20"/>
              </w:rPr>
              <w:t>397.6</w:t>
            </w:r>
          </w:p>
        </w:tc>
        <w:tc>
          <w:tcPr>
            <w:tcW w:w="990" w:type="dxa"/>
            <w:tcBorders>
              <w:top w:val="single" w:sz="4" w:space="0" w:color="000000" w:themeColor="text1"/>
              <w:bottom w:val="single" w:sz="4" w:space="0" w:color="000000" w:themeColor="text1"/>
            </w:tcBorders>
            <w:vAlign w:val="center"/>
          </w:tcPr>
          <w:p w14:paraId="48FAD041" w14:textId="77777777" w:rsidR="00AB14BD" w:rsidRPr="00AB14BD" w:rsidRDefault="00AB14BD" w:rsidP="00AB14BD">
            <w:pPr>
              <w:keepNext/>
              <w:keepLines/>
              <w:spacing w:after="0"/>
              <w:jc w:val="center"/>
              <w:rPr>
                <w:i/>
                <w:sz w:val="18"/>
                <w:szCs w:val="20"/>
              </w:rPr>
            </w:pPr>
            <w:r w:rsidRPr="00AB14BD">
              <w:rPr>
                <w:i/>
                <w:sz w:val="18"/>
                <w:szCs w:val="20"/>
              </w:rPr>
              <w:t>473.2</w:t>
            </w:r>
          </w:p>
        </w:tc>
        <w:tc>
          <w:tcPr>
            <w:tcW w:w="990" w:type="dxa"/>
            <w:tcBorders>
              <w:top w:val="single" w:sz="4" w:space="0" w:color="000000" w:themeColor="text1"/>
              <w:bottom w:val="single" w:sz="4" w:space="0" w:color="000000" w:themeColor="text1"/>
              <w:right w:val="single" w:sz="4" w:space="0" w:color="000000" w:themeColor="text1"/>
            </w:tcBorders>
            <w:vAlign w:val="center"/>
          </w:tcPr>
          <w:p w14:paraId="591422A8" w14:textId="77777777" w:rsidR="00AB14BD" w:rsidRPr="00AB14BD" w:rsidRDefault="00AB14BD" w:rsidP="00AB14BD">
            <w:pPr>
              <w:keepNext/>
              <w:keepLines/>
              <w:spacing w:after="0"/>
              <w:jc w:val="center"/>
              <w:rPr>
                <w:i/>
                <w:sz w:val="18"/>
                <w:szCs w:val="20"/>
              </w:rPr>
            </w:pPr>
            <w:r w:rsidRPr="00AB14BD">
              <w:rPr>
                <w:i/>
                <w:sz w:val="18"/>
                <w:szCs w:val="20"/>
              </w:rPr>
              <w:t>551.2</w:t>
            </w:r>
          </w:p>
        </w:tc>
        <w:tc>
          <w:tcPr>
            <w:tcW w:w="990" w:type="dxa"/>
            <w:tcBorders>
              <w:top w:val="single" w:sz="4" w:space="0" w:color="000000" w:themeColor="text1"/>
              <w:bottom w:val="single" w:sz="4" w:space="0" w:color="000000" w:themeColor="text1"/>
            </w:tcBorders>
            <w:vAlign w:val="center"/>
          </w:tcPr>
          <w:p w14:paraId="74827E17" w14:textId="77777777" w:rsidR="00AB14BD" w:rsidRPr="00AB14BD" w:rsidRDefault="00AB14BD" w:rsidP="00AB14BD">
            <w:pPr>
              <w:keepNext/>
              <w:keepLines/>
              <w:spacing w:after="0"/>
              <w:jc w:val="center"/>
              <w:rPr>
                <w:i/>
                <w:sz w:val="18"/>
                <w:szCs w:val="20"/>
              </w:rPr>
            </w:pPr>
            <w:r w:rsidRPr="00AB14BD">
              <w:rPr>
                <w:i/>
                <w:sz w:val="18"/>
                <w:szCs w:val="20"/>
              </w:rPr>
              <w:t>631.9</w:t>
            </w:r>
          </w:p>
        </w:tc>
        <w:tc>
          <w:tcPr>
            <w:tcW w:w="1527" w:type="dxa"/>
            <w:tcBorders>
              <w:top w:val="single" w:sz="4" w:space="0" w:color="000000" w:themeColor="text1"/>
              <w:bottom w:val="single" w:sz="4" w:space="0" w:color="000000" w:themeColor="text1"/>
              <w:right w:val="single" w:sz="4" w:space="0" w:color="auto"/>
            </w:tcBorders>
            <w:vAlign w:val="center"/>
          </w:tcPr>
          <w:p w14:paraId="4D2C2A3F" w14:textId="77777777" w:rsidR="00AB14BD" w:rsidRPr="00AB14BD" w:rsidRDefault="00AB14BD" w:rsidP="00AB14BD">
            <w:pPr>
              <w:keepNext/>
              <w:keepLines/>
              <w:spacing w:after="0"/>
              <w:jc w:val="center"/>
              <w:rPr>
                <w:i/>
                <w:sz w:val="18"/>
                <w:szCs w:val="20"/>
              </w:rPr>
            </w:pPr>
            <w:r w:rsidRPr="00AB14BD">
              <w:rPr>
                <w:i/>
                <w:sz w:val="18"/>
                <w:szCs w:val="20"/>
              </w:rPr>
              <w:t>+ 1,529.1</w:t>
            </w:r>
          </w:p>
        </w:tc>
      </w:tr>
      <w:tr w:rsidR="00AB14BD" w14:paraId="0C0EE953" w14:textId="77777777" w:rsidTr="00017F33">
        <w:trPr>
          <w:trHeight w:val="288"/>
          <w:jc w:val="center"/>
        </w:trPr>
        <w:tc>
          <w:tcPr>
            <w:tcW w:w="526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A768709" w14:textId="77777777" w:rsidR="00AB14BD" w:rsidRPr="00AB14BD" w:rsidRDefault="00AB14BD" w:rsidP="00AB14BD">
            <w:pPr>
              <w:keepNext/>
              <w:keepLines/>
              <w:spacing w:after="0"/>
              <w:rPr>
                <w:i/>
                <w:sz w:val="18"/>
                <w:szCs w:val="20"/>
              </w:rPr>
            </w:pPr>
            <w:r w:rsidRPr="00AB14BD">
              <w:rPr>
                <w:i/>
                <w:sz w:val="18"/>
                <w:szCs w:val="20"/>
              </w:rPr>
              <w:t xml:space="preserve">  Potential gas savings due to program incentives</w:t>
            </w:r>
          </w:p>
        </w:tc>
        <w:tc>
          <w:tcPr>
            <w:tcW w:w="1080" w:type="dxa"/>
            <w:vMerge/>
            <w:tcBorders>
              <w:bottom w:val="single" w:sz="4" w:space="0" w:color="000000" w:themeColor="text1"/>
            </w:tcBorders>
            <w:vAlign w:val="center"/>
          </w:tcPr>
          <w:p w14:paraId="402737AA" w14:textId="77777777" w:rsidR="00AB14BD" w:rsidRPr="00AB14BD" w:rsidRDefault="00AB14BD" w:rsidP="00AB14BD">
            <w:pPr>
              <w:keepNext/>
              <w:keepLines/>
              <w:spacing w:after="0"/>
              <w:jc w:val="center"/>
              <w:rPr>
                <w:i/>
                <w:sz w:val="18"/>
                <w:szCs w:val="20"/>
              </w:rPr>
            </w:pPr>
          </w:p>
        </w:tc>
        <w:tc>
          <w:tcPr>
            <w:tcW w:w="1394" w:type="dxa"/>
            <w:vMerge/>
            <w:tcBorders>
              <w:bottom w:val="single" w:sz="4" w:space="0" w:color="000000" w:themeColor="text1"/>
            </w:tcBorders>
            <w:vAlign w:val="center"/>
          </w:tcPr>
          <w:p w14:paraId="3B8F54F7" w14:textId="77777777" w:rsidR="00AB14BD" w:rsidRPr="00AB14BD" w:rsidRDefault="00AB14BD" w:rsidP="00AB14BD">
            <w:pPr>
              <w:keepNext/>
              <w:keepLines/>
              <w:spacing w:after="0"/>
              <w:jc w:val="center"/>
              <w:rPr>
                <w:i/>
                <w:sz w:val="18"/>
                <w:szCs w:val="20"/>
              </w:rPr>
            </w:pPr>
          </w:p>
        </w:tc>
        <w:tc>
          <w:tcPr>
            <w:tcW w:w="990" w:type="dxa"/>
            <w:tcBorders>
              <w:top w:val="single" w:sz="4" w:space="0" w:color="000000" w:themeColor="text1"/>
              <w:bottom w:val="single" w:sz="4" w:space="0" w:color="000000" w:themeColor="text1"/>
            </w:tcBorders>
            <w:vAlign w:val="center"/>
          </w:tcPr>
          <w:p w14:paraId="04BB6A44" w14:textId="77777777" w:rsidR="00AB14BD" w:rsidRPr="00AB14BD" w:rsidRDefault="00AB14BD" w:rsidP="00AB14BD">
            <w:pPr>
              <w:keepNext/>
              <w:keepLines/>
              <w:spacing w:after="0"/>
              <w:jc w:val="center"/>
              <w:rPr>
                <w:i/>
                <w:sz w:val="18"/>
                <w:szCs w:val="20"/>
              </w:rPr>
            </w:pPr>
            <w:r w:rsidRPr="00AB14BD">
              <w:rPr>
                <w:i/>
                <w:sz w:val="18"/>
                <w:szCs w:val="20"/>
              </w:rPr>
              <w:t>5.8</w:t>
            </w:r>
          </w:p>
        </w:tc>
        <w:tc>
          <w:tcPr>
            <w:tcW w:w="990" w:type="dxa"/>
            <w:tcBorders>
              <w:top w:val="single" w:sz="4" w:space="0" w:color="000000" w:themeColor="text1"/>
              <w:bottom w:val="single" w:sz="4" w:space="0" w:color="000000" w:themeColor="text1"/>
            </w:tcBorders>
            <w:vAlign w:val="center"/>
          </w:tcPr>
          <w:p w14:paraId="24E860B6" w14:textId="77777777" w:rsidR="00AB14BD" w:rsidRPr="00AB14BD" w:rsidRDefault="00AB14BD" w:rsidP="00AB14BD">
            <w:pPr>
              <w:keepNext/>
              <w:keepLines/>
              <w:spacing w:after="0"/>
              <w:jc w:val="center"/>
              <w:rPr>
                <w:i/>
                <w:sz w:val="18"/>
                <w:szCs w:val="20"/>
              </w:rPr>
            </w:pPr>
            <w:r w:rsidRPr="00AB14BD">
              <w:rPr>
                <w:i/>
                <w:sz w:val="18"/>
                <w:szCs w:val="20"/>
              </w:rPr>
              <w:t>11.7</w:t>
            </w:r>
          </w:p>
        </w:tc>
        <w:tc>
          <w:tcPr>
            <w:tcW w:w="990" w:type="dxa"/>
            <w:tcBorders>
              <w:top w:val="single" w:sz="4" w:space="0" w:color="000000" w:themeColor="text1"/>
              <w:bottom w:val="single" w:sz="4" w:space="0" w:color="000000" w:themeColor="text1"/>
              <w:right w:val="single" w:sz="4" w:space="0" w:color="000000" w:themeColor="text1"/>
            </w:tcBorders>
            <w:vAlign w:val="center"/>
          </w:tcPr>
          <w:p w14:paraId="01D2EDD4" w14:textId="77777777" w:rsidR="00AB14BD" w:rsidRPr="00AB14BD" w:rsidRDefault="00AB14BD" w:rsidP="00AB14BD">
            <w:pPr>
              <w:keepNext/>
              <w:keepLines/>
              <w:spacing w:after="0"/>
              <w:jc w:val="center"/>
              <w:rPr>
                <w:i/>
                <w:sz w:val="18"/>
                <w:szCs w:val="20"/>
              </w:rPr>
            </w:pPr>
            <w:r w:rsidRPr="00AB14BD">
              <w:rPr>
                <w:i/>
                <w:sz w:val="18"/>
                <w:szCs w:val="20"/>
              </w:rPr>
              <w:t>17.9</w:t>
            </w:r>
          </w:p>
        </w:tc>
        <w:tc>
          <w:tcPr>
            <w:tcW w:w="990" w:type="dxa"/>
            <w:tcBorders>
              <w:top w:val="single" w:sz="4" w:space="0" w:color="000000" w:themeColor="text1"/>
              <w:bottom w:val="single" w:sz="4" w:space="0" w:color="000000" w:themeColor="text1"/>
            </w:tcBorders>
            <w:vAlign w:val="center"/>
          </w:tcPr>
          <w:p w14:paraId="13FA8AFA" w14:textId="77777777" w:rsidR="00AB14BD" w:rsidRPr="00AB14BD" w:rsidRDefault="00AB14BD" w:rsidP="00AB14BD">
            <w:pPr>
              <w:keepNext/>
              <w:keepLines/>
              <w:spacing w:after="0"/>
              <w:jc w:val="center"/>
              <w:rPr>
                <w:i/>
                <w:sz w:val="18"/>
                <w:szCs w:val="20"/>
              </w:rPr>
            </w:pPr>
            <w:r w:rsidRPr="00AB14BD">
              <w:rPr>
                <w:i/>
                <w:sz w:val="18"/>
                <w:szCs w:val="20"/>
              </w:rPr>
              <w:t>24.3</w:t>
            </w:r>
          </w:p>
        </w:tc>
        <w:tc>
          <w:tcPr>
            <w:tcW w:w="1527" w:type="dxa"/>
            <w:tcBorders>
              <w:top w:val="single" w:sz="4" w:space="0" w:color="000000" w:themeColor="text1"/>
              <w:bottom w:val="single" w:sz="4" w:space="0" w:color="000000" w:themeColor="text1"/>
              <w:right w:val="single" w:sz="4" w:space="0" w:color="auto"/>
            </w:tcBorders>
            <w:vAlign w:val="center"/>
          </w:tcPr>
          <w:p w14:paraId="0DB24BB4" w14:textId="77777777" w:rsidR="00AB14BD" w:rsidRPr="00AB14BD" w:rsidRDefault="00AB14BD" w:rsidP="00AB14BD">
            <w:pPr>
              <w:keepNext/>
              <w:keepLines/>
              <w:spacing w:after="0"/>
              <w:jc w:val="center"/>
              <w:rPr>
                <w:i/>
                <w:sz w:val="18"/>
                <w:szCs w:val="20"/>
              </w:rPr>
            </w:pPr>
            <w:r w:rsidRPr="00AB14BD">
              <w:rPr>
                <w:i/>
                <w:sz w:val="18"/>
                <w:szCs w:val="20"/>
              </w:rPr>
              <w:t>- 130.8</w:t>
            </w:r>
          </w:p>
        </w:tc>
      </w:tr>
      <w:tr w:rsidR="00AB14BD" w:rsidRPr="002F6953" w14:paraId="3218ADCD" w14:textId="77777777" w:rsidTr="00C92849">
        <w:trPr>
          <w:trHeight w:val="288"/>
          <w:jc w:val="center"/>
        </w:trPr>
        <w:tc>
          <w:tcPr>
            <w:tcW w:w="526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3319B9B8" w14:textId="77777777" w:rsidR="00AB14BD" w:rsidRPr="00AB14BD" w:rsidRDefault="00AB14BD" w:rsidP="00AB14BD">
            <w:pPr>
              <w:keepNext/>
              <w:keepLines/>
              <w:spacing w:after="0"/>
              <w:rPr>
                <w:sz w:val="18"/>
                <w:szCs w:val="20"/>
              </w:rPr>
            </w:pPr>
            <w:r w:rsidRPr="00AB14BD">
              <w:rPr>
                <w:sz w:val="18"/>
                <w:szCs w:val="20"/>
              </w:rPr>
              <w:t>Electricity consumption, existing trajectory (million kWh)</w:t>
            </w:r>
          </w:p>
        </w:tc>
        <w:tc>
          <w:tcPr>
            <w:tcW w:w="1080" w:type="dxa"/>
            <w:vMerge w:val="restart"/>
            <w:tcBorders>
              <w:top w:val="single" w:sz="4" w:space="0" w:color="000000" w:themeColor="text1"/>
            </w:tcBorders>
            <w:shd w:val="clear" w:color="auto" w:fill="BFBFBF" w:themeFill="background1" w:themeFillShade="BF"/>
            <w:vAlign w:val="center"/>
          </w:tcPr>
          <w:p w14:paraId="7CF693E4" w14:textId="77777777" w:rsidR="00AB14BD" w:rsidRPr="00AB14BD" w:rsidRDefault="00AB14BD" w:rsidP="00AB14BD">
            <w:pPr>
              <w:keepNext/>
              <w:keepLines/>
              <w:spacing w:after="0"/>
              <w:jc w:val="center"/>
              <w:rPr>
                <w:sz w:val="18"/>
                <w:szCs w:val="20"/>
              </w:rPr>
            </w:pPr>
            <w:r w:rsidRPr="00AB14BD">
              <w:rPr>
                <w:sz w:val="18"/>
                <w:szCs w:val="20"/>
              </w:rPr>
              <w:t>12,048.2</w:t>
            </w:r>
          </w:p>
        </w:tc>
        <w:tc>
          <w:tcPr>
            <w:tcW w:w="1394" w:type="dxa"/>
            <w:vMerge w:val="restart"/>
            <w:tcBorders>
              <w:top w:val="single" w:sz="4" w:space="0" w:color="000000" w:themeColor="text1"/>
            </w:tcBorders>
            <w:shd w:val="clear" w:color="auto" w:fill="BFBFBF" w:themeFill="background1" w:themeFillShade="BF"/>
            <w:vAlign w:val="center"/>
          </w:tcPr>
          <w:p w14:paraId="1A94A00B" w14:textId="77777777" w:rsidR="00AB14BD" w:rsidRPr="00AB14BD" w:rsidRDefault="00AB14BD" w:rsidP="00AB14BD">
            <w:pPr>
              <w:keepNext/>
              <w:keepLines/>
              <w:spacing w:after="0"/>
              <w:jc w:val="center"/>
              <w:rPr>
                <w:i/>
                <w:sz w:val="18"/>
                <w:szCs w:val="20"/>
              </w:rPr>
            </w:pPr>
            <w:r w:rsidRPr="00AB14BD">
              <w:rPr>
                <w:i/>
                <w:sz w:val="18"/>
                <w:szCs w:val="20"/>
              </w:rPr>
              <w:t>1.0%</w:t>
            </w:r>
          </w:p>
        </w:tc>
        <w:tc>
          <w:tcPr>
            <w:tcW w:w="990" w:type="dxa"/>
            <w:tcBorders>
              <w:top w:val="single" w:sz="4" w:space="0" w:color="000000" w:themeColor="text1"/>
              <w:bottom w:val="single" w:sz="4" w:space="0" w:color="000000" w:themeColor="text1"/>
            </w:tcBorders>
            <w:shd w:val="clear" w:color="auto" w:fill="BFBFBF" w:themeFill="background1" w:themeFillShade="BF"/>
            <w:vAlign w:val="center"/>
          </w:tcPr>
          <w:p w14:paraId="52CC968B" w14:textId="77777777" w:rsidR="00AB14BD" w:rsidRPr="00AB14BD" w:rsidRDefault="00AB14BD" w:rsidP="00AB14BD">
            <w:pPr>
              <w:keepNext/>
              <w:keepLines/>
              <w:spacing w:after="0"/>
              <w:jc w:val="center"/>
              <w:rPr>
                <w:sz w:val="18"/>
                <w:szCs w:val="20"/>
              </w:rPr>
            </w:pPr>
            <w:r w:rsidRPr="00AB14BD">
              <w:rPr>
                <w:sz w:val="18"/>
                <w:szCs w:val="20"/>
              </w:rPr>
              <w:t>12,229.5</w:t>
            </w:r>
          </w:p>
        </w:tc>
        <w:tc>
          <w:tcPr>
            <w:tcW w:w="990" w:type="dxa"/>
            <w:tcBorders>
              <w:top w:val="single" w:sz="4" w:space="0" w:color="000000" w:themeColor="text1"/>
              <w:bottom w:val="single" w:sz="4" w:space="0" w:color="000000" w:themeColor="text1"/>
            </w:tcBorders>
            <w:shd w:val="clear" w:color="auto" w:fill="BFBFBF" w:themeFill="background1" w:themeFillShade="BF"/>
            <w:vAlign w:val="center"/>
          </w:tcPr>
          <w:p w14:paraId="0DB83674" w14:textId="77777777" w:rsidR="00AB14BD" w:rsidRPr="00AB14BD" w:rsidRDefault="00AB14BD" w:rsidP="00AB14BD">
            <w:pPr>
              <w:keepNext/>
              <w:keepLines/>
              <w:spacing w:after="0"/>
              <w:jc w:val="center"/>
              <w:rPr>
                <w:sz w:val="18"/>
                <w:szCs w:val="20"/>
              </w:rPr>
            </w:pPr>
            <w:r w:rsidRPr="00AB14BD">
              <w:rPr>
                <w:sz w:val="18"/>
                <w:szCs w:val="20"/>
              </w:rPr>
              <w:t>12,537.4</w:t>
            </w:r>
          </w:p>
        </w:tc>
        <w:tc>
          <w:tcPr>
            <w:tcW w:w="990" w:type="dxa"/>
            <w:tcBorders>
              <w:top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6F0DBF74" w14:textId="77777777" w:rsidR="00AB14BD" w:rsidRPr="00AB14BD" w:rsidRDefault="00AB14BD" w:rsidP="00AB14BD">
            <w:pPr>
              <w:keepNext/>
              <w:keepLines/>
              <w:spacing w:after="0"/>
              <w:jc w:val="center"/>
              <w:rPr>
                <w:sz w:val="18"/>
                <w:szCs w:val="20"/>
              </w:rPr>
            </w:pPr>
            <w:r w:rsidRPr="00AB14BD">
              <w:rPr>
                <w:sz w:val="18"/>
                <w:szCs w:val="20"/>
              </w:rPr>
              <w:t>12,853.4</w:t>
            </w:r>
          </w:p>
        </w:tc>
        <w:tc>
          <w:tcPr>
            <w:tcW w:w="990" w:type="dxa"/>
            <w:tcBorders>
              <w:top w:val="single" w:sz="4" w:space="0" w:color="000000" w:themeColor="text1"/>
              <w:bottom w:val="single" w:sz="4" w:space="0" w:color="000000" w:themeColor="text1"/>
            </w:tcBorders>
            <w:shd w:val="clear" w:color="auto" w:fill="BFBFBF" w:themeFill="background1" w:themeFillShade="BF"/>
            <w:vAlign w:val="center"/>
          </w:tcPr>
          <w:p w14:paraId="7D76B1A2" w14:textId="77777777" w:rsidR="00AB14BD" w:rsidRPr="00AB14BD" w:rsidRDefault="00AB14BD" w:rsidP="00AB14BD">
            <w:pPr>
              <w:keepNext/>
              <w:keepLines/>
              <w:spacing w:after="0"/>
              <w:jc w:val="center"/>
              <w:rPr>
                <w:sz w:val="18"/>
                <w:szCs w:val="20"/>
              </w:rPr>
            </w:pPr>
            <w:r w:rsidRPr="00AB14BD">
              <w:rPr>
                <w:sz w:val="18"/>
                <w:szCs w:val="20"/>
              </w:rPr>
              <w:t>13,177.0</w:t>
            </w:r>
          </w:p>
        </w:tc>
        <w:tc>
          <w:tcPr>
            <w:tcW w:w="1527" w:type="dxa"/>
            <w:tcBorders>
              <w:top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4D8994A7" w14:textId="77777777" w:rsidR="00AB14BD" w:rsidRPr="00AB14BD" w:rsidRDefault="00AB14BD" w:rsidP="00AB14BD">
            <w:pPr>
              <w:keepNext/>
              <w:keepLines/>
              <w:spacing w:after="0"/>
              <w:jc w:val="center"/>
              <w:rPr>
                <w:sz w:val="18"/>
                <w:szCs w:val="20"/>
              </w:rPr>
            </w:pPr>
            <w:r w:rsidRPr="00AB14BD">
              <w:rPr>
                <w:sz w:val="18"/>
                <w:szCs w:val="20"/>
              </w:rPr>
              <w:t>-</w:t>
            </w:r>
          </w:p>
        </w:tc>
      </w:tr>
      <w:tr w:rsidR="00AB14BD" w14:paraId="0475A343" w14:textId="77777777" w:rsidTr="00C92849">
        <w:trPr>
          <w:trHeight w:val="288"/>
          <w:jc w:val="center"/>
        </w:trPr>
        <w:tc>
          <w:tcPr>
            <w:tcW w:w="526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77D050DC" w14:textId="77777777" w:rsidR="00AB14BD" w:rsidRPr="00AB14BD" w:rsidRDefault="00AB14BD" w:rsidP="00AB14BD">
            <w:pPr>
              <w:keepNext/>
              <w:keepLines/>
              <w:spacing w:after="0"/>
              <w:rPr>
                <w:i/>
                <w:sz w:val="18"/>
                <w:szCs w:val="20"/>
              </w:rPr>
            </w:pPr>
            <w:r w:rsidRPr="00AB14BD">
              <w:rPr>
                <w:i/>
                <w:sz w:val="18"/>
                <w:szCs w:val="20"/>
              </w:rPr>
              <w:t xml:space="preserve">  Electric consumption trajectory with fuel switching</w:t>
            </w:r>
          </w:p>
        </w:tc>
        <w:tc>
          <w:tcPr>
            <w:tcW w:w="1080" w:type="dxa"/>
            <w:vMerge/>
            <w:shd w:val="clear" w:color="auto" w:fill="BFBFBF" w:themeFill="background1" w:themeFillShade="BF"/>
            <w:vAlign w:val="center"/>
          </w:tcPr>
          <w:p w14:paraId="0DBAFB64" w14:textId="77777777" w:rsidR="00AB14BD" w:rsidRPr="00AB14BD" w:rsidRDefault="00AB14BD" w:rsidP="00AB14BD">
            <w:pPr>
              <w:keepNext/>
              <w:keepLines/>
              <w:spacing w:after="0"/>
              <w:jc w:val="center"/>
              <w:rPr>
                <w:i/>
                <w:sz w:val="18"/>
                <w:szCs w:val="20"/>
              </w:rPr>
            </w:pPr>
          </w:p>
        </w:tc>
        <w:tc>
          <w:tcPr>
            <w:tcW w:w="1394" w:type="dxa"/>
            <w:vMerge/>
            <w:shd w:val="clear" w:color="auto" w:fill="BFBFBF" w:themeFill="background1" w:themeFillShade="BF"/>
            <w:vAlign w:val="center"/>
          </w:tcPr>
          <w:p w14:paraId="594ADB5B" w14:textId="77777777" w:rsidR="00AB14BD" w:rsidRPr="00AB14BD" w:rsidRDefault="00AB14BD" w:rsidP="00AB14BD">
            <w:pPr>
              <w:keepNext/>
              <w:keepLines/>
              <w:spacing w:after="0"/>
              <w:jc w:val="center"/>
              <w:rPr>
                <w:i/>
                <w:sz w:val="18"/>
                <w:szCs w:val="20"/>
              </w:rPr>
            </w:pPr>
          </w:p>
        </w:tc>
        <w:tc>
          <w:tcPr>
            <w:tcW w:w="990" w:type="dxa"/>
            <w:tcBorders>
              <w:top w:val="single" w:sz="4" w:space="0" w:color="000000" w:themeColor="text1"/>
              <w:bottom w:val="single" w:sz="4" w:space="0" w:color="000000" w:themeColor="text1"/>
            </w:tcBorders>
            <w:shd w:val="clear" w:color="auto" w:fill="BFBFBF" w:themeFill="background1" w:themeFillShade="BF"/>
            <w:vAlign w:val="center"/>
          </w:tcPr>
          <w:p w14:paraId="27CE1C75" w14:textId="77777777" w:rsidR="00AB14BD" w:rsidRPr="00AB14BD" w:rsidRDefault="00AB14BD" w:rsidP="00AB14BD">
            <w:pPr>
              <w:keepNext/>
              <w:keepLines/>
              <w:spacing w:after="0"/>
              <w:jc w:val="center"/>
              <w:rPr>
                <w:i/>
                <w:sz w:val="18"/>
                <w:szCs w:val="20"/>
              </w:rPr>
            </w:pPr>
            <w:r w:rsidRPr="00AB14BD">
              <w:rPr>
                <w:i/>
                <w:sz w:val="18"/>
                <w:szCs w:val="20"/>
              </w:rPr>
              <w:t>12,597.4</w:t>
            </w:r>
          </w:p>
        </w:tc>
        <w:tc>
          <w:tcPr>
            <w:tcW w:w="990" w:type="dxa"/>
            <w:tcBorders>
              <w:top w:val="single" w:sz="4" w:space="0" w:color="000000" w:themeColor="text1"/>
              <w:bottom w:val="single" w:sz="4" w:space="0" w:color="000000" w:themeColor="text1"/>
            </w:tcBorders>
            <w:shd w:val="clear" w:color="auto" w:fill="BFBFBF" w:themeFill="background1" w:themeFillShade="BF"/>
            <w:vAlign w:val="center"/>
          </w:tcPr>
          <w:p w14:paraId="29268BA6" w14:textId="77777777" w:rsidR="00AB14BD" w:rsidRPr="00AB14BD" w:rsidRDefault="00AB14BD" w:rsidP="00AB14BD">
            <w:pPr>
              <w:keepNext/>
              <w:keepLines/>
              <w:spacing w:after="0"/>
              <w:jc w:val="center"/>
              <w:rPr>
                <w:i/>
                <w:sz w:val="18"/>
                <w:szCs w:val="20"/>
              </w:rPr>
            </w:pPr>
            <w:r w:rsidRPr="00AB14BD">
              <w:rPr>
                <w:i/>
                <w:sz w:val="18"/>
                <w:szCs w:val="20"/>
              </w:rPr>
              <w:t>13,291.7</w:t>
            </w:r>
          </w:p>
        </w:tc>
        <w:tc>
          <w:tcPr>
            <w:tcW w:w="990" w:type="dxa"/>
            <w:tcBorders>
              <w:top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46C81C4C" w14:textId="77777777" w:rsidR="00AB14BD" w:rsidRPr="00AB14BD" w:rsidRDefault="00AB14BD" w:rsidP="00AB14BD">
            <w:pPr>
              <w:keepNext/>
              <w:keepLines/>
              <w:spacing w:after="0"/>
              <w:jc w:val="center"/>
              <w:rPr>
                <w:i/>
                <w:sz w:val="18"/>
                <w:szCs w:val="20"/>
              </w:rPr>
            </w:pPr>
            <w:r w:rsidRPr="00AB14BD">
              <w:rPr>
                <w:i/>
                <w:sz w:val="18"/>
                <w:szCs w:val="20"/>
              </w:rPr>
              <w:t>14,013.2</w:t>
            </w:r>
          </w:p>
        </w:tc>
        <w:tc>
          <w:tcPr>
            <w:tcW w:w="990" w:type="dxa"/>
            <w:tcBorders>
              <w:top w:val="single" w:sz="4" w:space="0" w:color="000000" w:themeColor="text1"/>
              <w:bottom w:val="single" w:sz="4" w:space="0" w:color="000000" w:themeColor="text1"/>
            </w:tcBorders>
            <w:shd w:val="clear" w:color="auto" w:fill="BFBFBF" w:themeFill="background1" w:themeFillShade="BF"/>
            <w:vAlign w:val="center"/>
          </w:tcPr>
          <w:p w14:paraId="05F263E8" w14:textId="77777777" w:rsidR="00AB14BD" w:rsidRPr="00AB14BD" w:rsidRDefault="00AB14BD" w:rsidP="00AB14BD">
            <w:pPr>
              <w:keepNext/>
              <w:keepLines/>
              <w:spacing w:after="0"/>
              <w:jc w:val="center"/>
              <w:rPr>
                <w:i/>
                <w:sz w:val="18"/>
                <w:szCs w:val="20"/>
              </w:rPr>
            </w:pPr>
            <w:r w:rsidRPr="00AB14BD">
              <w:rPr>
                <w:i/>
                <w:sz w:val="18"/>
                <w:szCs w:val="20"/>
              </w:rPr>
              <w:t>14,762.4</w:t>
            </w:r>
          </w:p>
        </w:tc>
        <w:tc>
          <w:tcPr>
            <w:tcW w:w="1527" w:type="dxa"/>
            <w:tcBorders>
              <w:top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3EEF7C05" w14:textId="77777777" w:rsidR="00AB14BD" w:rsidRPr="00AB14BD" w:rsidRDefault="00AB14BD" w:rsidP="00AB14BD">
            <w:pPr>
              <w:keepNext/>
              <w:keepLines/>
              <w:spacing w:after="0"/>
              <w:jc w:val="center"/>
              <w:rPr>
                <w:i/>
                <w:sz w:val="18"/>
                <w:szCs w:val="20"/>
              </w:rPr>
            </w:pPr>
            <w:r w:rsidRPr="00AB14BD">
              <w:rPr>
                <w:i/>
                <w:sz w:val="18"/>
                <w:szCs w:val="20"/>
              </w:rPr>
              <w:t>+ 8,465.9</w:t>
            </w:r>
          </w:p>
        </w:tc>
      </w:tr>
      <w:tr w:rsidR="00AB14BD" w:rsidRPr="002F6953" w14:paraId="7EAA687E" w14:textId="77777777" w:rsidTr="00C92849">
        <w:trPr>
          <w:trHeight w:val="288"/>
          <w:jc w:val="center"/>
        </w:trPr>
        <w:tc>
          <w:tcPr>
            <w:tcW w:w="5261" w:type="dxa"/>
            <w:tcBorders>
              <w:top w:val="single" w:sz="4" w:space="0" w:color="000000" w:themeColor="text1"/>
              <w:left w:val="single" w:sz="4" w:space="0" w:color="auto"/>
              <w:bottom w:val="single" w:sz="4" w:space="0" w:color="auto"/>
              <w:right w:val="single" w:sz="4" w:space="0" w:color="000000" w:themeColor="text1"/>
            </w:tcBorders>
            <w:shd w:val="clear" w:color="auto" w:fill="BFBFBF" w:themeFill="background1" w:themeFillShade="BF"/>
            <w:vAlign w:val="center"/>
          </w:tcPr>
          <w:p w14:paraId="3004F3D8" w14:textId="77777777" w:rsidR="00AB14BD" w:rsidRPr="00AB14BD" w:rsidRDefault="00AB14BD" w:rsidP="00483793">
            <w:pPr>
              <w:keepLines/>
              <w:spacing w:after="0"/>
              <w:rPr>
                <w:i/>
                <w:sz w:val="18"/>
                <w:szCs w:val="20"/>
              </w:rPr>
            </w:pPr>
            <w:r w:rsidRPr="00AB14BD">
              <w:rPr>
                <w:i/>
                <w:sz w:val="18"/>
                <w:szCs w:val="20"/>
              </w:rPr>
              <w:t xml:space="preserve">  Potential electric savings due to program incentives</w:t>
            </w:r>
          </w:p>
        </w:tc>
        <w:tc>
          <w:tcPr>
            <w:tcW w:w="1080" w:type="dxa"/>
            <w:vMerge/>
            <w:tcBorders>
              <w:bottom w:val="single" w:sz="4" w:space="0" w:color="auto"/>
            </w:tcBorders>
            <w:shd w:val="clear" w:color="auto" w:fill="BFBFBF" w:themeFill="background1" w:themeFillShade="BF"/>
            <w:vAlign w:val="center"/>
          </w:tcPr>
          <w:p w14:paraId="490B6947" w14:textId="77777777" w:rsidR="00AB14BD" w:rsidRPr="00AB14BD" w:rsidRDefault="00AB14BD" w:rsidP="00483793">
            <w:pPr>
              <w:keepLines/>
              <w:spacing w:after="0"/>
              <w:jc w:val="center"/>
              <w:rPr>
                <w:i/>
                <w:sz w:val="18"/>
                <w:szCs w:val="20"/>
              </w:rPr>
            </w:pPr>
          </w:p>
        </w:tc>
        <w:tc>
          <w:tcPr>
            <w:tcW w:w="1394" w:type="dxa"/>
            <w:vMerge/>
            <w:tcBorders>
              <w:bottom w:val="single" w:sz="4" w:space="0" w:color="auto"/>
            </w:tcBorders>
            <w:shd w:val="clear" w:color="auto" w:fill="BFBFBF" w:themeFill="background1" w:themeFillShade="BF"/>
            <w:vAlign w:val="center"/>
          </w:tcPr>
          <w:p w14:paraId="55D2B164" w14:textId="77777777" w:rsidR="00AB14BD" w:rsidRPr="00AB14BD" w:rsidRDefault="00AB14BD" w:rsidP="00483793">
            <w:pPr>
              <w:keepLines/>
              <w:spacing w:after="0"/>
              <w:jc w:val="center"/>
              <w:rPr>
                <w:i/>
                <w:sz w:val="18"/>
                <w:szCs w:val="20"/>
              </w:rPr>
            </w:pPr>
          </w:p>
        </w:tc>
        <w:tc>
          <w:tcPr>
            <w:tcW w:w="990" w:type="dxa"/>
            <w:tcBorders>
              <w:top w:val="single" w:sz="4" w:space="0" w:color="000000" w:themeColor="text1"/>
              <w:bottom w:val="single" w:sz="4" w:space="0" w:color="auto"/>
            </w:tcBorders>
            <w:shd w:val="clear" w:color="auto" w:fill="BFBFBF" w:themeFill="background1" w:themeFillShade="BF"/>
            <w:vAlign w:val="center"/>
          </w:tcPr>
          <w:p w14:paraId="0EEC390D" w14:textId="77777777" w:rsidR="00AB14BD" w:rsidRPr="00AB14BD" w:rsidRDefault="00AB14BD" w:rsidP="00483793">
            <w:pPr>
              <w:keepLines/>
              <w:spacing w:after="0"/>
              <w:jc w:val="center"/>
              <w:rPr>
                <w:i/>
                <w:sz w:val="18"/>
                <w:szCs w:val="20"/>
              </w:rPr>
            </w:pPr>
            <w:r w:rsidRPr="00AB14BD">
              <w:rPr>
                <w:i/>
                <w:sz w:val="18"/>
                <w:szCs w:val="20"/>
              </w:rPr>
              <w:t>43.8</w:t>
            </w:r>
          </w:p>
        </w:tc>
        <w:tc>
          <w:tcPr>
            <w:tcW w:w="990" w:type="dxa"/>
            <w:tcBorders>
              <w:top w:val="single" w:sz="4" w:space="0" w:color="000000" w:themeColor="text1"/>
              <w:bottom w:val="single" w:sz="4" w:space="0" w:color="auto"/>
            </w:tcBorders>
            <w:shd w:val="clear" w:color="auto" w:fill="BFBFBF" w:themeFill="background1" w:themeFillShade="BF"/>
            <w:vAlign w:val="center"/>
          </w:tcPr>
          <w:p w14:paraId="17555488" w14:textId="77777777" w:rsidR="00AB14BD" w:rsidRPr="00AB14BD" w:rsidRDefault="00AB14BD" w:rsidP="00483793">
            <w:pPr>
              <w:keepLines/>
              <w:spacing w:after="0"/>
              <w:jc w:val="center"/>
              <w:rPr>
                <w:i/>
                <w:sz w:val="18"/>
                <w:szCs w:val="20"/>
              </w:rPr>
            </w:pPr>
            <w:r w:rsidRPr="00AB14BD">
              <w:rPr>
                <w:i/>
                <w:sz w:val="18"/>
                <w:szCs w:val="20"/>
              </w:rPr>
              <w:t>89.7</w:t>
            </w:r>
          </w:p>
        </w:tc>
        <w:tc>
          <w:tcPr>
            <w:tcW w:w="990" w:type="dxa"/>
            <w:tcBorders>
              <w:top w:val="single" w:sz="4" w:space="0" w:color="000000" w:themeColor="text1"/>
              <w:bottom w:val="single" w:sz="4" w:space="0" w:color="auto"/>
              <w:right w:val="single" w:sz="4" w:space="0" w:color="000000" w:themeColor="text1"/>
            </w:tcBorders>
            <w:shd w:val="clear" w:color="auto" w:fill="BFBFBF" w:themeFill="background1" w:themeFillShade="BF"/>
            <w:vAlign w:val="center"/>
          </w:tcPr>
          <w:p w14:paraId="3F98B0B6" w14:textId="77777777" w:rsidR="00AB14BD" w:rsidRPr="00AB14BD" w:rsidRDefault="00AB14BD" w:rsidP="00483793">
            <w:pPr>
              <w:keepLines/>
              <w:spacing w:after="0"/>
              <w:jc w:val="center"/>
              <w:rPr>
                <w:i/>
                <w:sz w:val="18"/>
                <w:szCs w:val="20"/>
              </w:rPr>
            </w:pPr>
            <w:r w:rsidRPr="00AB14BD">
              <w:rPr>
                <w:i/>
                <w:sz w:val="18"/>
                <w:szCs w:val="20"/>
              </w:rPr>
              <w:t>138.1</w:t>
            </w:r>
          </w:p>
        </w:tc>
        <w:tc>
          <w:tcPr>
            <w:tcW w:w="990" w:type="dxa"/>
            <w:tcBorders>
              <w:top w:val="single" w:sz="4" w:space="0" w:color="000000" w:themeColor="text1"/>
              <w:bottom w:val="single" w:sz="4" w:space="0" w:color="auto"/>
            </w:tcBorders>
            <w:shd w:val="clear" w:color="auto" w:fill="BFBFBF" w:themeFill="background1" w:themeFillShade="BF"/>
            <w:vAlign w:val="center"/>
          </w:tcPr>
          <w:p w14:paraId="5FBFFEA5" w14:textId="77777777" w:rsidR="00AB14BD" w:rsidRPr="00AB14BD" w:rsidRDefault="00AB14BD" w:rsidP="00483793">
            <w:pPr>
              <w:keepLines/>
              <w:spacing w:after="0"/>
              <w:jc w:val="center"/>
              <w:rPr>
                <w:i/>
                <w:sz w:val="18"/>
                <w:szCs w:val="20"/>
              </w:rPr>
            </w:pPr>
            <w:r w:rsidRPr="00AB14BD">
              <w:rPr>
                <w:i/>
                <w:sz w:val="18"/>
                <w:szCs w:val="20"/>
              </w:rPr>
              <w:t>188.6</w:t>
            </w:r>
          </w:p>
        </w:tc>
        <w:tc>
          <w:tcPr>
            <w:tcW w:w="1527" w:type="dxa"/>
            <w:tcBorders>
              <w:top w:val="single" w:sz="4" w:space="0" w:color="000000" w:themeColor="text1"/>
              <w:bottom w:val="single" w:sz="4" w:space="0" w:color="auto"/>
              <w:right w:val="single" w:sz="4" w:space="0" w:color="auto"/>
            </w:tcBorders>
            <w:shd w:val="clear" w:color="auto" w:fill="BFBFBF" w:themeFill="background1" w:themeFillShade="BF"/>
            <w:vAlign w:val="center"/>
          </w:tcPr>
          <w:p w14:paraId="6398F98C" w14:textId="77777777" w:rsidR="00AB14BD" w:rsidRPr="00AB14BD" w:rsidRDefault="00AB14BD" w:rsidP="00483793">
            <w:pPr>
              <w:keepLines/>
              <w:spacing w:after="0"/>
              <w:jc w:val="center"/>
              <w:rPr>
                <w:i/>
                <w:sz w:val="18"/>
                <w:szCs w:val="20"/>
              </w:rPr>
            </w:pPr>
            <w:r w:rsidRPr="00AB14BD">
              <w:rPr>
                <w:i/>
                <w:sz w:val="18"/>
                <w:szCs w:val="20"/>
              </w:rPr>
              <w:t>- 1,007.4</w:t>
            </w:r>
          </w:p>
        </w:tc>
      </w:tr>
    </w:tbl>
    <w:p w14:paraId="0A2704B6" w14:textId="77777777" w:rsidR="00AB14BD" w:rsidRDefault="00AB14BD" w:rsidP="00DD02E5">
      <w:pPr>
        <w:rPr>
          <w:lang w:bidi="ar-SA"/>
        </w:rPr>
        <w:sectPr w:rsidR="00AB14BD" w:rsidSect="006B6649">
          <w:footerReference w:type="first" r:id="rId86"/>
          <w:pgSz w:w="15840" w:h="12240" w:orient="landscape"/>
          <w:pgMar w:top="1440" w:right="1440" w:bottom="1872" w:left="1440" w:header="0" w:footer="0" w:gutter="0"/>
          <w:cols w:space="720"/>
          <w:titlePg/>
          <w:docGrid w:linePitch="299"/>
        </w:sectPr>
      </w:pPr>
    </w:p>
    <w:bookmarkStart w:id="511" w:name="_Ref372021161"/>
    <w:p w14:paraId="3CAB0A93" w14:textId="51030FBC" w:rsidR="007C52B5" w:rsidRDefault="00091203" w:rsidP="007C52B5">
      <w:r>
        <w:lastRenderedPageBreak/>
        <w:fldChar w:fldCharType="begin"/>
      </w:r>
      <w:r>
        <w:instrText xml:space="preserve"> REF _Ref439680567 \h </w:instrText>
      </w:r>
      <w:r>
        <w:fldChar w:fldCharType="separate"/>
      </w:r>
      <w:r w:rsidR="00FA26A9">
        <w:t xml:space="preserve">Table </w:t>
      </w:r>
      <w:r w:rsidR="00FA26A9">
        <w:rPr>
          <w:noProof/>
        </w:rPr>
        <w:t>49</w:t>
      </w:r>
      <w:r>
        <w:fldChar w:fldCharType="end"/>
      </w:r>
      <w:r>
        <w:t xml:space="preserve"> </w:t>
      </w:r>
      <w:r w:rsidR="007C52B5">
        <w:t>details estimated savings attributable to a potential program incentive for higher efficiency heating and water heating equipment (i.e. the difference between base case and upgrade case consumption) in</w:t>
      </w:r>
      <w:r>
        <w:t xml:space="preserve"> total over the course of a ten-year span from 2016 to 2025</w:t>
      </w:r>
      <w:r w:rsidR="007C52B5">
        <w:t>.</w:t>
      </w:r>
    </w:p>
    <w:p w14:paraId="08C18232" w14:textId="18410C69" w:rsidR="007C52B5" w:rsidRDefault="007C52B5" w:rsidP="00091203">
      <w:pPr>
        <w:pStyle w:val="Caption"/>
      </w:pPr>
      <w:bookmarkStart w:id="512" w:name="_Ref373242198"/>
      <w:bookmarkStart w:id="513" w:name="_Ref373322795"/>
      <w:bookmarkStart w:id="514" w:name="_Ref439680567"/>
      <w:bookmarkStart w:id="515" w:name="_Toc373324142"/>
      <w:bookmarkStart w:id="516" w:name="_Toc391887383"/>
      <w:bookmarkStart w:id="517" w:name="_Toc439931880"/>
      <w:r>
        <w:t xml:space="preserve">Table </w:t>
      </w:r>
      <w:bookmarkEnd w:id="511"/>
      <w:bookmarkEnd w:id="512"/>
      <w:bookmarkEnd w:id="513"/>
      <w:r w:rsidR="00091203">
        <w:fldChar w:fldCharType="begin"/>
      </w:r>
      <w:r w:rsidR="00091203">
        <w:instrText xml:space="preserve"> SEQ Table \* ARABIC </w:instrText>
      </w:r>
      <w:r w:rsidR="00091203">
        <w:fldChar w:fldCharType="separate"/>
      </w:r>
      <w:r w:rsidR="00FA26A9">
        <w:rPr>
          <w:noProof/>
        </w:rPr>
        <w:t>49</w:t>
      </w:r>
      <w:r w:rsidR="00091203">
        <w:fldChar w:fldCharType="end"/>
      </w:r>
      <w:bookmarkEnd w:id="514"/>
      <w:r>
        <w:t xml:space="preserve">: </w:t>
      </w:r>
      <w:r w:rsidR="004336BD">
        <w:t>Fuel Switching—</w:t>
      </w:r>
      <w:r>
        <w:t>Estimated Savings Due to Program Incentive Over Ten Years</w:t>
      </w:r>
      <w:bookmarkEnd w:id="515"/>
      <w:bookmarkEnd w:id="516"/>
      <w:bookmarkEnd w:id="517"/>
    </w:p>
    <w:p w14:paraId="02AC7503" w14:textId="77777777" w:rsidR="007C52B5" w:rsidRPr="000E3F23" w:rsidRDefault="007C52B5" w:rsidP="007C52B5">
      <w:pPr>
        <w:pStyle w:val="Caption"/>
        <w:spacing w:before="0"/>
        <w:rPr>
          <w:rFonts w:ascii="Times New Roman" w:hAnsi="Times New Roman" w:cs="Times New Roman"/>
          <w:b w:val="0"/>
          <w:caps/>
        </w:rPr>
      </w:pPr>
      <w:r w:rsidRPr="000E3F23">
        <w:rPr>
          <w:rFonts w:ascii="Times New Roman" w:hAnsi="Times New Roman" w:cs="Times New Roman"/>
          <w:b w:val="0"/>
          <w:sz w:val="20"/>
          <w:szCs w:val="20"/>
        </w:rPr>
        <w:t xml:space="preserve">(Base: All </w:t>
      </w:r>
      <w:r>
        <w:rPr>
          <w:rFonts w:ascii="Times New Roman" w:hAnsi="Times New Roman" w:cs="Times New Roman"/>
          <w:b w:val="0"/>
          <w:sz w:val="20"/>
          <w:szCs w:val="20"/>
        </w:rPr>
        <w:t xml:space="preserve">SF </w:t>
      </w:r>
      <w:r w:rsidRPr="000E3F23">
        <w:rPr>
          <w:rFonts w:ascii="Times New Roman" w:hAnsi="Times New Roman" w:cs="Times New Roman"/>
          <w:b w:val="0"/>
          <w:sz w:val="20"/>
          <w:szCs w:val="20"/>
        </w:rPr>
        <w:t>homes, weighted to population)</w:t>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3128"/>
        <w:gridCol w:w="1722"/>
        <w:gridCol w:w="1017"/>
        <w:gridCol w:w="1017"/>
        <w:gridCol w:w="1017"/>
        <w:gridCol w:w="1017"/>
      </w:tblGrid>
      <w:tr w:rsidR="007C52B5" w:rsidRPr="00687BC7" w14:paraId="14E2CD03" w14:textId="77777777" w:rsidTr="00644821">
        <w:trPr>
          <w:trHeight w:val="288"/>
          <w:jc w:val="center"/>
        </w:trPr>
        <w:tc>
          <w:tcPr>
            <w:tcW w:w="4065" w:type="dxa"/>
            <w:vMerge w:val="restart"/>
            <w:tcBorders>
              <w:top w:val="single" w:sz="4" w:space="0" w:color="auto"/>
              <w:left w:val="single" w:sz="4" w:space="0" w:color="auto"/>
              <w:right w:val="single" w:sz="4" w:space="0" w:color="000000" w:themeColor="text1"/>
            </w:tcBorders>
            <w:shd w:val="clear" w:color="auto" w:fill="0B4D2C" w:themeFill="background2" w:themeFillShade="BF"/>
            <w:vAlign w:val="center"/>
          </w:tcPr>
          <w:p w14:paraId="2D119416" w14:textId="77777777" w:rsidR="007C52B5" w:rsidRPr="007C52B5" w:rsidRDefault="007C52B5" w:rsidP="00483793">
            <w:pPr>
              <w:keepNext/>
              <w:keepLines/>
              <w:spacing w:after="0"/>
              <w:rPr>
                <w:b/>
                <w:sz w:val="18"/>
                <w:szCs w:val="20"/>
              </w:rPr>
            </w:pPr>
            <w:r w:rsidRPr="007C52B5">
              <w:rPr>
                <w:b/>
                <w:sz w:val="18"/>
                <w:szCs w:val="20"/>
              </w:rPr>
              <w:t>Fuel</w:t>
            </w:r>
          </w:p>
        </w:tc>
        <w:tc>
          <w:tcPr>
            <w:tcW w:w="2091" w:type="dxa"/>
            <w:vMerge w:val="restart"/>
            <w:tcBorders>
              <w:top w:val="single" w:sz="4" w:space="0" w:color="auto"/>
            </w:tcBorders>
            <w:shd w:val="clear" w:color="auto" w:fill="0B4D2C" w:themeFill="background2" w:themeFillShade="BF"/>
            <w:vAlign w:val="center"/>
          </w:tcPr>
          <w:p w14:paraId="166AD8FA" w14:textId="77777777" w:rsidR="007C52B5" w:rsidRPr="007C52B5" w:rsidRDefault="007C52B5" w:rsidP="00483793">
            <w:pPr>
              <w:keepNext/>
              <w:keepLines/>
              <w:spacing w:after="0"/>
              <w:rPr>
                <w:b/>
                <w:sz w:val="18"/>
                <w:szCs w:val="20"/>
              </w:rPr>
            </w:pPr>
            <w:r w:rsidRPr="007C52B5">
              <w:rPr>
                <w:b/>
                <w:sz w:val="18"/>
                <w:szCs w:val="20"/>
              </w:rPr>
              <w:t>Scenario</w:t>
            </w:r>
          </w:p>
        </w:tc>
        <w:tc>
          <w:tcPr>
            <w:tcW w:w="4068" w:type="dxa"/>
            <w:gridSpan w:val="4"/>
            <w:tcBorders>
              <w:top w:val="single" w:sz="4" w:space="0" w:color="auto"/>
              <w:bottom w:val="single" w:sz="4" w:space="0" w:color="000000" w:themeColor="text1"/>
              <w:right w:val="single" w:sz="4" w:space="0" w:color="auto"/>
            </w:tcBorders>
            <w:shd w:val="clear" w:color="auto" w:fill="0B4D2C" w:themeFill="background2" w:themeFillShade="BF"/>
            <w:vAlign w:val="center"/>
          </w:tcPr>
          <w:p w14:paraId="1C12B628" w14:textId="77777777" w:rsidR="007C52B5" w:rsidRPr="007C52B5" w:rsidRDefault="007C52B5" w:rsidP="00483793">
            <w:pPr>
              <w:keepNext/>
              <w:keepLines/>
              <w:spacing w:after="0"/>
              <w:jc w:val="center"/>
              <w:rPr>
                <w:b/>
                <w:sz w:val="18"/>
                <w:szCs w:val="20"/>
              </w:rPr>
            </w:pPr>
            <w:r w:rsidRPr="007C52B5">
              <w:rPr>
                <w:b/>
                <w:sz w:val="18"/>
                <w:szCs w:val="20"/>
              </w:rPr>
              <w:t>Conversion Rate</w:t>
            </w:r>
          </w:p>
        </w:tc>
      </w:tr>
      <w:tr w:rsidR="007C52B5" w:rsidRPr="00687BC7" w14:paraId="158F408A" w14:textId="77777777" w:rsidTr="00644821">
        <w:trPr>
          <w:trHeight w:val="288"/>
          <w:jc w:val="center"/>
        </w:trPr>
        <w:tc>
          <w:tcPr>
            <w:tcW w:w="4065" w:type="dxa"/>
            <w:vMerge/>
            <w:tcBorders>
              <w:left w:val="single" w:sz="4" w:space="0" w:color="auto"/>
              <w:bottom w:val="single" w:sz="4" w:space="0" w:color="auto"/>
              <w:right w:val="single" w:sz="4" w:space="0" w:color="000000" w:themeColor="text1"/>
            </w:tcBorders>
            <w:shd w:val="clear" w:color="auto" w:fill="0B4D2C" w:themeFill="background2" w:themeFillShade="BF"/>
            <w:vAlign w:val="center"/>
          </w:tcPr>
          <w:p w14:paraId="5BDFB392" w14:textId="77777777" w:rsidR="007C52B5" w:rsidRPr="007C52B5" w:rsidRDefault="007C52B5" w:rsidP="00483793">
            <w:pPr>
              <w:keepNext/>
              <w:keepLines/>
              <w:spacing w:after="0"/>
              <w:rPr>
                <w:b/>
                <w:sz w:val="18"/>
                <w:szCs w:val="20"/>
              </w:rPr>
            </w:pPr>
          </w:p>
        </w:tc>
        <w:tc>
          <w:tcPr>
            <w:tcW w:w="2091" w:type="dxa"/>
            <w:vMerge/>
            <w:tcBorders>
              <w:bottom w:val="single" w:sz="4" w:space="0" w:color="auto"/>
            </w:tcBorders>
            <w:shd w:val="clear" w:color="auto" w:fill="0B4D2C" w:themeFill="background2" w:themeFillShade="BF"/>
          </w:tcPr>
          <w:p w14:paraId="2FF8CCD2" w14:textId="77777777" w:rsidR="007C52B5" w:rsidRPr="007C52B5" w:rsidRDefault="007C52B5" w:rsidP="00483793">
            <w:pPr>
              <w:keepNext/>
              <w:keepLines/>
              <w:spacing w:after="0"/>
              <w:jc w:val="center"/>
              <w:rPr>
                <w:b/>
                <w:sz w:val="18"/>
                <w:szCs w:val="20"/>
              </w:rPr>
            </w:pPr>
          </w:p>
        </w:tc>
        <w:tc>
          <w:tcPr>
            <w:tcW w:w="1017" w:type="dxa"/>
            <w:tcBorders>
              <w:top w:val="single" w:sz="4" w:space="0" w:color="000000" w:themeColor="text1"/>
              <w:bottom w:val="single" w:sz="4" w:space="0" w:color="auto"/>
              <w:right w:val="single" w:sz="4" w:space="0" w:color="000000" w:themeColor="text1"/>
            </w:tcBorders>
            <w:shd w:val="clear" w:color="auto" w:fill="0B4D2C" w:themeFill="background2" w:themeFillShade="BF"/>
            <w:vAlign w:val="center"/>
          </w:tcPr>
          <w:p w14:paraId="76D65387" w14:textId="77777777" w:rsidR="007C52B5" w:rsidRPr="007C52B5" w:rsidRDefault="007C52B5" w:rsidP="00483793">
            <w:pPr>
              <w:keepNext/>
              <w:keepLines/>
              <w:spacing w:after="0"/>
              <w:jc w:val="center"/>
              <w:rPr>
                <w:b/>
                <w:sz w:val="18"/>
                <w:szCs w:val="20"/>
              </w:rPr>
            </w:pPr>
            <w:r w:rsidRPr="007C52B5">
              <w:rPr>
                <w:b/>
                <w:sz w:val="18"/>
                <w:szCs w:val="20"/>
              </w:rPr>
              <w:t>25%</w:t>
            </w:r>
          </w:p>
        </w:tc>
        <w:tc>
          <w:tcPr>
            <w:tcW w:w="101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0B4D2C" w:themeFill="background2" w:themeFillShade="BF"/>
            <w:vAlign w:val="center"/>
          </w:tcPr>
          <w:p w14:paraId="174F4793" w14:textId="77777777" w:rsidR="007C52B5" w:rsidRPr="007C52B5" w:rsidRDefault="007C52B5" w:rsidP="00483793">
            <w:pPr>
              <w:keepNext/>
              <w:keepLines/>
              <w:spacing w:after="0"/>
              <w:jc w:val="center"/>
              <w:rPr>
                <w:b/>
                <w:sz w:val="18"/>
                <w:szCs w:val="20"/>
              </w:rPr>
            </w:pPr>
            <w:r w:rsidRPr="007C52B5">
              <w:rPr>
                <w:b/>
                <w:sz w:val="18"/>
                <w:szCs w:val="20"/>
              </w:rPr>
              <w:t>50%</w:t>
            </w:r>
          </w:p>
        </w:tc>
        <w:tc>
          <w:tcPr>
            <w:tcW w:w="101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0B4D2C" w:themeFill="background2" w:themeFillShade="BF"/>
            <w:vAlign w:val="center"/>
          </w:tcPr>
          <w:p w14:paraId="57798AAC" w14:textId="77777777" w:rsidR="007C52B5" w:rsidRPr="007C52B5" w:rsidRDefault="007C52B5" w:rsidP="00483793">
            <w:pPr>
              <w:keepNext/>
              <w:keepLines/>
              <w:spacing w:after="0"/>
              <w:jc w:val="center"/>
              <w:rPr>
                <w:b/>
                <w:sz w:val="18"/>
                <w:szCs w:val="20"/>
              </w:rPr>
            </w:pPr>
            <w:r w:rsidRPr="007C52B5">
              <w:rPr>
                <w:b/>
                <w:sz w:val="18"/>
                <w:szCs w:val="20"/>
              </w:rPr>
              <w:t>75%</w:t>
            </w:r>
          </w:p>
        </w:tc>
        <w:tc>
          <w:tcPr>
            <w:tcW w:w="1017" w:type="dxa"/>
            <w:tcBorders>
              <w:top w:val="single" w:sz="4" w:space="0" w:color="000000" w:themeColor="text1"/>
              <w:left w:val="single" w:sz="4" w:space="0" w:color="000000" w:themeColor="text1"/>
              <w:bottom w:val="single" w:sz="4" w:space="0" w:color="auto"/>
              <w:right w:val="single" w:sz="4" w:space="0" w:color="auto"/>
            </w:tcBorders>
            <w:shd w:val="clear" w:color="auto" w:fill="0B4D2C" w:themeFill="background2" w:themeFillShade="BF"/>
            <w:vAlign w:val="center"/>
          </w:tcPr>
          <w:p w14:paraId="6CC9D221" w14:textId="77777777" w:rsidR="007C52B5" w:rsidRPr="007C52B5" w:rsidRDefault="007C52B5" w:rsidP="00483793">
            <w:pPr>
              <w:keepNext/>
              <w:keepLines/>
              <w:spacing w:after="0"/>
              <w:jc w:val="center"/>
              <w:rPr>
                <w:b/>
                <w:sz w:val="18"/>
                <w:szCs w:val="20"/>
              </w:rPr>
            </w:pPr>
            <w:r w:rsidRPr="007C52B5">
              <w:rPr>
                <w:b/>
                <w:sz w:val="18"/>
                <w:szCs w:val="20"/>
              </w:rPr>
              <w:t>100%</w:t>
            </w:r>
          </w:p>
        </w:tc>
      </w:tr>
      <w:tr w:rsidR="00E1645D" w:rsidRPr="00E1645D" w14:paraId="5C40D9E0" w14:textId="77777777" w:rsidTr="00E1645D">
        <w:trPr>
          <w:trHeight w:val="288"/>
          <w:jc w:val="center"/>
        </w:trPr>
        <w:tc>
          <w:tcPr>
            <w:tcW w:w="10224" w:type="dxa"/>
            <w:gridSpan w:val="6"/>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33ABAE0C" w14:textId="77777777" w:rsidR="007C52B5" w:rsidRPr="00E1645D" w:rsidRDefault="007C52B5" w:rsidP="00483793">
            <w:pPr>
              <w:keepNext/>
              <w:keepLines/>
              <w:spacing w:after="0"/>
              <w:jc w:val="center"/>
              <w:rPr>
                <w:color w:val="FFFFFF" w:themeColor="background1"/>
                <w:sz w:val="18"/>
                <w:szCs w:val="20"/>
              </w:rPr>
            </w:pPr>
            <w:r w:rsidRPr="00E1645D">
              <w:rPr>
                <w:b/>
                <w:color w:val="FFFFFF" w:themeColor="background1"/>
                <w:sz w:val="18"/>
                <w:szCs w:val="20"/>
              </w:rPr>
              <w:t>Natural gas (million ccf)</w:t>
            </w:r>
          </w:p>
        </w:tc>
      </w:tr>
      <w:tr w:rsidR="007C52B5" w:rsidRPr="00687BC7" w14:paraId="244684E6" w14:textId="77777777" w:rsidTr="00644821">
        <w:trPr>
          <w:trHeight w:val="288"/>
          <w:jc w:val="center"/>
        </w:trPr>
        <w:tc>
          <w:tcPr>
            <w:tcW w:w="4065" w:type="dxa"/>
            <w:vMerge w:val="restart"/>
            <w:tcBorders>
              <w:top w:val="single" w:sz="4" w:space="0" w:color="auto"/>
              <w:left w:val="single" w:sz="4" w:space="0" w:color="auto"/>
              <w:right w:val="single" w:sz="4" w:space="0" w:color="000000" w:themeColor="text1"/>
            </w:tcBorders>
            <w:vAlign w:val="center"/>
          </w:tcPr>
          <w:p w14:paraId="3EF34635" w14:textId="77777777" w:rsidR="007C52B5" w:rsidRPr="007C52B5" w:rsidRDefault="007C52B5" w:rsidP="007C52B5">
            <w:pPr>
              <w:keepNext/>
              <w:keepLines/>
              <w:spacing w:after="0"/>
              <w:rPr>
                <w:sz w:val="18"/>
                <w:szCs w:val="20"/>
              </w:rPr>
            </w:pPr>
            <w:r w:rsidRPr="007C52B5">
              <w:rPr>
                <w:sz w:val="18"/>
                <w:szCs w:val="20"/>
              </w:rPr>
              <w:t>Total natural gas consumption over 10 years</w:t>
            </w:r>
            <w:r w:rsidRPr="007C52B5">
              <w:rPr>
                <w:sz w:val="18"/>
                <w:szCs w:val="20"/>
                <w:vertAlign w:val="superscript"/>
              </w:rPr>
              <w:t>*</w:t>
            </w:r>
          </w:p>
        </w:tc>
        <w:tc>
          <w:tcPr>
            <w:tcW w:w="2091" w:type="dxa"/>
            <w:tcBorders>
              <w:top w:val="single" w:sz="4" w:space="0" w:color="auto"/>
              <w:bottom w:val="single" w:sz="4" w:space="0" w:color="000000" w:themeColor="text1"/>
              <w:right w:val="single" w:sz="4" w:space="0" w:color="000000" w:themeColor="text1"/>
            </w:tcBorders>
            <w:vAlign w:val="center"/>
          </w:tcPr>
          <w:p w14:paraId="15D9454F" w14:textId="77777777" w:rsidR="007C52B5" w:rsidRPr="007C52B5" w:rsidRDefault="007C52B5" w:rsidP="00483793">
            <w:pPr>
              <w:keepNext/>
              <w:keepLines/>
              <w:spacing w:after="0"/>
              <w:rPr>
                <w:sz w:val="18"/>
                <w:szCs w:val="20"/>
              </w:rPr>
            </w:pPr>
            <w:r w:rsidRPr="007C52B5">
              <w:rPr>
                <w:sz w:val="18"/>
                <w:szCs w:val="20"/>
              </w:rPr>
              <w:t>No fuel switching</w:t>
            </w:r>
          </w:p>
        </w:tc>
        <w:tc>
          <w:tcPr>
            <w:tcW w:w="4068" w:type="dxa"/>
            <w:gridSpan w:val="4"/>
            <w:tcBorders>
              <w:top w:val="single" w:sz="4" w:space="0" w:color="auto"/>
              <w:left w:val="single" w:sz="4" w:space="0" w:color="000000" w:themeColor="text1"/>
              <w:bottom w:val="single" w:sz="4" w:space="0" w:color="000000" w:themeColor="text1"/>
              <w:right w:val="single" w:sz="4" w:space="0" w:color="auto"/>
            </w:tcBorders>
            <w:vAlign w:val="center"/>
          </w:tcPr>
          <w:p w14:paraId="4B44AA4F" w14:textId="77777777" w:rsidR="007C52B5" w:rsidRPr="007C52B5" w:rsidRDefault="007C52B5" w:rsidP="00483793">
            <w:pPr>
              <w:keepNext/>
              <w:keepLines/>
              <w:spacing w:after="0"/>
              <w:jc w:val="center"/>
              <w:rPr>
                <w:sz w:val="18"/>
                <w:szCs w:val="20"/>
              </w:rPr>
            </w:pPr>
            <w:r w:rsidRPr="007C52B5">
              <w:rPr>
                <w:sz w:val="18"/>
                <w:szCs w:val="20"/>
              </w:rPr>
              <w:t>3,373.4</w:t>
            </w:r>
          </w:p>
        </w:tc>
      </w:tr>
      <w:tr w:rsidR="007C52B5" w:rsidRPr="00687BC7" w14:paraId="461386C2" w14:textId="77777777" w:rsidTr="00644821">
        <w:trPr>
          <w:trHeight w:val="288"/>
          <w:jc w:val="center"/>
        </w:trPr>
        <w:tc>
          <w:tcPr>
            <w:tcW w:w="4065" w:type="dxa"/>
            <w:vMerge/>
            <w:tcBorders>
              <w:left w:val="single" w:sz="4" w:space="0" w:color="auto"/>
              <w:right w:val="single" w:sz="4" w:space="0" w:color="000000" w:themeColor="text1"/>
            </w:tcBorders>
            <w:vAlign w:val="center"/>
          </w:tcPr>
          <w:p w14:paraId="40652A1F" w14:textId="77777777" w:rsidR="007C52B5" w:rsidRPr="007C52B5" w:rsidRDefault="007C52B5" w:rsidP="007C52B5">
            <w:pPr>
              <w:keepNext/>
              <w:keepLines/>
              <w:spacing w:after="0"/>
              <w:rPr>
                <w:sz w:val="18"/>
                <w:szCs w:val="20"/>
              </w:rPr>
            </w:pPr>
          </w:p>
        </w:tc>
        <w:tc>
          <w:tcPr>
            <w:tcW w:w="2091" w:type="dxa"/>
            <w:tcBorders>
              <w:top w:val="single" w:sz="4" w:space="0" w:color="000000" w:themeColor="text1"/>
              <w:bottom w:val="single" w:sz="4" w:space="0" w:color="000000" w:themeColor="text1"/>
              <w:right w:val="single" w:sz="4" w:space="0" w:color="000000" w:themeColor="text1"/>
            </w:tcBorders>
            <w:vAlign w:val="center"/>
          </w:tcPr>
          <w:p w14:paraId="040DB471" w14:textId="77777777" w:rsidR="007C52B5" w:rsidRPr="007C52B5" w:rsidRDefault="007C52B5" w:rsidP="00483793">
            <w:pPr>
              <w:keepNext/>
              <w:keepLines/>
              <w:spacing w:after="0"/>
              <w:rPr>
                <w:sz w:val="18"/>
                <w:szCs w:val="20"/>
              </w:rPr>
            </w:pPr>
            <w:r w:rsidRPr="007C52B5">
              <w:rPr>
                <w:sz w:val="18"/>
                <w:szCs w:val="20"/>
              </w:rPr>
              <w:t xml:space="preserve">Base case scenario </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D009FA" w14:textId="77777777" w:rsidR="007C52B5" w:rsidRPr="007C52B5" w:rsidRDefault="007C52B5" w:rsidP="00483793">
            <w:pPr>
              <w:keepNext/>
              <w:keepLines/>
              <w:spacing w:after="0"/>
              <w:jc w:val="center"/>
              <w:rPr>
                <w:sz w:val="18"/>
                <w:szCs w:val="20"/>
              </w:rPr>
            </w:pPr>
            <w:r w:rsidRPr="007C52B5">
              <w:rPr>
                <w:sz w:val="18"/>
                <w:szCs w:val="20"/>
              </w:rPr>
              <w:t>3,788.3</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1B74C3" w14:textId="77777777" w:rsidR="007C52B5" w:rsidRPr="007C52B5" w:rsidRDefault="007C52B5" w:rsidP="00483793">
            <w:pPr>
              <w:keepNext/>
              <w:keepLines/>
              <w:spacing w:after="0"/>
              <w:jc w:val="center"/>
              <w:rPr>
                <w:sz w:val="18"/>
                <w:szCs w:val="20"/>
              </w:rPr>
            </w:pPr>
            <w:r w:rsidRPr="007C52B5">
              <w:rPr>
                <w:sz w:val="18"/>
                <w:szCs w:val="20"/>
              </w:rPr>
              <w:t>4,203.3</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5B5ED7" w14:textId="77777777" w:rsidR="007C52B5" w:rsidRPr="007C52B5" w:rsidRDefault="007C52B5" w:rsidP="00483793">
            <w:pPr>
              <w:keepNext/>
              <w:keepLines/>
              <w:spacing w:after="0"/>
              <w:jc w:val="center"/>
              <w:rPr>
                <w:sz w:val="18"/>
                <w:szCs w:val="20"/>
              </w:rPr>
            </w:pPr>
            <w:r w:rsidRPr="007C52B5">
              <w:rPr>
                <w:sz w:val="18"/>
                <w:szCs w:val="20"/>
              </w:rPr>
              <w:t>4,618.3</w:t>
            </w:r>
          </w:p>
        </w:tc>
        <w:tc>
          <w:tcPr>
            <w:tcW w:w="1017"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8523DA4" w14:textId="77777777" w:rsidR="007C52B5" w:rsidRPr="007C52B5" w:rsidRDefault="007C52B5" w:rsidP="00483793">
            <w:pPr>
              <w:keepNext/>
              <w:keepLines/>
              <w:spacing w:after="0"/>
              <w:jc w:val="center"/>
              <w:rPr>
                <w:sz w:val="18"/>
                <w:szCs w:val="20"/>
              </w:rPr>
            </w:pPr>
            <w:r w:rsidRPr="007C52B5">
              <w:rPr>
                <w:sz w:val="18"/>
                <w:szCs w:val="20"/>
              </w:rPr>
              <w:t>5,033.3</w:t>
            </w:r>
          </w:p>
        </w:tc>
      </w:tr>
      <w:tr w:rsidR="007C52B5" w:rsidRPr="00687BC7" w14:paraId="35AA5C41" w14:textId="77777777" w:rsidTr="00644821">
        <w:trPr>
          <w:trHeight w:val="288"/>
          <w:jc w:val="center"/>
        </w:trPr>
        <w:tc>
          <w:tcPr>
            <w:tcW w:w="4065" w:type="dxa"/>
            <w:vMerge/>
            <w:tcBorders>
              <w:left w:val="single" w:sz="4" w:space="0" w:color="auto"/>
              <w:bottom w:val="single" w:sz="4" w:space="0" w:color="000000" w:themeColor="text1"/>
              <w:right w:val="single" w:sz="4" w:space="0" w:color="000000" w:themeColor="text1"/>
            </w:tcBorders>
            <w:vAlign w:val="center"/>
          </w:tcPr>
          <w:p w14:paraId="76259392" w14:textId="77777777" w:rsidR="007C52B5" w:rsidRPr="007C52B5" w:rsidRDefault="007C52B5" w:rsidP="007C52B5">
            <w:pPr>
              <w:keepNext/>
              <w:keepLines/>
              <w:spacing w:after="0"/>
              <w:rPr>
                <w:sz w:val="18"/>
                <w:szCs w:val="20"/>
              </w:rPr>
            </w:pPr>
          </w:p>
        </w:tc>
        <w:tc>
          <w:tcPr>
            <w:tcW w:w="2091" w:type="dxa"/>
            <w:tcBorders>
              <w:top w:val="single" w:sz="4" w:space="0" w:color="000000" w:themeColor="text1"/>
              <w:bottom w:val="single" w:sz="4" w:space="0" w:color="000000" w:themeColor="text1"/>
              <w:right w:val="single" w:sz="4" w:space="0" w:color="000000" w:themeColor="text1"/>
            </w:tcBorders>
            <w:vAlign w:val="center"/>
          </w:tcPr>
          <w:p w14:paraId="1A9B32BD" w14:textId="77777777" w:rsidR="007C52B5" w:rsidRPr="007C52B5" w:rsidRDefault="007C52B5" w:rsidP="00483793">
            <w:pPr>
              <w:keepNext/>
              <w:keepLines/>
              <w:spacing w:after="0"/>
              <w:rPr>
                <w:sz w:val="18"/>
                <w:szCs w:val="20"/>
              </w:rPr>
            </w:pPr>
            <w:r w:rsidRPr="007C52B5">
              <w:rPr>
                <w:sz w:val="18"/>
                <w:szCs w:val="20"/>
              </w:rPr>
              <w:t>Upgrade case scenario</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F64950" w14:textId="77777777" w:rsidR="007C52B5" w:rsidRPr="007C52B5" w:rsidRDefault="007C52B5" w:rsidP="00483793">
            <w:pPr>
              <w:keepNext/>
              <w:keepLines/>
              <w:spacing w:after="0"/>
              <w:jc w:val="center"/>
              <w:rPr>
                <w:sz w:val="18"/>
                <w:szCs w:val="20"/>
              </w:rPr>
            </w:pPr>
            <w:r w:rsidRPr="007C52B5">
              <w:rPr>
                <w:sz w:val="18"/>
                <w:szCs w:val="20"/>
              </w:rPr>
              <w:t>3,755.6</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6754EF" w14:textId="77777777" w:rsidR="007C52B5" w:rsidRPr="007C52B5" w:rsidRDefault="007C52B5" w:rsidP="00483793">
            <w:pPr>
              <w:keepNext/>
              <w:keepLines/>
              <w:spacing w:after="0"/>
              <w:jc w:val="center"/>
              <w:rPr>
                <w:sz w:val="18"/>
                <w:szCs w:val="20"/>
              </w:rPr>
            </w:pPr>
            <w:r w:rsidRPr="007C52B5">
              <w:rPr>
                <w:sz w:val="18"/>
                <w:szCs w:val="20"/>
              </w:rPr>
              <w:t>4,137.9</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322A9D" w14:textId="77777777" w:rsidR="007C52B5" w:rsidRPr="007C52B5" w:rsidRDefault="007C52B5" w:rsidP="00483793">
            <w:pPr>
              <w:keepNext/>
              <w:keepLines/>
              <w:spacing w:after="0"/>
              <w:jc w:val="center"/>
              <w:rPr>
                <w:sz w:val="18"/>
                <w:szCs w:val="20"/>
              </w:rPr>
            </w:pPr>
            <w:r w:rsidRPr="007C52B5">
              <w:rPr>
                <w:sz w:val="18"/>
                <w:szCs w:val="20"/>
              </w:rPr>
              <w:t>4,520.2</w:t>
            </w:r>
          </w:p>
        </w:tc>
        <w:tc>
          <w:tcPr>
            <w:tcW w:w="1017"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B99C869" w14:textId="77777777" w:rsidR="007C52B5" w:rsidRPr="007C52B5" w:rsidRDefault="007C52B5" w:rsidP="00483793">
            <w:pPr>
              <w:keepNext/>
              <w:keepLines/>
              <w:spacing w:after="0"/>
              <w:jc w:val="center"/>
              <w:rPr>
                <w:sz w:val="18"/>
                <w:szCs w:val="20"/>
              </w:rPr>
            </w:pPr>
            <w:r w:rsidRPr="007C52B5">
              <w:rPr>
                <w:sz w:val="18"/>
                <w:szCs w:val="20"/>
              </w:rPr>
              <w:t>4,902.5</w:t>
            </w:r>
          </w:p>
        </w:tc>
      </w:tr>
      <w:tr w:rsidR="007C52B5" w:rsidRPr="00687BC7" w14:paraId="070B560E" w14:textId="77777777" w:rsidTr="00E1645D">
        <w:trPr>
          <w:trHeight w:val="288"/>
          <w:jc w:val="center"/>
        </w:trPr>
        <w:tc>
          <w:tcPr>
            <w:tcW w:w="4065"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63A209F8" w14:textId="77777777" w:rsidR="007C52B5" w:rsidRPr="007C52B5" w:rsidRDefault="007C52B5" w:rsidP="007C52B5">
            <w:pPr>
              <w:keepNext/>
              <w:keepLines/>
              <w:spacing w:after="0"/>
              <w:rPr>
                <w:sz w:val="18"/>
                <w:szCs w:val="20"/>
              </w:rPr>
            </w:pPr>
            <w:r w:rsidRPr="007C52B5">
              <w:rPr>
                <w:sz w:val="18"/>
                <w:szCs w:val="20"/>
              </w:rPr>
              <w:t>Ten-year natural gas savings due to incentive</w:t>
            </w:r>
            <w:r w:rsidRPr="007C52B5">
              <w:rPr>
                <w:sz w:val="18"/>
                <w:szCs w:val="20"/>
                <w:vertAlign w:val="superscript"/>
              </w:rPr>
              <w:t>*</w:t>
            </w:r>
          </w:p>
        </w:tc>
        <w:tc>
          <w:tcPr>
            <w:tcW w:w="2091" w:type="dxa"/>
            <w:vMerge w:val="restart"/>
            <w:tcBorders>
              <w:top w:val="single" w:sz="4" w:space="0" w:color="000000" w:themeColor="text1"/>
              <w:right w:val="single" w:sz="4" w:space="0" w:color="000000" w:themeColor="text1"/>
            </w:tcBorders>
            <w:shd w:val="clear" w:color="auto" w:fill="BFBFBF" w:themeFill="background1" w:themeFillShade="BF"/>
            <w:vAlign w:val="center"/>
          </w:tcPr>
          <w:p w14:paraId="5A655F8F" w14:textId="77777777" w:rsidR="007C52B5" w:rsidRPr="007C52B5" w:rsidRDefault="007C52B5" w:rsidP="00483793">
            <w:pPr>
              <w:keepNext/>
              <w:keepLines/>
              <w:spacing w:after="0"/>
              <w:rPr>
                <w:sz w:val="18"/>
                <w:szCs w:val="20"/>
              </w:rPr>
            </w:pPr>
            <w:r w:rsidRPr="007C52B5">
              <w:rPr>
                <w:sz w:val="18"/>
                <w:szCs w:val="20"/>
              </w:rPr>
              <w:t>n/a</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7E0FE370" w14:textId="77777777" w:rsidR="007C52B5" w:rsidRPr="007C52B5" w:rsidRDefault="007C52B5" w:rsidP="00483793">
            <w:pPr>
              <w:keepNext/>
              <w:keepLines/>
              <w:spacing w:after="0"/>
              <w:jc w:val="center"/>
              <w:rPr>
                <w:sz w:val="18"/>
                <w:szCs w:val="20"/>
              </w:rPr>
            </w:pPr>
            <w:r w:rsidRPr="007C52B5">
              <w:rPr>
                <w:sz w:val="18"/>
                <w:szCs w:val="20"/>
              </w:rPr>
              <w:t>32.7</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42952E82" w14:textId="77777777" w:rsidR="007C52B5" w:rsidRPr="007C52B5" w:rsidRDefault="007C52B5" w:rsidP="00483793">
            <w:pPr>
              <w:keepNext/>
              <w:keepLines/>
              <w:spacing w:after="0"/>
              <w:jc w:val="center"/>
              <w:rPr>
                <w:sz w:val="18"/>
                <w:szCs w:val="20"/>
              </w:rPr>
            </w:pPr>
            <w:r w:rsidRPr="007C52B5">
              <w:rPr>
                <w:sz w:val="18"/>
                <w:szCs w:val="20"/>
              </w:rPr>
              <w:t>65.4</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7025FD93" w14:textId="77777777" w:rsidR="007C52B5" w:rsidRPr="007C52B5" w:rsidRDefault="007C52B5" w:rsidP="00483793">
            <w:pPr>
              <w:keepNext/>
              <w:keepLines/>
              <w:spacing w:after="0"/>
              <w:jc w:val="center"/>
              <w:rPr>
                <w:sz w:val="18"/>
                <w:szCs w:val="20"/>
              </w:rPr>
            </w:pPr>
            <w:r w:rsidRPr="007C52B5">
              <w:rPr>
                <w:sz w:val="18"/>
                <w:szCs w:val="20"/>
              </w:rPr>
              <w:t>98.1</w:t>
            </w:r>
          </w:p>
        </w:tc>
        <w:tc>
          <w:tcPr>
            <w:tcW w:w="101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7C7DF41F" w14:textId="77777777" w:rsidR="007C52B5" w:rsidRPr="007C52B5" w:rsidRDefault="007C52B5" w:rsidP="00483793">
            <w:pPr>
              <w:keepNext/>
              <w:keepLines/>
              <w:spacing w:after="0"/>
              <w:jc w:val="center"/>
              <w:rPr>
                <w:sz w:val="18"/>
                <w:szCs w:val="20"/>
              </w:rPr>
            </w:pPr>
            <w:r w:rsidRPr="007C52B5">
              <w:rPr>
                <w:sz w:val="18"/>
                <w:szCs w:val="20"/>
              </w:rPr>
              <w:t>130.8</w:t>
            </w:r>
          </w:p>
        </w:tc>
      </w:tr>
      <w:tr w:rsidR="007C52B5" w:rsidRPr="000C16CD" w14:paraId="71672867" w14:textId="77777777" w:rsidTr="00E1645D">
        <w:trPr>
          <w:trHeight w:val="288"/>
          <w:jc w:val="center"/>
        </w:trPr>
        <w:tc>
          <w:tcPr>
            <w:tcW w:w="4065" w:type="dxa"/>
            <w:tcBorders>
              <w:top w:val="single" w:sz="4" w:space="0" w:color="000000" w:themeColor="text1"/>
              <w:left w:val="single" w:sz="4" w:space="0" w:color="auto"/>
              <w:bottom w:val="single" w:sz="4" w:space="0" w:color="auto"/>
              <w:right w:val="single" w:sz="4" w:space="0" w:color="000000" w:themeColor="text1"/>
            </w:tcBorders>
            <w:shd w:val="clear" w:color="auto" w:fill="BFBFBF" w:themeFill="background1" w:themeFillShade="BF"/>
            <w:vAlign w:val="center"/>
          </w:tcPr>
          <w:p w14:paraId="58F11640" w14:textId="77777777" w:rsidR="007C52B5" w:rsidRPr="007C52B5" w:rsidRDefault="007C52B5" w:rsidP="007C52B5">
            <w:pPr>
              <w:keepNext/>
              <w:keepLines/>
              <w:spacing w:after="0"/>
              <w:rPr>
                <w:sz w:val="18"/>
                <w:szCs w:val="20"/>
              </w:rPr>
            </w:pPr>
            <w:r w:rsidRPr="007C52B5">
              <w:rPr>
                <w:sz w:val="18"/>
                <w:szCs w:val="20"/>
              </w:rPr>
              <w:t>Savings percent of base case</w:t>
            </w:r>
          </w:p>
        </w:tc>
        <w:tc>
          <w:tcPr>
            <w:tcW w:w="2091" w:type="dxa"/>
            <w:vMerge/>
            <w:tcBorders>
              <w:bottom w:val="single" w:sz="4" w:space="0" w:color="auto"/>
              <w:right w:val="single" w:sz="4" w:space="0" w:color="000000" w:themeColor="text1"/>
            </w:tcBorders>
            <w:shd w:val="clear" w:color="auto" w:fill="BFBFBF" w:themeFill="background1" w:themeFillShade="BF"/>
            <w:vAlign w:val="center"/>
          </w:tcPr>
          <w:p w14:paraId="33EF73D0" w14:textId="77777777" w:rsidR="007C52B5" w:rsidRPr="007C52B5" w:rsidRDefault="007C52B5" w:rsidP="00483793">
            <w:pPr>
              <w:keepNext/>
              <w:keepLines/>
              <w:spacing w:after="0"/>
              <w:rPr>
                <w:sz w:val="18"/>
                <w:szCs w:val="20"/>
              </w:rPr>
            </w:pPr>
          </w:p>
        </w:tc>
        <w:tc>
          <w:tcPr>
            <w:tcW w:w="101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BFBFBF" w:themeFill="background1" w:themeFillShade="BF"/>
            <w:vAlign w:val="center"/>
          </w:tcPr>
          <w:p w14:paraId="043AAEE2" w14:textId="77777777" w:rsidR="007C52B5" w:rsidRPr="007C52B5" w:rsidRDefault="007C52B5" w:rsidP="00483793">
            <w:pPr>
              <w:keepNext/>
              <w:keepLines/>
              <w:spacing w:after="0"/>
              <w:jc w:val="center"/>
              <w:rPr>
                <w:sz w:val="18"/>
                <w:szCs w:val="20"/>
              </w:rPr>
            </w:pPr>
            <w:r w:rsidRPr="007C52B5">
              <w:rPr>
                <w:sz w:val="18"/>
                <w:szCs w:val="20"/>
              </w:rPr>
              <w:t>0.9%</w:t>
            </w:r>
          </w:p>
        </w:tc>
        <w:tc>
          <w:tcPr>
            <w:tcW w:w="101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BFBFBF" w:themeFill="background1" w:themeFillShade="BF"/>
            <w:vAlign w:val="center"/>
          </w:tcPr>
          <w:p w14:paraId="5A53D00B" w14:textId="77777777" w:rsidR="007C52B5" w:rsidRPr="007C52B5" w:rsidRDefault="007C52B5" w:rsidP="00483793">
            <w:pPr>
              <w:keepNext/>
              <w:keepLines/>
              <w:spacing w:after="0"/>
              <w:jc w:val="center"/>
              <w:rPr>
                <w:sz w:val="18"/>
                <w:szCs w:val="20"/>
              </w:rPr>
            </w:pPr>
            <w:r w:rsidRPr="007C52B5">
              <w:rPr>
                <w:sz w:val="18"/>
                <w:szCs w:val="20"/>
              </w:rPr>
              <w:t>1.6%</w:t>
            </w:r>
          </w:p>
        </w:tc>
        <w:tc>
          <w:tcPr>
            <w:tcW w:w="101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BFBFBF" w:themeFill="background1" w:themeFillShade="BF"/>
            <w:vAlign w:val="center"/>
          </w:tcPr>
          <w:p w14:paraId="5C611BD2" w14:textId="77777777" w:rsidR="007C52B5" w:rsidRPr="007C52B5" w:rsidRDefault="007C52B5" w:rsidP="00483793">
            <w:pPr>
              <w:keepNext/>
              <w:keepLines/>
              <w:spacing w:after="0"/>
              <w:jc w:val="center"/>
              <w:rPr>
                <w:sz w:val="18"/>
                <w:szCs w:val="20"/>
              </w:rPr>
            </w:pPr>
            <w:r w:rsidRPr="007C52B5">
              <w:rPr>
                <w:sz w:val="18"/>
                <w:szCs w:val="20"/>
              </w:rPr>
              <w:t>2.1%</w:t>
            </w:r>
          </w:p>
        </w:tc>
        <w:tc>
          <w:tcPr>
            <w:tcW w:w="1017" w:type="dxa"/>
            <w:tcBorders>
              <w:top w:val="single" w:sz="4" w:space="0" w:color="000000" w:themeColor="text1"/>
              <w:left w:val="single" w:sz="4" w:space="0" w:color="000000" w:themeColor="text1"/>
              <w:bottom w:val="single" w:sz="4" w:space="0" w:color="auto"/>
              <w:right w:val="single" w:sz="4" w:space="0" w:color="auto"/>
            </w:tcBorders>
            <w:shd w:val="clear" w:color="auto" w:fill="BFBFBF" w:themeFill="background1" w:themeFillShade="BF"/>
            <w:vAlign w:val="center"/>
          </w:tcPr>
          <w:p w14:paraId="147541BA" w14:textId="77777777" w:rsidR="007C52B5" w:rsidRPr="007C52B5" w:rsidRDefault="007C52B5" w:rsidP="00483793">
            <w:pPr>
              <w:keepNext/>
              <w:keepLines/>
              <w:spacing w:after="0"/>
              <w:jc w:val="center"/>
              <w:rPr>
                <w:sz w:val="18"/>
                <w:szCs w:val="20"/>
              </w:rPr>
            </w:pPr>
            <w:r w:rsidRPr="007C52B5">
              <w:rPr>
                <w:sz w:val="18"/>
                <w:szCs w:val="20"/>
              </w:rPr>
              <w:t>2.6%</w:t>
            </w:r>
          </w:p>
        </w:tc>
      </w:tr>
      <w:tr w:rsidR="00E1645D" w:rsidRPr="00E1645D" w14:paraId="3337F173" w14:textId="77777777" w:rsidTr="00E1645D">
        <w:trPr>
          <w:trHeight w:val="288"/>
          <w:jc w:val="center"/>
        </w:trPr>
        <w:tc>
          <w:tcPr>
            <w:tcW w:w="10224" w:type="dxa"/>
            <w:gridSpan w:val="6"/>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1D85DB3A" w14:textId="77777777" w:rsidR="007C52B5" w:rsidRPr="00E1645D" w:rsidRDefault="007C52B5" w:rsidP="00483793">
            <w:pPr>
              <w:keepNext/>
              <w:keepLines/>
              <w:spacing w:after="0"/>
              <w:jc w:val="center"/>
              <w:rPr>
                <w:b/>
                <w:color w:val="FFFFFF" w:themeColor="background1"/>
                <w:sz w:val="18"/>
                <w:szCs w:val="20"/>
              </w:rPr>
            </w:pPr>
            <w:r w:rsidRPr="00E1645D">
              <w:rPr>
                <w:b/>
                <w:color w:val="FFFFFF" w:themeColor="background1"/>
                <w:sz w:val="18"/>
                <w:szCs w:val="20"/>
              </w:rPr>
              <w:t>Electricity (million kWh)</w:t>
            </w:r>
          </w:p>
        </w:tc>
      </w:tr>
      <w:tr w:rsidR="007C52B5" w:rsidRPr="000C16CD" w14:paraId="11E7E9AA" w14:textId="77777777" w:rsidTr="00644821">
        <w:trPr>
          <w:trHeight w:val="288"/>
          <w:jc w:val="center"/>
        </w:trPr>
        <w:tc>
          <w:tcPr>
            <w:tcW w:w="4065" w:type="dxa"/>
            <w:vMerge w:val="restart"/>
            <w:tcBorders>
              <w:top w:val="single" w:sz="4" w:space="0" w:color="auto"/>
              <w:left w:val="single" w:sz="4" w:space="0" w:color="auto"/>
              <w:right w:val="single" w:sz="4" w:space="0" w:color="000000" w:themeColor="text1"/>
            </w:tcBorders>
            <w:vAlign w:val="center"/>
          </w:tcPr>
          <w:p w14:paraId="04369728" w14:textId="77777777" w:rsidR="007C52B5" w:rsidRPr="007C52B5" w:rsidRDefault="007C52B5" w:rsidP="007C52B5">
            <w:pPr>
              <w:keepNext/>
              <w:keepLines/>
              <w:spacing w:after="0"/>
              <w:rPr>
                <w:sz w:val="18"/>
                <w:szCs w:val="20"/>
              </w:rPr>
            </w:pPr>
            <w:r w:rsidRPr="007C52B5">
              <w:rPr>
                <w:sz w:val="18"/>
                <w:szCs w:val="20"/>
              </w:rPr>
              <w:t>Total electricity consumption over 10 years</w:t>
            </w:r>
            <w:r w:rsidRPr="007C52B5">
              <w:rPr>
                <w:sz w:val="18"/>
                <w:szCs w:val="20"/>
                <w:vertAlign w:val="superscript"/>
              </w:rPr>
              <w:t>*</w:t>
            </w:r>
          </w:p>
        </w:tc>
        <w:tc>
          <w:tcPr>
            <w:tcW w:w="2091" w:type="dxa"/>
            <w:tcBorders>
              <w:top w:val="single" w:sz="4" w:space="0" w:color="auto"/>
              <w:right w:val="single" w:sz="4" w:space="0" w:color="000000" w:themeColor="text1"/>
            </w:tcBorders>
            <w:vAlign w:val="center"/>
          </w:tcPr>
          <w:p w14:paraId="3D518CDC" w14:textId="77777777" w:rsidR="007C52B5" w:rsidRPr="007C52B5" w:rsidRDefault="007C52B5" w:rsidP="00483793">
            <w:pPr>
              <w:keepNext/>
              <w:keepLines/>
              <w:spacing w:after="0"/>
              <w:rPr>
                <w:sz w:val="18"/>
                <w:szCs w:val="20"/>
              </w:rPr>
            </w:pPr>
            <w:r w:rsidRPr="007C52B5">
              <w:rPr>
                <w:sz w:val="18"/>
                <w:szCs w:val="20"/>
              </w:rPr>
              <w:t>No fuel switching</w:t>
            </w:r>
          </w:p>
        </w:tc>
        <w:tc>
          <w:tcPr>
            <w:tcW w:w="4068" w:type="dxa"/>
            <w:gridSpan w:val="4"/>
            <w:tcBorders>
              <w:top w:val="single" w:sz="4" w:space="0" w:color="auto"/>
              <w:left w:val="single" w:sz="4" w:space="0" w:color="000000" w:themeColor="text1"/>
              <w:bottom w:val="single" w:sz="4" w:space="0" w:color="000000" w:themeColor="text1"/>
              <w:right w:val="single" w:sz="4" w:space="0" w:color="auto"/>
            </w:tcBorders>
            <w:vAlign w:val="center"/>
          </w:tcPr>
          <w:p w14:paraId="7C9597A7" w14:textId="77777777" w:rsidR="007C52B5" w:rsidRPr="007C52B5" w:rsidRDefault="007C52B5" w:rsidP="00483793">
            <w:pPr>
              <w:keepNext/>
              <w:keepLines/>
              <w:spacing w:after="0"/>
              <w:jc w:val="center"/>
              <w:rPr>
                <w:sz w:val="18"/>
                <w:szCs w:val="20"/>
              </w:rPr>
            </w:pPr>
            <w:r w:rsidRPr="007C52B5">
              <w:rPr>
                <w:sz w:val="18"/>
                <w:szCs w:val="20"/>
              </w:rPr>
              <w:t>126,051.1</w:t>
            </w:r>
          </w:p>
        </w:tc>
      </w:tr>
      <w:tr w:rsidR="007C52B5" w:rsidRPr="000C16CD" w14:paraId="009C85DC" w14:textId="77777777" w:rsidTr="00644821">
        <w:trPr>
          <w:trHeight w:val="288"/>
          <w:jc w:val="center"/>
        </w:trPr>
        <w:tc>
          <w:tcPr>
            <w:tcW w:w="4065" w:type="dxa"/>
            <w:vMerge/>
            <w:tcBorders>
              <w:left w:val="single" w:sz="4" w:space="0" w:color="auto"/>
              <w:right w:val="single" w:sz="4" w:space="0" w:color="000000" w:themeColor="text1"/>
            </w:tcBorders>
            <w:vAlign w:val="center"/>
          </w:tcPr>
          <w:p w14:paraId="08FBEC50" w14:textId="77777777" w:rsidR="007C52B5" w:rsidRPr="007C52B5" w:rsidRDefault="007C52B5" w:rsidP="007C52B5">
            <w:pPr>
              <w:keepNext/>
              <w:keepLines/>
              <w:spacing w:after="0"/>
              <w:rPr>
                <w:sz w:val="18"/>
                <w:szCs w:val="20"/>
              </w:rPr>
            </w:pPr>
          </w:p>
        </w:tc>
        <w:tc>
          <w:tcPr>
            <w:tcW w:w="2091" w:type="dxa"/>
            <w:tcBorders>
              <w:right w:val="single" w:sz="4" w:space="0" w:color="000000" w:themeColor="text1"/>
            </w:tcBorders>
            <w:vAlign w:val="center"/>
          </w:tcPr>
          <w:p w14:paraId="43A56C77" w14:textId="77777777" w:rsidR="007C52B5" w:rsidRPr="007C52B5" w:rsidRDefault="007C52B5" w:rsidP="00483793">
            <w:pPr>
              <w:keepNext/>
              <w:keepLines/>
              <w:spacing w:after="0"/>
              <w:rPr>
                <w:sz w:val="18"/>
                <w:szCs w:val="20"/>
              </w:rPr>
            </w:pPr>
            <w:r w:rsidRPr="007C52B5">
              <w:rPr>
                <w:sz w:val="18"/>
                <w:szCs w:val="20"/>
              </w:rPr>
              <w:t xml:space="preserve">Base case scenario </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3EDBEF" w14:textId="77777777" w:rsidR="007C52B5" w:rsidRPr="007C52B5" w:rsidRDefault="007C52B5" w:rsidP="00483793">
            <w:pPr>
              <w:keepNext/>
              <w:keepLines/>
              <w:spacing w:after="0"/>
              <w:jc w:val="center"/>
              <w:rPr>
                <w:sz w:val="18"/>
                <w:szCs w:val="20"/>
              </w:rPr>
            </w:pPr>
            <w:r w:rsidRPr="007C52B5">
              <w:rPr>
                <w:sz w:val="18"/>
                <w:szCs w:val="20"/>
              </w:rPr>
              <w:t>128,419.4</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883D55" w14:textId="77777777" w:rsidR="007C52B5" w:rsidRPr="007C52B5" w:rsidRDefault="007C52B5" w:rsidP="00483793">
            <w:pPr>
              <w:keepNext/>
              <w:keepLines/>
              <w:spacing w:after="0"/>
              <w:jc w:val="center"/>
              <w:rPr>
                <w:sz w:val="18"/>
                <w:szCs w:val="20"/>
              </w:rPr>
            </w:pPr>
            <w:r w:rsidRPr="007C52B5">
              <w:rPr>
                <w:sz w:val="18"/>
                <w:szCs w:val="20"/>
              </w:rPr>
              <w:t>130,787.7</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A5DA18" w14:textId="77777777" w:rsidR="007C52B5" w:rsidRPr="007C52B5" w:rsidRDefault="007C52B5" w:rsidP="00483793">
            <w:pPr>
              <w:keepNext/>
              <w:keepLines/>
              <w:spacing w:after="0"/>
              <w:jc w:val="center"/>
              <w:rPr>
                <w:sz w:val="18"/>
                <w:szCs w:val="20"/>
              </w:rPr>
            </w:pPr>
            <w:r w:rsidRPr="007C52B5">
              <w:rPr>
                <w:sz w:val="18"/>
                <w:szCs w:val="20"/>
              </w:rPr>
              <w:t>133,156.0</w:t>
            </w:r>
          </w:p>
        </w:tc>
        <w:tc>
          <w:tcPr>
            <w:tcW w:w="1017"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8AC99FF" w14:textId="77777777" w:rsidR="007C52B5" w:rsidRPr="007C52B5" w:rsidRDefault="007C52B5" w:rsidP="00483793">
            <w:pPr>
              <w:keepNext/>
              <w:keepLines/>
              <w:spacing w:after="0"/>
              <w:jc w:val="center"/>
              <w:rPr>
                <w:sz w:val="18"/>
                <w:szCs w:val="20"/>
              </w:rPr>
            </w:pPr>
            <w:r w:rsidRPr="007C52B5">
              <w:rPr>
                <w:sz w:val="18"/>
                <w:szCs w:val="20"/>
              </w:rPr>
              <w:t>135,524.3</w:t>
            </w:r>
          </w:p>
        </w:tc>
      </w:tr>
      <w:tr w:rsidR="007C52B5" w:rsidRPr="000C16CD" w14:paraId="7997B0F2" w14:textId="77777777" w:rsidTr="00644821">
        <w:trPr>
          <w:trHeight w:val="288"/>
          <w:jc w:val="center"/>
        </w:trPr>
        <w:tc>
          <w:tcPr>
            <w:tcW w:w="4065" w:type="dxa"/>
            <w:vMerge/>
            <w:tcBorders>
              <w:left w:val="single" w:sz="4" w:space="0" w:color="auto"/>
              <w:bottom w:val="single" w:sz="4" w:space="0" w:color="000000" w:themeColor="text1"/>
              <w:right w:val="single" w:sz="4" w:space="0" w:color="000000" w:themeColor="text1"/>
            </w:tcBorders>
            <w:vAlign w:val="center"/>
          </w:tcPr>
          <w:p w14:paraId="0FC80192" w14:textId="77777777" w:rsidR="007C52B5" w:rsidRPr="007C52B5" w:rsidRDefault="007C52B5" w:rsidP="007C52B5">
            <w:pPr>
              <w:keepNext/>
              <w:keepLines/>
              <w:spacing w:after="0"/>
              <w:rPr>
                <w:sz w:val="18"/>
                <w:szCs w:val="20"/>
              </w:rPr>
            </w:pPr>
          </w:p>
        </w:tc>
        <w:tc>
          <w:tcPr>
            <w:tcW w:w="2091" w:type="dxa"/>
            <w:tcBorders>
              <w:right w:val="single" w:sz="4" w:space="0" w:color="000000" w:themeColor="text1"/>
            </w:tcBorders>
            <w:vAlign w:val="center"/>
          </w:tcPr>
          <w:p w14:paraId="06F0FDCF" w14:textId="77777777" w:rsidR="007C52B5" w:rsidRPr="007C52B5" w:rsidRDefault="007C52B5" w:rsidP="00483793">
            <w:pPr>
              <w:keepNext/>
              <w:keepLines/>
              <w:spacing w:after="0"/>
              <w:rPr>
                <w:sz w:val="18"/>
                <w:szCs w:val="20"/>
              </w:rPr>
            </w:pPr>
            <w:r w:rsidRPr="007C52B5">
              <w:rPr>
                <w:sz w:val="18"/>
                <w:szCs w:val="20"/>
              </w:rPr>
              <w:t>Upgrade case scenario</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459CEA" w14:textId="77777777" w:rsidR="007C52B5" w:rsidRPr="007C52B5" w:rsidRDefault="007C52B5" w:rsidP="00483793">
            <w:pPr>
              <w:keepNext/>
              <w:keepLines/>
              <w:spacing w:after="0"/>
              <w:jc w:val="center"/>
              <w:rPr>
                <w:sz w:val="18"/>
                <w:szCs w:val="20"/>
              </w:rPr>
            </w:pPr>
            <w:r w:rsidRPr="007C52B5">
              <w:rPr>
                <w:sz w:val="18"/>
                <w:szCs w:val="20"/>
              </w:rPr>
              <w:t>128,167.6</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A1B3BC" w14:textId="77777777" w:rsidR="007C52B5" w:rsidRPr="007C52B5" w:rsidRDefault="007C52B5" w:rsidP="00483793">
            <w:pPr>
              <w:keepNext/>
              <w:keepLines/>
              <w:spacing w:after="0"/>
              <w:jc w:val="center"/>
              <w:rPr>
                <w:sz w:val="18"/>
                <w:szCs w:val="20"/>
              </w:rPr>
            </w:pPr>
            <w:r w:rsidRPr="007C52B5">
              <w:rPr>
                <w:sz w:val="18"/>
                <w:szCs w:val="20"/>
              </w:rPr>
              <w:t>130,284.0</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78F2B0" w14:textId="77777777" w:rsidR="007C52B5" w:rsidRPr="007C52B5" w:rsidRDefault="007C52B5" w:rsidP="00483793">
            <w:pPr>
              <w:keepNext/>
              <w:keepLines/>
              <w:spacing w:after="0"/>
              <w:jc w:val="center"/>
              <w:rPr>
                <w:sz w:val="18"/>
                <w:szCs w:val="20"/>
              </w:rPr>
            </w:pPr>
            <w:r w:rsidRPr="007C52B5">
              <w:rPr>
                <w:sz w:val="18"/>
                <w:szCs w:val="20"/>
              </w:rPr>
              <w:t>132,400.5</w:t>
            </w:r>
          </w:p>
        </w:tc>
        <w:tc>
          <w:tcPr>
            <w:tcW w:w="1017"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803170B" w14:textId="77777777" w:rsidR="007C52B5" w:rsidRPr="007C52B5" w:rsidRDefault="007C52B5" w:rsidP="00483793">
            <w:pPr>
              <w:keepNext/>
              <w:keepLines/>
              <w:spacing w:after="0"/>
              <w:jc w:val="center"/>
              <w:rPr>
                <w:sz w:val="18"/>
                <w:szCs w:val="20"/>
              </w:rPr>
            </w:pPr>
            <w:r w:rsidRPr="007C52B5">
              <w:rPr>
                <w:sz w:val="18"/>
                <w:szCs w:val="20"/>
              </w:rPr>
              <w:t>134,516.9</w:t>
            </w:r>
          </w:p>
        </w:tc>
      </w:tr>
      <w:tr w:rsidR="007C52B5" w:rsidRPr="000C16CD" w14:paraId="4218D5ED" w14:textId="77777777" w:rsidTr="00E1645D">
        <w:trPr>
          <w:trHeight w:val="288"/>
          <w:jc w:val="center"/>
        </w:trPr>
        <w:tc>
          <w:tcPr>
            <w:tcW w:w="4065"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4B6C3DB5" w14:textId="77777777" w:rsidR="007C52B5" w:rsidRPr="007C52B5" w:rsidRDefault="007C52B5" w:rsidP="007C52B5">
            <w:pPr>
              <w:keepNext/>
              <w:keepLines/>
              <w:spacing w:after="0"/>
              <w:rPr>
                <w:sz w:val="18"/>
                <w:szCs w:val="20"/>
              </w:rPr>
            </w:pPr>
            <w:r w:rsidRPr="007C52B5">
              <w:rPr>
                <w:sz w:val="18"/>
                <w:szCs w:val="20"/>
              </w:rPr>
              <w:t>Ten-year electricity savings due to incentive</w:t>
            </w:r>
            <w:r w:rsidRPr="007C52B5">
              <w:rPr>
                <w:sz w:val="18"/>
                <w:szCs w:val="20"/>
                <w:vertAlign w:val="superscript"/>
              </w:rPr>
              <w:t>*</w:t>
            </w:r>
          </w:p>
        </w:tc>
        <w:tc>
          <w:tcPr>
            <w:tcW w:w="2091" w:type="dxa"/>
            <w:vMerge w:val="restart"/>
            <w:tcBorders>
              <w:right w:val="single" w:sz="4" w:space="0" w:color="000000" w:themeColor="text1"/>
            </w:tcBorders>
            <w:shd w:val="clear" w:color="auto" w:fill="BFBFBF" w:themeFill="background1" w:themeFillShade="BF"/>
            <w:vAlign w:val="center"/>
          </w:tcPr>
          <w:p w14:paraId="12882418" w14:textId="77777777" w:rsidR="007C52B5" w:rsidRPr="007C52B5" w:rsidRDefault="007C52B5" w:rsidP="00483793">
            <w:pPr>
              <w:keepNext/>
              <w:keepLines/>
              <w:spacing w:after="0"/>
              <w:rPr>
                <w:sz w:val="18"/>
                <w:szCs w:val="20"/>
              </w:rPr>
            </w:pPr>
            <w:r w:rsidRPr="007C52B5">
              <w:rPr>
                <w:sz w:val="18"/>
                <w:szCs w:val="20"/>
              </w:rPr>
              <w:t>n/a</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0BDD704F" w14:textId="77777777" w:rsidR="007C52B5" w:rsidRPr="007C52B5" w:rsidRDefault="007C52B5" w:rsidP="00483793">
            <w:pPr>
              <w:keepNext/>
              <w:keepLines/>
              <w:spacing w:after="0"/>
              <w:jc w:val="center"/>
              <w:rPr>
                <w:sz w:val="18"/>
                <w:szCs w:val="20"/>
              </w:rPr>
            </w:pPr>
            <w:r w:rsidRPr="007C52B5">
              <w:rPr>
                <w:sz w:val="18"/>
                <w:szCs w:val="20"/>
              </w:rPr>
              <w:t>251.8</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492A3408" w14:textId="77777777" w:rsidR="007C52B5" w:rsidRPr="007C52B5" w:rsidRDefault="007C52B5" w:rsidP="00483793">
            <w:pPr>
              <w:keepNext/>
              <w:keepLines/>
              <w:spacing w:after="0"/>
              <w:jc w:val="center"/>
              <w:rPr>
                <w:sz w:val="18"/>
                <w:szCs w:val="20"/>
              </w:rPr>
            </w:pPr>
            <w:r w:rsidRPr="007C52B5">
              <w:rPr>
                <w:sz w:val="18"/>
                <w:szCs w:val="20"/>
              </w:rPr>
              <w:t>503.7</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731AEC9F" w14:textId="77777777" w:rsidR="007C52B5" w:rsidRPr="007C52B5" w:rsidRDefault="007C52B5" w:rsidP="00483793">
            <w:pPr>
              <w:keepNext/>
              <w:keepLines/>
              <w:spacing w:after="0"/>
              <w:jc w:val="center"/>
              <w:rPr>
                <w:sz w:val="18"/>
                <w:szCs w:val="20"/>
              </w:rPr>
            </w:pPr>
            <w:r w:rsidRPr="007C52B5">
              <w:rPr>
                <w:sz w:val="18"/>
                <w:szCs w:val="20"/>
              </w:rPr>
              <w:t>755.5</w:t>
            </w:r>
          </w:p>
        </w:tc>
        <w:tc>
          <w:tcPr>
            <w:tcW w:w="101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6AF4882B" w14:textId="77777777" w:rsidR="007C52B5" w:rsidRPr="007C52B5" w:rsidRDefault="007C52B5" w:rsidP="00483793">
            <w:pPr>
              <w:keepNext/>
              <w:keepLines/>
              <w:spacing w:after="0"/>
              <w:jc w:val="center"/>
              <w:rPr>
                <w:sz w:val="18"/>
                <w:szCs w:val="20"/>
              </w:rPr>
            </w:pPr>
            <w:r w:rsidRPr="007C52B5">
              <w:rPr>
                <w:sz w:val="18"/>
                <w:szCs w:val="20"/>
              </w:rPr>
              <w:t>1,007.4</w:t>
            </w:r>
          </w:p>
        </w:tc>
      </w:tr>
      <w:tr w:rsidR="007C52B5" w:rsidRPr="000C16CD" w14:paraId="6197C8DE" w14:textId="77777777" w:rsidTr="00E1645D">
        <w:trPr>
          <w:trHeight w:val="288"/>
          <w:jc w:val="center"/>
        </w:trPr>
        <w:tc>
          <w:tcPr>
            <w:tcW w:w="4065" w:type="dxa"/>
            <w:tcBorders>
              <w:top w:val="single" w:sz="4" w:space="0" w:color="000000" w:themeColor="text1"/>
              <w:left w:val="single" w:sz="4" w:space="0" w:color="auto"/>
              <w:bottom w:val="single" w:sz="4" w:space="0" w:color="auto"/>
              <w:right w:val="single" w:sz="4" w:space="0" w:color="000000" w:themeColor="text1"/>
            </w:tcBorders>
            <w:shd w:val="clear" w:color="auto" w:fill="BFBFBF" w:themeFill="background1" w:themeFillShade="BF"/>
            <w:vAlign w:val="center"/>
          </w:tcPr>
          <w:p w14:paraId="4DD3CC20" w14:textId="77777777" w:rsidR="007C52B5" w:rsidRPr="007C52B5" w:rsidRDefault="007C52B5" w:rsidP="007C52B5">
            <w:pPr>
              <w:keepNext/>
              <w:keepLines/>
              <w:spacing w:after="0"/>
              <w:rPr>
                <w:sz w:val="18"/>
                <w:szCs w:val="20"/>
              </w:rPr>
            </w:pPr>
            <w:r w:rsidRPr="007C52B5">
              <w:rPr>
                <w:sz w:val="18"/>
                <w:szCs w:val="20"/>
              </w:rPr>
              <w:t>Savings percent of base case</w:t>
            </w:r>
          </w:p>
        </w:tc>
        <w:tc>
          <w:tcPr>
            <w:tcW w:w="2091" w:type="dxa"/>
            <w:vMerge/>
            <w:tcBorders>
              <w:bottom w:val="single" w:sz="4" w:space="0" w:color="auto"/>
              <w:right w:val="single" w:sz="4" w:space="0" w:color="000000" w:themeColor="text1"/>
            </w:tcBorders>
            <w:shd w:val="clear" w:color="auto" w:fill="BFBFBF" w:themeFill="background1" w:themeFillShade="BF"/>
            <w:vAlign w:val="center"/>
          </w:tcPr>
          <w:p w14:paraId="514AB819" w14:textId="77777777" w:rsidR="007C52B5" w:rsidRPr="007C52B5" w:rsidRDefault="007C52B5" w:rsidP="00483793">
            <w:pPr>
              <w:keepNext/>
              <w:keepLines/>
              <w:spacing w:after="0"/>
              <w:rPr>
                <w:sz w:val="18"/>
                <w:szCs w:val="20"/>
              </w:rPr>
            </w:pPr>
          </w:p>
        </w:tc>
        <w:tc>
          <w:tcPr>
            <w:tcW w:w="101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BFBFBF" w:themeFill="background1" w:themeFillShade="BF"/>
            <w:vAlign w:val="center"/>
          </w:tcPr>
          <w:p w14:paraId="3A857412" w14:textId="77777777" w:rsidR="007C52B5" w:rsidRPr="007C52B5" w:rsidRDefault="007C52B5" w:rsidP="00483793">
            <w:pPr>
              <w:keepNext/>
              <w:keepLines/>
              <w:spacing w:after="0"/>
              <w:jc w:val="center"/>
              <w:rPr>
                <w:sz w:val="18"/>
                <w:szCs w:val="20"/>
              </w:rPr>
            </w:pPr>
            <w:r w:rsidRPr="007C52B5">
              <w:rPr>
                <w:sz w:val="18"/>
                <w:szCs w:val="20"/>
              </w:rPr>
              <w:t>0.2%</w:t>
            </w:r>
          </w:p>
        </w:tc>
        <w:tc>
          <w:tcPr>
            <w:tcW w:w="101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BFBFBF" w:themeFill="background1" w:themeFillShade="BF"/>
            <w:vAlign w:val="center"/>
          </w:tcPr>
          <w:p w14:paraId="2CC299FA" w14:textId="77777777" w:rsidR="007C52B5" w:rsidRPr="007C52B5" w:rsidRDefault="007C52B5" w:rsidP="00483793">
            <w:pPr>
              <w:keepNext/>
              <w:keepLines/>
              <w:spacing w:after="0"/>
              <w:jc w:val="center"/>
              <w:rPr>
                <w:sz w:val="18"/>
                <w:szCs w:val="20"/>
              </w:rPr>
            </w:pPr>
            <w:r w:rsidRPr="007C52B5">
              <w:rPr>
                <w:sz w:val="18"/>
                <w:szCs w:val="20"/>
              </w:rPr>
              <w:t>0.4%</w:t>
            </w:r>
          </w:p>
        </w:tc>
        <w:tc>
          <w:tcPr>
            <w:tcW w:w="101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BFBFBF" w:themeFill="background1" w:themeFillShade="BF"/>
            <w:vAlign w:val="center"/>
          </w:tcPr>
          <w:p w14:paraId="4099D194" w14:textId="77777777" w:rsidR="007C52B5" w:rsidRPr="007C52B5" w:rsidRDefault="007C52B5" w:rsidP="00483793">
            <w:pPr>
              <w:keepNext/>
              <w:keepLines/>
              <w:spacing w:after="0"/>
              <w:jc w:val="center"/>
              <w:rPr>
                <w:sz w:val="18"/>
                <w:szCs w:val="20"/>
              </w:rPr>
            </w:pPr>
            <w:r w:rsidRPr="007C52B5">
              <w:rPr>
                <w:sz w:val="18"/>
                <w:szCs w:val="20"/>
              </w:rPr>
              <w:t>0.6%</w:t>
            </w:r>
          </w:p>
        </w:tc>
        <w:tc>
          <w:tcPr>
            <w:tcW w:w="1017" w:type="dxa"/>
            <w:tcBorders>
              <w:top w:val="single" w:sz="4" w:space="0" w:color="000000" w:themeColor="text1"/>
              <w:left w:val="single" w:sz="4" w:space="0" w:color="000000" w:themeColor="text1"/>
              <w:bottom w:val="single" w:sz="4" w:space="0" w:color="auto"/>
              <w:right w:val="single" w:sz="4" w:space="0" w:color="auto"/>
            </w:tcBorders>
            <w:shd w:val="clear" w:color="auto" w:fill="BFBFBF" w:themeFill="background1" w:themeFillShade="BF"/>
            <w:vAlign w:val="center"/>
          </w:tcPr>
          <w:p w14:paraId="6809F8B9" w14:textId="77777777" w:rsidR="007C52B5" w:rsidRPr="007C52B5" w:rsidRDefault="007C52B5" w:rsidP="00483793">
            <w:pPr>
              <w:keepNext/>
              <w:keepLines/>
              <w:spacing w:after="0"/>
              <w:jc w:val="center"/>
              <w:rPr>
                <w:sz w:val="18"/>
                <w:szCs w:val="20"/>
              </w:rPr>
            </w:pPr>
            <w:r w:rsidRPr="007C52B5">
              <w:rPr>
                <w:sz w:val="18"/>
                <w:szCs w:val="20"/>
              </w:rPr>
              <w:t>0.7%</w:t>
            </w:r>
          </w:p>
        </w:tc>
      </w:tr>
      <w:tr w:rsidR="00E1645D" w:rsidRPr="00E1645D" w14:paraId="3A9E55C8" w14:textId="77777777" w:rsidTr="00E1645D">
        <w:trPr>
          <w:trHeight w:val="288"/>
          <w:jc w:val="center"/>
        </w:trPr>
        <w:tc>
          <w:tcPr>
            <w:tcW w:w="10224" w:type="dxa"/>
            <w:gridSpan w:val="6"/>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1701C990" w14:textId="77777777" w:rsidR="007C52B5" w:rsidRPr="00E1645D" w:rsidRDefault="007C52B5" w:rsidP="00483793">
            <w:pPr>
              <w:keepNext/>
              <w:keepLines/>
              <w:spacing w:after="0"/>
              <w:jc w:val="center"/>
              <w:rPr>
                <w:b/>
                <w:color w:val="FFFFFF" w:themeColor="background1"/>
                <w:sz w:val="18"/>
                <w:szCs w:val="20"/>
              </w:rPr>
            </w:pPr>
            <w:r w:rsidRPr="00E1645D">
              <w:rPr>
                <w:b/>
                <w:color w:val="FFFFFF" w:themeColor="background1"/>
                <w:sz w:val="18"/>
                <w:szCs w:val="20"/>
              </w:rPr>
              <w:t>Fuel oil (million gallons)</w:t>
            </w:r>
          </w:p>
        </w:tc>
      </w:tr>
      <w:tr w:rsidR="007C52B5" w:rsidRPr="000C16CD" w14:paraId="361B39E4" w14:textId="77777777" w:rsidTr="00644821">
        <w:trPr>
          <w:trHeight w:val="288"/>
          <w:jc w:val="center"/>
        </w:trPr>
        <w:tc>
          <w:tcPr>
            <w:tcW w:w="4065" w:type="dxa"/>
            <w:vMerge w:val="restart"/>
            <w:tcBorders>
              <w:top w:val="single" w:sz="4" w:space="0" w:color="auto"/>
              <w:left w:val="single" w:sz="4" w:space="0" w:color="auto"/>
              <w:right w:val="single" w:sz="4" w:space="0" w:color="000000" w:themeColor="text1"/>
            </w:tcBorders>
            <w:vAlign w:val="center"/>
          </w:tcPr>
          <w:p w14:paraId="674DA389" w14:textId="77777777" w:rsidR="007C52B5" w:rsidRPr="007C52B5" w:rsidRDefault="007C52B5" w:rsidP="007C52B5">
            <w:pPr>
              <w:keepNext/>
              <w:keepLines/>
              <w:spacing w:after="0"/>
              <w:rPr>
                <w:sz w:val="18"/>
                <w:szCs w:val="20"/>
              </w:rPr>
            </w:pPr>
            <w:r w:rsidRPr="007C52B5">
              <w:rPr>
                <w:sz w:val="18"/>
                <w:szCs w:val="20"/>
              </w:rPr>
              <w:t>Total fuel oil consumption over 10 years</w:t>
            </w:r>
            <w:r w:rsidRPr="007C52B5">
              <w:rPr>
                <w:sz w:val="18"/>
                <w:szCs w:val="20"/>
                <w:vertAlign w:val="superscript"/>
              </w:rPr>
              <w:t>*</w:t>
            </w:r>
          </w:p>
        </w:tc>
        <w:tc>
          <w:tcPr>
            <w:tcW w:w="2091" w:type="dxa"/>
            <w:tcBorders>
              <w:top w:val="single" w:sz="4" w:space="0" w:color="auto"/>
              <w:right w:val="single" w:sz="4" w:space="0" w:color="000000" w:themeColor="text1"/>
            </w:tcBorders>
            <w:vAlign w:val="center"/>
          </w:tcPr>
          <w:p w14:paraId="28879C5B" w14:textId="77777777" w:rsidR="007C52B5" w:rsidRPr="007C52B5" w:rsidRDefault="007C52B5" w:rsidP="00483793">
            <w:pPr>
              <w:keepNext/>
              <w:keepLines/>
              <w:spacing w:after="0"/>
              <w:rPr>
                <w:sz w:val="18"/>
                <w:szCs w:val="20"/>
              </w:rPr>
            </w:pPr>
            <w:r w:rsidRPr="007C52B5">
              <w:rPr>
                <w:sz w:val="18"/>
                <w:szCs w:val="20"/>
              </w:rPr>
              <w:t>No fuel switching</w:t>
            </w:r>
          </w:p>
        </w:tc>
        <w:tc>
          <w:tcPr>
            <w:tcW w:w="4068" w:type="dxa"/>
            <w:gridSpan w:val="4"/>
            <w:tcBorders>
              <w:top w:val="single" w:sz="4" w:space="0" w:color="auto"/>
              <w:left w:val="single" w:sz="4" w:space="0" w:color="000000" w:themeColor="text1"/>
              <w:bottom w:val="single" w:sz="4" w:space="0" w:color="000000" w:themeColor="text1"/>
              <w:right w:val="single" w:sz="4" w:space="0" w:color="auto"/>
            </w:tcBorders>
            <w:vAlign w:val="center"/>
          </w:tcPr>
          <w:p w14:paraId="758623E0" w14:textId="77777777" w:rsidR="007C52B5" w:rsidRPr="007C52B5" w:rsidRDefault="007C52B5" w:rsidP="00483793">
            <w:pPr>
              <w:keepNext/>
              <w:keepLines/>
              <w:spacing w:after="0"/>
              <w:jc w:val="center"/>
              <w:rPr>
                <w:sz w:val="18"/>
                <w:szCs w:val="20"/>
              </w:rPr>
            </w:pPr>
            <w:r w:rsidRPr="007C52B5">
              <w:rPr>
                <w:sz w:val="18"/>
                <w:szCs w:val="20"/>
              </w:rPr>
              <w:t>4,804.5</w:t>
            </w:r>
          </w:p>
        </w:tc>
      </w:tr>
      <w:tr w:rsidR="007C52B5" w:rsidRPr="000C16CD" w14:paraId="36AA08B8" w14:textId="77777777" w:rsidTr="00644821">
        <w:trPr>
          <w:trHeight w:val="288"/>
          <w:jc w:val="center"/>
        </w:trPr>
        <w:tc>
          <w:tcPr>
            <w:tcW w:w="4065" w:type="dxa"/>
            <w:vMerge/>
            <w:tcBorders>
              <w:left w:val="single" w:sz="4" w:space="0" w:color="auto"/>
              <w:right w:val="single" w:sz="4" w:space="0" w:color="000000" w:themeColor="text1"/>
            </w:tcBorders>
            <w:vAlign w:val="center"/>
          </w:tcPr>
          <w:p w14:paraId="4D88C0DC" w14:textId="77777777" w:rsidR="007C52B5" w:rsidRPr="007C52B5" w:rsidRDefault="007C52B5" w:rsidP="007C52B5">
            <w:pPr>
              <w:keepNext/>
              <w:keepLines/>
              <w:spacing w:after="0"/>
              <w:rPr>
                <w:sz w:val="18"/>
                <w:szCs w:val="20"/>
              </w:rPr>
            </w:pPr>
          </w:p>
        </w:tc>
        <w:tc>
          <w:tcPr>
            <w:tcW w:w="2091" w:type="dxa"/>
            <w:tcBorders>
              <w:right w:val="single" w:sz="4" w:space="0" w:color="000000" w:themeColor="text1"/>
            </w:tcBorders>
            <w:vAlign w:val="center"/>
          </w:tcPr>
          <w:p w14:paraId="125B9A61" w14:textId="77777777" w:rsidR="007C52B5" w:rsidRPr="007C52B5" w:rsidRDefault="007C52B5" w:rsidP="00483793">
            <w:pPr>
              <w:keepNext/>
              <w:keepLines/>
              <w:spacing w:after="0"/>
              <w:rPr>
                <w:sz w:val="18"/>
                <w:szCs w:val="20"/>
              </w:rPr>
            </w:pPr>
            <w:r w:rsidRPr="007C52B5">
              <w:rPr>
                <w:sz w:val="18"/>
                <w:szCs w:val="20"/>
              </w:rPr>
              <w:t xml:space="preserve">Base case scenario </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3E48A3" w14:textId="77777777" w:rsidR="007C52B5" w:rsidRPr="007C52B5" w:rsidRDefault="007C52B5" w:rsidP="00483793">
            <w:pPr>
              <w:keepNext/>
              <w:keepLines/>
              <w:spacing w:after="0"/>
              <w:jc w:val="center"/>
              <w:rPr>
                <w:sz w:val="18"/>
                <w:szCs w:val="20"/>
              </w:rPr>
            </w:pPr>
            <w:r w:rsidRPr="007C52B5">
              <w:rPr>
                <w:sz w:val="18"/>
                <w:szCs w:val="20"/>
              </w:rPr>
              <w:t>4,311.5</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758767" w14:textId="77777777" w:rsidR="007C52B5" w:rsidRPr="007C52B5" w:rsidRDefault="007C52B5" w:rsidP="00483793">
            <w:pPr>
              <w:keepNext/>
              <w:keepLines/>
              <w:spacing w:after="0"/>
              <w:jc w:val="center"/>
              <w:rPr>
                <w:sz w:val="18"/>
                <w:szCs w:val="20"/>
              </w:rPr>
            </w:pPr>
            <w:r w:rsidRPr="007C52B5">
              <w:rPr>
                <w:sz w:val="18"/>
                <w:szCs w:val="20"/>
              </w:rPr>
              <w:t>3,818.4</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D873B9" w14:textId="77777777" w:rsidR="007C52B5" w:rsidRPr="007C52B5" w:rsidRDefault="007C52B5" w:rsidP="00483793">
            <w:pPr>
              <w:keepNext/>
              <w:keepLines/>
              <w:spacing w:after="0"/>
              <w:jc w:val="center"/>
              <w:rPr>
                <w:sz w:val="18"/>
                <w:szCs w:val="20"/>
              </w:rPr>
            </w:pPr>
            <w:r w:rsidRPr="007C52B5">
              <w:rPr>
                <w:sz w:val="18"/>
                <w:szCs w:val="20"/>
              </w:rPr>
              <w:t>3,325.4</w:t>
            </w:r>
          </w:p>
        </w:tc>
        <w:tc>
          <w:tcPr>
            <w:tcW w:w="1017"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0DC8368" w14:textId="77777777" w:rsidR="007C52B5" w:rsidRPr="007C52B5" w:rsidRDefault="007C52B5" w:rsidP="00483793">
            <w:pPr>
              <w:keepNext/>
              <w:keepLines/>
              <w:spacing w:after="0"/>
              <w:jc w:val="center"/>
              <w:rPr>
                <w:sz w:val="18"/>
                <w:szCs w:val="20"/>
              </w:rPr>
            </w:pPr>
            <w:r w:rsidRPr="007C52B5">
              <w:rPr>
                <w:sz w:val="18"/>
                <w:szCs w:val="20"/>
              </w:rPr>
              <w:t>2,832.3</w:t>
            </w:r>
          </w:p>
        </w:tc>
      </w:tr>
      <w:tr w:rsidR="007C52B5" w:rsidRPr="000C16CD" w14:paraId="4D9A0B76" w14:textId="77777777" w:rsidTr="00644821">
        <w:trPr>
          <w:trHeight w:val="288"/>
          <w:jc w:val="center"/>
        </w:trPr>
        <w:tc>
          <w:tcPr>
            <w:tcW w:w="4065" w:type="dxa"/>
            <w:vMerge/>
            <w:tcBorders>
              <w:left w:val="single" w:sz="4" w:space="0" w:color="auto"/>
              <w:bottom w:val="single" w:sz="4" w:space="0" w:color="000000" w:themeColor="text1"/>
              <w:right w:val="single" w:sz="4" w:space="0" w:color="000000" w:themeColor="text1"/>
            </w:tcBorders>
            <w:vAlign w:val="center"/>
          </w:tcPr>
          <w:p w14:paraId="341D4FD0" w14:textId="77777777" w:rsidR="007C52B5" w:rsidRPr="007C52B5" w:rsidRDefault="007C52B5" w:rsidP="007C52B5">
            <w:pPr>
              <w:keepNext/>
              <w:keepLines/>
              <w:spacing w:after="0"/>
              <w:rPr>
                <w:sz w:val="18"/>
                <w:szCs w:val="20"/>
              </w:rPr>
            </w:pPr>
          </w:p>
        </w:tc>
        <w:tc>
          <w:tcPr>
            <w:tcW w:w="2091" w:type="dxa"/>
            <w:tcBorders>
              <w:right w:val="single" w:sz="4" w:space="0" w:color="000000" w:themeColor="text1"/>
            </w:tcBorders>
            <w:vAlign w:val="center"/>
          </w:tcPr>
          <w:p w14:paraId="638BB7A7" w14:textId="77777777" w:rsidR="007C52B5" w:rsidRPr="007C52B5" w:rsidRDefault="007C52B5" w:rsidP="00483793">
            <w:pPr>
              <w:keepNext/>
              <w:keepLines/>
              <w:spacing w:after="0"/>
              <w:rPr>
                <w:sz w:val="18"/>
                <w:szCs w:val="20"/>
              </w:rPr>
            </w:pPr>
            <w:r w:rsidRPr="007C52B5">
              <w:rPr>
                <w:sz w:val="18"/>
                <w:szCs w:val="20"/>
              </w:rPr>
              <w:t>Upgrade case scenario</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115A63" w14:textId="77777777" w:rsidR="007C52B5" w:rsidRPr="007C52B5" w:rsidRDefault="007C52B5" w:rsidP="00483793">
            <w:pPr>
              <w:keepNext/>
              <w:keepLines/>
              <w:spacing w:after="0"/>
              <w:jc w:val="center"/>
              <w:rPr>
                <w:sz w:val="18"/>
                <w:szCs w:val="20"/>
              </w:rPr>
            </w:pPr>
            <w:r w:rsidRPr="007C52B5">
              <w:rPr>
                <w:sz w:val="18"/>
                <w:szCs w:val="20"/>
              </w:rPr>
              <w:t>4,267.4</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C53DD6" w14:textId="77777777" w:rsidR="007C52B5" w:rsidRPr="007C52B5" w:rsidRDefault="007C52B5" w:rsidP="00483793">
            <w:pPr>
              <w:keepNext/>
              <w:keepLines/>
              <w:spacing w:after="0"/>
              <w:jc w:val="center"/>
              <w:rPr>
                <w:sz w:val="18"/>
                <w:szCs w:val="20"/>
              </w:rPr>
            </w:pPr>
            <w:r w:rsidRPr="007C52B5">
              <w:rPr>
                <w:sz w:val="18"/>
                <w:szCs w:val="20"/>
              </w:rPr>
              <w:t>3,730.2</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E22B97" w14:textId="77777777" w:rsidR="007C52B5" w:rsidRPr="007C52B5" w:rsidRDefault="007C52B5" w:rsidP="00483793">
            <w:pPr>
              <w:keepNext/>
              <w:keepLines/>
              <w:spacing w:after="0"/>
              <w:jc w:val="center"/>
              <w:rPr>
                <w:sz w:val="18"/>
                <w:szCs w:val="20"/>
              </w:rPr>
            </w:pPr>
            <w:r w:rsidRPr="007C52B5">
              <w:rPr>
                <w:sz w:val="18"/>
                <w:szCs w:val="20"/>
              </w:rPr>
              <w:t>3,193.1</w:t>
            </w:r>
          </w:p>
        </w:tc>
        <w:tc>
          <w:tcPr>
            <w:tcW w:w="1017"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2AEF92D" w14:textId="77777777" w:rsidR="007C52B5" w:rsidRPr="007C52B5" w:rsidRDefault="007C52B5" w:rsidP="00483793">
            <w:pPr>
              <w:keepNext/>
              <w:keepLines/>
              <w:spacing w:after="0"/>
              <w:jc w:val="center"/>
              <w:rPr>
                <w:sz w:val="18"/>
                <w:szCs w:val="20"/>
              </w:rPr>
            </w:pPr>
            <w:r w:rsidRPr="007C52B5">
              <w:rPr>
                <w:sz w:val="18"/>
                <w:szCs w:val="20"/>
              </w:rPr>
              <w:t>2,655.9</w:t>
            </w:r>
          </w:p>
        </w:tc>
      </w:tr>
      <w:tr w:rsidR="007C52B5" w:rsidRPr="000C16CD" w14:paraId="4B3C8943" w14:textId="77777777" w:rsidTr="00E1645D">
        <w:trPr>
          <w:trHeight w:val="288"/>
          <w:jc w:val="center"/>
        </w:trPr>
        <w:tc>
          <w:tcPr>
            <w:tcW w:w="4065"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29B69F16" w14:textId="77777777" w:rsidR="007C52B5" w:rsidRPr="007C52B5" w:rsidRDefault="007C52B5" w:rsidP="007C52B5">
            <w:pPr>
              <w:keepNext/>
              <w:keepLines/>
              <w:spacing w:after="0"/>
              <w:rPr>
                <w:sz w:val="18"/>
                <w:szCs w:val="20"/>
              </w:rPr>
            </w:pPr>
            <w:r w:rsidRPr="007C52B5">
              <w:rPr>
                <w:sz w:val="18"/>
                <w:szCs w:val="20"/>
              </w:rPr>
              <w:t>Ten-year fuel oil savings due to incentive</w:t>
            </w:r>
            <w:r w:rsidRPr="007C52B5">
              <w:rPr>
                <w:sz w:val="18"/>
                <w:szCs w:val="20"/>
                <w:vertAlign w:val="superscript"/>
              </w:rPr>
              <w:t>*</w:t>
            </w:r>
          </w:p>
        </w:tc>
        <w:tc>
          <w:tcPr>
            <w:tcW w:w="2091" w:type="dxa"/>
            <w:vMerge w:val="restart"/>
            <w:tcBorders>
              <w:right w:val="single" w:sz="4" w:space="0" w:color="000000" w:themeColor="text1"/>
            </w:tcBorders>
            <w:shd w:val="clear" w:color="auto" w:fill="BFBFBF" w:themeFill="background1" w:themeFillShade="BF"/>
            <w:vAlign w:val="center"/>
          </w:tcPr>
          <w:p w14:paraId="5E01D413" w14:textId="77777777" w:rsidR="007C52B5" w:rsidRPr="007C52B5" w:rsidRDefault="007C52B5" w:rsidP="00483793">
            <w:pPr>
              <w:keepNext/>
              <w:keepLines/>
              <w:spacing w:after="0"/>
              <w:rPr>
                <w:sz w:val="18"/>
                <w:szCs w:val="20"/>
              </w:rPr>
            </w:pPr>
            <w:r w:rsidRPr="007C52B5">
              <w:rPr>
                <w:sz w:val="18"/>
                <w:szCs w:val="20"/>
              </w:rPr>
              <w:t>n/a</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0731C8E1" w14:textId="77777777" w:rsidR="007C52B5" w:rsidRPr="007C52B5" w:rsidRDefault="007C52B5" w:rsidP="00483793">
            <w:pPr>
              <w:keepNext/>
              <w:keepLines/>
              <w:spacing w:after="0"/>
              <w:jc w:val="center"/>
              <w:rPr>
                <w:sz w:val="18"/>
                <w:szCs w:val="20"/>
              </w:rPr>
            </w:pPr>
            <w:r w:rsidRPr="007C52B5">
              <w:rPr>
                <w:sz w:val="18"/>
                <w:szCs w:val="20"/>
              </w:rPr>
              <w:t>44.1</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1BF40967" w14:textId="77777777" w:rsidR="007C52B5" w:rsidRPr="007C52B5" w:rsidRDefault="007C52B5" w:rsidP="00483793">
            <w:pPr>
              <w:keepNext/>
              <w:keepLines/>
              <w:spacing w:after="0"/>
              <w:jc w:val="center"/>
              <w:rPr>
                <w:sz w:val="18"/>
                <w:szCs w:val="20"/>
              </w:rPr>
            </w:pPr>
            <w:r w:rsidRPr="007C52B5">
              <w:rPr>
                <w:sz w:val="18"/>
                <w:szCs w:val="20"/>
              </w:rPr>
              <w:t>88.2</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7C196797" w14:textId="77777777" w:rsidR="007C52B5" w:rsidRPr="007C52B5" w:rsidRDefault="007C52B5" w:rsidP="00483793">
            <w:pPr>
              <w:keepNext/>
              <w:keepLines/>
              <w:spacing w:after="0"/>
              <w:jc w:val="center"/>
              <w:rPr>
                <w:sz w:val="18"/>
                <w:szCs w:val="20"/>
              </w:rPr>
            </w:pPr>
            <w:r w:rsidRPr="007C52B5">
              <w:rPr>
                <w:sz w:val="18"/>
                <w:szCs w:val="20"/>
              </w:rPr>
              <w:t>132.3</w:t>
            </w:r>
          </w:p>
        </w:tc>
        <w:tc>
          <w:tcPr>
            <w:tcW w:w="101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75A80E61" w14:textId="77777777" w:rsidR="007C52B5" w:rsidRPr="007C52B5" w:rsidRDefault="007C52B5" w:rsidP="00483793">
            <w:pPr>
              <w:keepNext/>
              <w:keepLines/>
              <w:spacing w:after="0"/>
              <w:jc w:val="center"/>
              <w:rPr>
                <w:sz w:val="18"/>
                <w:szCs w:val="20"/>
              </w:rPr>
            </w:pPr>
            <w:r w:rsidRPr="007C52B5">
              <w:rPr>
                <w:sz w:val="18"/>
                <w:szCs w:val="20"/>
              </w:rPr>
              <w:t>176.4</w:t>
            </w:r>
          </w:p>
        </w:tc>
      </w:tr>
      <w:tr w:rsidR="007C52B5" w:rsidRPr="000C16CD" w14:paraId="2760721D" w14:textId="77777777" w:rsidTr="00E1645D">
        <w:trPr>
          <w:trHeight w:val="288"/>
          <w:jc w:val="center"/>
        </w:trPr>
        <w:tc>
          <w:tcPr>
            <w:tcW w:w="4065" w:type="dxa"/>
            <w:tcBorders>
              <w:top w:val="single" w:sz="4" w:space="0" w:color="000000" w:themeColor="text1"/>
              <w:left w:val="single" w:sz="4" w:space="0" w:color="auto"/>
              <w:bottom w:val="single" w:sz="4" w:space="0" w:color="auto"/>
              <w:right w:val="single" w:sz="4" w:space="0" w:color="000000" w:themeColor="text1"/>
            </w:tcBorders>
            <w:shd w:val="clear" w:color="auto" w:fill="BFBFBF" w:themeFill="background1" w:themeFillShade="BF"/>
            <w:vAlign w:val="center"/>
          </w:tcPr>
          <w:p w14:paraId="6C6AAA13" w14:textId="77777777" w:rsidR="007C52B5" w:rsidRPr="007C52B5" w:rsidRDefault="007C52B5" w:rsidP="007C52B5">
            <w:pPr>
              <w:keepNext/>
              <w:keepLines/>
              <w:spacing w:after="0"/>
              <w:rPr>
                <w:sz w:val="18"/>
                <w:szCs w:val="20"/>
              </w:rPr>
            </w:pPr>
            <w:r w:rsidRPr="007C52B5">
              <w:rPr>
                <w:sz w:val="18"/>
                <w:szCs w:val="20"/>
              </w:rPr>
              <w:t>Savings percent of base case</w:t>
            </w:r>
          </w:p>
        </w:tc>
        <w:tc>
          <w:tcPr>
            <w:tcW w:w="2091" w:type="dxa"/>
            <w:vMerge/>
            <w:tcBorders>
              <w:bottom w:val="single" w:sz="4" w:space="0" w:color="auto"/>
              <w:right w:val="single" w:sz="4" w:space="0" w:color="000000" w:themeColor="text1"/>
            </w:tcBorders>
            <w:shd w:val="clear" w:color="auto" w:fill="BFBFBF" w:themeFill="background1" w:themeFillShade="BF"/>
            <w:vAlign w:val="center"/>
          </w:tcPr>
          <w:p w14:paraId="530B99D4" w14:textId="77777777" w:rsidR="007C52B5" w:rsidRPr="007C52B5" w:rsidRDefault="007C52B5" w:rsidP="00483793">
            <w:pPr>
              <w:keepNext/>
              <w:keepLines/>
              <w:spacing w:after="0"/>
              <w:rPr>
                <w:sz w:val="18"/>
                <w:szCs w:val="20"/>
              </w:rPr>
            </w:pPr>
          </w:p>
        </w:tc>
        <w:tc>
          <w:tcPr>
            <w:tcW w:w="101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BFBFBF" w:themeFill="background1" w:themeFillShade="BF"/>
            <w:vAlign w:val="center"/>
          </w:tcPr>
          <w:p w14:paraId="7F194ED3" w14:textId="77777777" w:rsidR="007C52B5" w:rsidRPr="007C52B5" w:rsidRDefault="007C52B5" w:rsidP="00483793">
            <w:pPr>
              <w:keepNext/>
              <w:keepLines/>
              <w:spacing w:after="0"/>
              <w:jc w:val="center"/>
              <w:rPr>
                <w:sz w:val="18"/>
                <w:szCs w:val="20"/>
              </w:rPr>
            </w:pPr>
            <w:r w:rsidRPr="007C52B5">
              <w:rPr>
                <w:sz w:val="18"/>
                <w:szCs w:val="20"/>
              </w:rPr>
              <w:t>1.0%</w:t>
            </w:r>
          </w:p>
        </w:tc>
        <w:tc>
          <w:tcPr>
            <w:tcW w:w="101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BFBFBF" w:themeFill="background1" w:themeFillShade="BF"/>
            <w:vAlign w:val="center"/>
          </w:tcPr>
          <w:p w14:paraId="08F1FBAD" w14:textId="77777777" w:rsidR="007C52B5" w:rsidRPr="007C52B5" w:rsidRDefault="007C52B5" w:rsidP="00483793">
            <w:pPr>
              <w:keepNext/>
              <w:keepLines/>
              <w:spacing w:after="0"/>
              <w:jc w:val="center"/>
              <w:rPr>
                <w:sz w:val="18"/>
                <w:szCs w:val="20"/>
              </w:rPr>
            </w:pPr>
            <w:r w:rsidRPr="007C52B5">
              <w:rPr>
                <w:sz w:val="18"/>
                <w:szCs w:val="20"/>
              </w:rPr>
              <w:t>2.3%</w:t>
            </w:r>
          </w:p>
        </w:tc>
        <w:tc>
          <w:tcPr>
            <w:tcW w:w="101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BFBFBF" w:themeFill="background1" w:themeFillShade="BF"/>
            <w:vAlign w:val="center"/>
          </w:tcPr>
          <w:p w14:paraId="4650DB9D" w14:textId="77777777" w:rsidR="007C52B5" w:rsidRPr="007C52B5" w:rsidRDefault="007C52B5" w:rsidP="00483793">
            <w:pPr>
              <w:keepNext/>
              <w:keepLines/>
              <w:spacing w:after="0"/>
              <w:jc w:val="center"/>
              <w:rPr>
                <w:sz w:val="18"/>
                <w:szCs w:val="20"/>
              </w:rPr>
            </w:pPr>
            <w:r w:rsidRPr="007C52B5">
              <w:rPr>
                <w:sz w:val="18"/>
                <w:szCs w:val="20"/>
              </w:rPr>
              <w:t>4.0%</w:t>
            </w:r>
          </w:p>
        </w:tc>
        <w:tc>
          <w:tcPr>
            <w:tcW w:w="1017" w:type="dxa"/>
            <w:tcBorders>
              <w:top w:val="single" w:sz="4" w:space="0" w:color="000000" w:themeColor="text1"/>
              <w:left w:val="single" w:sz="4" w:space="0" w:color="000000" w:themeColor="text1"/>
              <w:bottom w:val="single" w:sz="4" w:space="0" w:color="auto"/>
              <w:right w:val="single" w:sz="4" w:space="0" w:color="auto"/>
            </w:tcBorders>
            <w:shd w:val="clear" w:color="auto" w:fill="BFBFBF" w:themeFill="background1" w:themeFillShade="BF"/>
            <w:vAlign w:val="center"/>
          </w:tcPr>
          <w:p w14:paraId="2705DF9E" w14:textId="77777777" w:rsidR="007C52B5" w:rsidRPr="007C52B5" w:rsidRDefault="007C52B5" w:rsidP="00483793">
            <w:pPr>
              <w:keepNext/>
              <w:keepLines/>
              <w:spacing w:after="0"/>
              <w:jc w:val="center"/>
              <w:rPr>
                <w:sz w:val="18"/>
                <w:szCs w:val="20"/>
              </w:rPr>
            </w:pPr>
            <w:r w:rsidRPr="007C52B5">
              <w:rPr>
                <w:sz w:val="18"/>
                <w:szCs w:val="20"/>
              </w:rPr>
              <w:t>6.2%</w:t>
            </w:r>
          </w:p>
        </w:tc>
      </w:tr>
      <w:tr w:rsidR="00E1645D" w:rsidRPr="00E1645D" w14:paraId="26A1EEFA" w14:textId="77777777" w:rsidTr="00E1645D">
        <w:trPr>
          <w:trHeight w:val="288"/>
          <w:jc w:val="center"/>
        </w:trPr>
        <w:tc>
          <w:tcPr>
            <w:tcW w:w="10224" w:type="dxa"/>
            <w:gridSpan w:val="6"/>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3A06817A" w14:textId="77777777" w:rsidR="007C52B5" w:rsidRPr="00E1645D" w:rsidRDefault="007C52B5" w:rsidP="00483793">
            <w:pPr>
              <w:keepNext/>
              <w:keepLines/>
              <w:spacing w:after="0"/>
              <w:jc w:val="center"/>
              <w:rPr>
                <w:b/>
                <w:color w:val="FFFFFF" w:themeColor="background1"/>
                <w:sz w:val="18"/>
                <w:szCs w:val="20"/>
              </w:rPr>
            </w:pPr>
            <w:r w:rsidRPr="00E1645D">
              <w:rPr>
                <w:b/>
                <w:color w:val="FFFFFF" w:themeColor="background1"/>
                <w:sz w:val="18"/>
                <w:szCs w:val="20"/>
              </w:rPr>
              <w:t>Propane (million gallons)</w:t>
            </w:r>
          </w:p>
        </w:tc>
      </w:tr>
      <w:tr w:rsidR="007C52B5" w:rsidRPr="000C16CD" w14:paraId="12296678" w14:textId="77777777" w:rsidTr="00644821">
        <w:trPr>
          <w:trHeight w:val="288"/>
          <w:jc w:val="center"/>
        </w:trPr>
        <w:tc>
          <w:tcPr>
            <w:tcW w:w="4065" w:type="dxa"/>
            <w:vMerge w:val="restart"/>
            <w:tcBorders>
              <w:top w:val="single" w:sz="4" w:space="0" w:color="auto"/>
              <w:left w:val="single" w:sz="4" w:space="0" w:color="auto"/>
              <w:right w:val="single" w:sz="4" w:space="0" w:color="000000" w:themeColor="text1"/>
            </w:tcBorders>
            <w:vAlign w:val="center"/>
          </w:tcPr>
          <w:p w14:paraId="2D59B581" w14:textId="77777777" w:rsidR="007C52B5" w:rsidRPr="007C52B5" w:rsidRDefault="007C52B5" w:rsidP="007C52B5">
            <w:pPr>
              <w:keepNext/>
              <w:keepLines/>
              <w:spacing w:after="0"/>
              <w:rPr>
                <w:sz w:val="18"/>
                <w:szCs w:val="20"/>
              </w:rPr>
            </w:pPr>
            <w:r w:rsidRPr="007C52B5">
              <w:rPr>
                <w:sz w:val="18"/>
                <w:szCs w:val="20"/>
              </w:rPr>
              <w:t>Total propane consumption over 10 years</w:t>
            </w:r>
            <w:r w:rsidRPr="007C52B5">
              <w:rPr>
                <w:sz w:val="18"/>
                <w:szCs w:val="20"/>
                <w:vertAlign w:val="superscript"/>
              </w:rPr>
              <w:t>*</w:t>
            </w:r>
          </w:p>
        </w:tc>
        <w:tc>
          <w:tcPr>
            <w:tcW w:w="2091" w:type="dxa"/>
            <w:tcBorders>
              <w:top w:val="single" w:sz="4" w:space="0" w:color="auto"/>
              <w:right w:val="single" w:sz="4" w:space="0" w:color="000000" w:themeColor="text1"/>
            </w:tcBorders>
            <w:vAlign w:val="center"/>
          </w:tcPr>
          <w:p w14:paraId="6594D0AE" w14:textId="77777777" w:rsidR="007C52B5" w:rsidRPr="007C52B5" w:rsidRDefault="007C52B5" w:rsidP="00483793">
            <w:pPr>
              <w:keepNext/>
              <w:keepLines/>
              <w:spacing w:after="0"/>
              <w:rPr>
                <w:sz w:val="18"/>
                <w:szCs w:val="20"/>
              </w:rPr>
            </w:pPr>
            <w:r w:rsidRPr="007C52B5">
              <w:rPr>
                <w:sz w:val="18"/>
                <w:szCs w:val="20"/>
              </w:rPr>
              <w:t>No fuel switching</w:t>
            </w:r>
          </w:p>
        </w:tc>
        <w:tc>
          <w:tcPr>
            <w:tcW w:w="4068" w:type="dxa"/>
            <w:gridSpan w:val="4"/>
            <w:tcBorders>
              <w:top w:val="single" w:sz="4" w:space="0" w:color="auto"/>
              <w:left w:val="single" w:sz="4" w:space="0" w:color="000000" w:themeColor="text1"/>
              <w:bottom w:val="single" w:sz="4" w:space="0" w:color="000000" w:themeColor="text1"/>
              <w:right w:val="single" w:sz="4" w:space="0" w:color="auto"/>
            </w:tcBorders>
            <w:vAlign w:val="center"/>
          </w:tcPr>
          <w:p w14:paraId="1916939B" w14:textId="77777777" w:rsidR="007C52B5" w:rsidRPr="007C52B5" w:rsidRDefault="007C52B5" w:rsidP="00483793">
            <w:pPr>
              <w:keepNext/>
              <w:keepLines/>
              <w:spacing w:after="0"/>
              <w:jc w:val="center"/>
              <w:rPr>
                <w:sz w:val="18"/>
                <w:szCs w:val="20"/>
              </w:rPr>
            </w:pPr>
            <w:r w:rsidRPr="007C52B5">
              <w:rPr>
                <w:sz w:val="18"/>
                <w:szCs w:val="20"/>
              </w:rPr>
              <w:t>350.3</w:t>
            </w:r>
          </w:p>
        </w:tc>
      </w:tr>
      <w:tr w:rsidR="007C52B5" w:rsidRPr="000C16CD" w14:paraId="607192D2" w14:textId="77777777" w:rsidTr="00644821">
        <w:trPr>
          <w:trHeight w:val="288"/>
          <w:jc w:val="center"/>
        </w:trPr>
        <w:tc>
          <w:tcPr>
            <w:tcW w:w="4065" w:type="dxa"/>
            <w:vMerge/>
            <w:tcBorders>
              <w:left w:val="single" w:sz="4" w:space="0" w:color="auto"/>
              <w:right w:val="single" w:sz="4" w:space="0" w:color="000000" w:themeColor="text1"/>
            </w:tcBorders>
            <w:vAlign w:val="center"/>
          </w:tcPr>
          <w:p w14:paraId="594CD62B" w14:textId="77777777" w:rsidR="007C52B5" w:rsidRPr="007C52B5" w:rsidRDefault="007C52B5" w:rsidP="007C52B5">
            <w:pPr>
              <w:keepNext/>
              <w:keepLines/>
              <w:spacing w:after="0"/>
              <w:rPr>
                <w:sz w:val="18"/>
                <w:szCs w:val="20"/>
              </w:rPr>
            </w:pPr>
          </w:p>
        </w:tc>
        <w:tc>
          <w:tcPr>
            <w:tcW w:w="2091" w:type="dxa"/>
            <w:tcBorders>
              <w:right w:val="single" w:sz="4" w:space="0" w:color="000000" w:themeColor="text1"/>
            </w:tcBorders>
            <w:vAlign w:val="center"/>
          </w:tcPr>
          <w:p w14:paraId="73C121E2" w14:textId="77777777" w:rsidR="007C52B5" w:rsidRPr="007C52B5" w:rsidRDefault="007C52B5" w:rsidP="00483793">
            <w:pPr>
              <w:keepNext/>
              <w:keepLines/>
              <w:spacing w:after="0"/>
              <w:rPr>
                <w:sz w:val="18"/>
                <w:szCs w:val="20"/>
              </w:rPr>
            </w:pPr>
            <w:r w:rsidRPr="007C52B5">
              <w:rPr>
                <w:sz w:val="18"/>
                <w:szCs w:val="20"/>
              </w:rPr>
              <w:t xml:space="preserve">Base case scenario </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3DDB61" w14:textId="77777777" w:rsidR="007C52B5" w:rsidRPr="007C52B5" w:rsidRDefault="007C52B5" w:rsidP="00483793">
            <w:pPr>
              <w:keepNext/>
              <w:keepLines/>
              <w:spacing w:after="0"/>
              <w:jc w:val="center"/>
              <w:rPr>
                <w:sz w:val="18"/>
                <w:szCs w:val="20"/>
              </w:rPr>
            </w:pPr>
            <w:r w:rsidRPr="007C52B5">
              <w:rPr>
                <w:sz w:val="18"/>
                <w:szCs w:val="20"/>
              </w:rPr>
              <w:t>321.7</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15F0E2" w14:textId="77777777" w:rsidR="007C52B5" w:rsidRPr="007C52B5" w:rsidRDefault="007C52B5" w:rsidP="00483793">
            <w:pPr>
              <w:keepNext/>
              <w:keepLines/>
              <w:spacing w:after="0"/>
              <w:jc w:val="center"/>
              <w:rPr>
                <w:sz w:val="18"/>
                <w:szCs w:val="20"/>
              </w:rPr>
            </w:pPr>
            <w:r w:rsidRPr="007C52B5">
              <w:rPr>
                <w:sz w:val="18"/>
                <w:szCs w:val="20"/>
              </w:rPr>
              <w:t>293.1</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C6BD01" w14:textId="77777777" w:rsidR="007C52B5" w:rsidRPr="007C52B5" w:rsidRDefault="007C52B5" w:rsidP="00483793">
            <w:pPr>
              <w:keepNext/>
              <w:keepLines/>
              <w:spacing w:after="0"/>
              <w:jc w:val="center"/>
              <w:rPr>
                <w:sz w:val="18"/>
                <w:szCs w:val="20"/>
              </w:rPr>
            </w:pPr>
            <w:r w:rsidRPr="007C52B5">
              <w:rPr>
                <w:sz w:val="18"/>
                <w:szCs w:val="20"/>
              </w:rPr>
              <w:t>264.4</w:t>
            </w:r>
          </w:p>
        </w:tc>
        <w:tc>
          <w:tcPr>
            <w:tcW w:w="1017"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64DC454" w14:textId="77777777" w:rsidR="007C52B5" w:rsidRPr="007C52B5" w:rsidRDefault="007C52B5" w:rsidP="00483793">
            <w:pPr>
              <w:keepNext/>
              <w:keepLines/>
              <w:spacing w:after="0"/>
              <w:jc w:val="center"/>
              <w:rPr>
                <w:sz w:val="18"/>
                <w:szCs w:val="20"/>
              </w:rPr>
            </w:pPr>
            <w:r w:rsidRPr="007C52B5">
              <w:rPr>
                <w:sz w:val="18"/>
                <w:szCs w:val="20"/>
              </w:rPr>
              <w:t>235.8</w:t>
            </w:r>
          </w:p>
        </w:tc>
      </w:tr>
      <w:tr w:rsidR="007C52B5" w:rsidRPr="000C16CD" w14:paraId="6D215B37" w14:textId="77777777" w:rsidTr="00644821">
        <w:trPr>
          <w:trHeight w:val="288"/>
          <w:jc w:val="center"/>
        </w:trPr>
        <w:tc>
          <w:tcPr>
            <w:tcW w:w="4065" w:type="dxa"/>
            <w:vMerge/>
            <w:tcBorders>
              <w:left w:val="single" w:sz="4" w:space="0" w:color="auto"/>
              <w:bottom w:val="single" w:sz="4" w:space="0" w:color="000000" w:themeColor="text1"/>
              <w:right w:val="single" w:sz="4" w:space="0" w:color="000000" w:themeColor="text1"/>
            </w:tcBorders>
            <w:vAlign w:val="center"/>
          </w:tcPr>
          <w:p w14:paraId="001A66FF" w14:textId="77777777" w:rsidR="007C52B5" w:rsidRPr="007C52B5" w:rsidRDefault="007C52B5" w:rsidP="007C52B5">
            <w:pPr>
              <w:keepNext/>
              <w:keepLines/>
              <w:spacing w:after="0"/>
              <w:rPr>
                <w:sz w:val="18"/>
                <w:szCs w:val="20"/>
              </w:rPr>
            </w:pPr>
          </w:p>
        </w:tc>
        <w:tc>
          <w:tcPr>
            <w:tcW w:w="2091" w:type="dxa"/>
            <w:tcBorders>
              <w:right w:val="single" w:sz="4" w:space="0" w:color="000000" w:themeColor="text1"/>
            </w:tcBorders>
            <w:vAlign w:val="center"/>
          </w:tcPr>
          <w:p w14:paraId="0FEDFCE9" w14:textId="77777777" w:rsidR="007C52B5" w:rsidRPr="007C52B5" w:rsidRDefault="007C52B5" w:rsidP="00483793">
            <w:pPr>
              <w:keepNext/>
              <w:keepLines/>
              <w:spacing w:after="0"/>
              <w:rPr>
                <w:sz w:val="18"/>
                <w:szCs w:val="20"/>
              </w:rPr>
            </w:pPr>
            <w:r w:rsidRPr="007C52B5">
              <w:rPr>
                <w:sz w:val="18"/>
                <w:szCs w:val="20"/>
              </w:rPr>
              <w:t>Upgrade case scenario</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0C39EF" w14:textId="77777777" w:rsidR="007C52B5" w:rsidRPr="007C52B5" w:rsidRDefault="007C52B5" w:rsidP="00483793">
            <w:pPr>
              <w:keepNext/>
              <w:keepLines/>
              <w:spacing w:after="0"/>
              <w:jc w:val="center"/>
              <w:rPr>
                <w:sz w:val="18"/>
                <w:szCs w:val="20"/>
              </w:rPr>
            </w:pPr>
            <w:r w:rsidRPr="007C52B5">
              <w:rPr>
                <w:sz w:val="18"/>
                <w:szCs w:val="20"/>
              </w:rPr>
              <w:t>315.1</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174C03" w14:textId="77777777" w:rsidR="007C52B5" w:rsidRPr="007C52B5" w:rsidRDefault="007C52B5" w:rsidP="00483793">
            <w:pPr>
              <w:keepNext/>
              <w:keepLines/>
              <w:spacing w:after="0"/>
              <w:jc w:val="center"/>
              <w:rPr>
                <w:sz w:val="18"/>
                <w:szCs w:val="20"/>
              </w:rPr>
            </w:pPr>
            <w:r w:rsidRPr="007C52B5">
              <w:rPr>
                <w:sz w:val="18"/>
                <w:szCs w:val="20"/>
              </w:rPr>
              <w:t>279.9</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CBF85D" w14:textId="77777777" w:rsidR="007C52B5" w:rsidRPr="007C52B5" w:rsidRDefault="007C52B5" w:rsidP="00483793">
            <w:pPr>
              <w:keepNext/>
              <w:keepLines/>
              <w:spacing w:after="0"/>
              <w:jc w:val="center"/>
              <w:rPr>
                <w:sz w:val="18"/>
                <w:szCs w:val="20"/>
              </w:rPr>
            </w:pPr>
            <w:r w:rsidRPr="007C52B5">
              <w:rPr>
                <w:sz w:val="18"/>
                <w:szCs w:val="20"/>
              </w:rPr>
              <w:t>244.7</w:t>
            </w:r>
          </w:p>
        </w:tc>
        <w:tc>
          <w:tcPr>
            <w:tcW w:w="1017"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C03E97D" w14:textId="77777777" w:rsidR="007C52B5" w:rsidRPr="007C52B5" w:rsidRDefault="007C52B5" w:rsidP="00483793">
            <w:pPr>
              <w:keepNext/>
              <w:keepLines/>
              <w:spacing w:after="0"/>
              <w:jc w:val="center"/>
              <w:rPr>
                <w:sz w:val="18"/>
                <w:szCs w:val="20"/>
              </w:rPr>
            </w:pPr>
            <w:r w:rsidRPr="007C52B5">
              <w:rPr>
                <w:sz w:val="18"/>
                <w:szCs w:val="20"/>
              </w:rPr>
              <w:t>209.5</w:t>
            </w:r>
          </w:p>
        </w:tc>
      </w:tr>
      <w:tr w:rsidR="007C52B5" w:rsidRPr="000C16CD" w14:paraId="350FEDE2" w14:textId="77777777" w:rsidTr="00E1645D">
        <w:trPr>
          <w:trHeight w:val="288"/>
          <w:jc w:val="center"/>
        </w:trPr>
        <w:tc>
          <w:tcPr>
            <w:tcW w:w="4065"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vAlign w:val="center"/>
          </w:tcPr>
          <w:p w14:paraId="33B54218" w14:textId="77777777" w:rsidR="007C52B5" w:rsidRPr="007C52B5" w:rsidRDefault="007C52B5" w:rsidP="007C52B5">
            <w:pPr>
              <w:keepNext/>
              <w:keepLines/>
              <w:spacing w:after="0"/>
              <w:rPr>
                <w:sz w:val="18"/>
                <w:szCs w:val="20"/>
              </w:rPr>
            </w:pPr>
            <w:r w:rsidRPr="007C52B5">
              <w:rPr>
                <w:sz w:val="18"/>
                <w:szCs w:val="20"/>
              </w:rPr>
              <w:t>Ten-year propane savings due to incentive</w:t>
            </w:r>
            <w:r w:rsidRPr="007C52B5">
              <w:rPr>
                <w:sz w:val="18"/>
                <w:szCs w:val="20"/>
                <w:vertAlign w:val="superscript"/>
              </w:rPr>
              <w:t>*</w:t>
            </w:r>
          </w:p>
        </w:tc>
        <w:tc>
          <w:tcPr>
            <w:tcW w:w="2091" w:type="dxa"/>
            <w:vMerge w:val="restart"/>
            <w:tcBorders>
              <w:right w:val="single" w:sz="4" w:space="0" w:color="000000" w:themeColor="text1"/>
            </w:tcBorders>
            <w:shd w:val="clear" w:color="auto" w:fill="BFBFBF" w:themeFill="background1" w:themeFillShade="BF"/>
            <w:vAlign w:val="center"/>
          </w:tcPr>
          <w:p w14:paraId="4BB568F6" w14:textId="77777777" w:rsidR="007C52B5" w:rsidRPr="007C52B5" w:rsidRDefault="007C52B5" w:rsidP="00483793">
            <w:pPr>
              <w:keepNext/>
              <w:keepLines/>
              <w:spacing w:after="0"/>
              <w:rPr>
                <w:sz w:val="18"/>
                <w:szCs w:val="20"/>
              </w:rPr>
            </w:pPr>
            <w:r w:rsidRPr="007C52B5">
              <w:rPr>
                <w:sz w:val="18"/>
                <w:szCs w:val="20"/>
              </w:rPr>
              <w:t>n/a</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098881D5" w14:textId="77777777" w:rsidR="007C52B5" w:rsidRPr="007C52B5" w:rsidRDefault="007C52B5" w:rsidP="00483793">
            <w:pPr>
              <w:keepNext/>
              <w:keepLines/>
              <w:spacing w:after="0"/>
              <w:jc w:val="center"/>
              <w:rPr>
                <w:sz w:val="18"/>
                <w:szCs w:val="20"/>
              </w:rPr>
            </w:pPr>
            <w:r w:rsidRPr="007C52B5">
              <w:rPr>
                <w:sz w:val="18"/>
                <w:szCs w:val="20"/>
              </w:rPr>
              <w:t>6.6</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54E98166" w14:textId="77777777" w:rsidR="007C52B5" w:rsidRPr="007C52B5" w:rsidRDefault="007C52B5" w:rsidP="00483793">
            <w:pPr>
              <w:keepNext/>
              <w:keepLines/>
              <w:spacing w:after="0"/>
              <w:jc w:val="center"/>
              <w:rPr>
                <w:sz w:val="18"/>
                <w:szCs w:val="20"/>
              </w:rPr>
            </w:pPr>
            <w:r w:rsidRPr="007C52B5">
              <w:rPr>
                <w:sz w:val="18"/>
                <w:szCs w:val="20"/>
              </w:rPr>
              <w:t>13.1</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1D1608AA" w14:textId="77777777" w:rsidR="007C52B5" w:rsidRPr="007C52B5" w:rsidRDefault="007C52B5" w:rsidP="00483793">
            <w:pPr>
              <w:keepNext/>
              <w:keepLines/>
              <w:spacing w:after="0"/>
              <w:jc w:val="center"/>
              <w:rPr>
                <w:sz w:val="18"/>
                <w:szCs w:val="20"/>
              </w:rPr>
            </w:pPr>
            <w:r w:rsidRPr="007C52B5">
              <w:rPr>
                <w:sz w:val="18"/>
                <w:szCs w:val="20"/>
              </w:rPr>
              <w:t>19.7</w:t>
            </w:r>
          </w:p>
        </w:tc>
        <w:tc>
          <w:tcPr>
            <w:tcW w:w="101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715716BB" w14:textId="77777777" w:rsidR="007C52B5" w:rsidRPr="007C52B5" w:rsidRDefault="007C52B5" w:rsidP="00483793">
            <w:pPr>
              <w:keepNext/>
              <w:keepLines/>
              <w:spacing w:after="0"/>
              <w:jc w:val="center"/>
              <w:rPr>
                <w:sz w:val="18"/>
                <w:szCs w:val="20"/>
              </w:rPr>
            </w:pPr>
            <w:r w:rsidRPr="007C52B5">
              <w:rPr>
                <w:sz w:val="18"/>
                <w:szCs w:val="20"/>
              </w:rPr>
              <w:t>26.2</w:t>
            </w:r>
          </w:p>
        </w:tc>
      </w:tr>
      <w:tr w:rsidR="007C52B5" w:rsidRPr="000C16CD" w14:paraId="3301336D" w14:textId="77777777" w:rsidTr="00E1645D">
        <w:trPr>
          <w:trHeight w:val="288"/>
          <w:jc w:val="center"/>
        </w:trPr>
        <w:tc>
          <w:tcPr>
            <w:tcW w:w="4065" w:type="dxa"/>
            <w:tcBorders>
              <w:top w:val="single" w:sz="4" w:space="0" w:color="000000" w:themeColor="text1"/>
              <w:left w:val="single" w:sz="4" w:space="0" w:color="auto"/>
              <w:bottom w:val="single" w:sz="4" w:space="0" w:color="auto"/>
              <w:right w:val="single" w:sz="4" w:space="0" w:color="000000" w:themeColor="text1"/>
            </w:tcBorders>
            <w:shd w:val="clear" w:color="auto" w:fill="BFBFBF" w:themeFill="background1" w:themeFillShade="BF"/>
            <w:vAlign w:val="center"/>
          </w:tcPr>
          <w:p w14:paraId="3F25CAF2" w14:textId="77777777" w:rsidR="007C52B5" w:rsidRPr="007C52B5" w:rsidRDefault="007C52B5" w:rsidP="007C52B5">
            <w:pPr>
              <w:keepNext/>
              <w:keepLines/>
              <w:spacing w:after="0"/>
              <w:rPr>
                <w:sz w:val="18"/>
                <w:szCs w:val="20"/>
              </w:rPr>
            </w:pPr>
            <w:r w:rsidRPr="007C52B5">
              <w:rPr>
                <w:sz w:val="18"/>
                <w:szCs w:val="20"/>
              </w:rPr>
              <w:t>Savings percent of base case</w:t>
            </w:r>
          </w:p>
        </w:tc>
        <w:tc>
          <w:tcPr>
            <w:tcW w:w="2091" w:type="dxa"/>
            <w:vMerge/>
            <w:tcBorders>
              <w:bottom w:val="single" w:sz="4" w:space="0" w:color="auto"/>
              <w:right w:val="single" w:sz="4" w:space="0" w:color="000000" w:themeColor="text1"/>
            </w:tcBorders>
            <w:shd w:val="clear" w:color="auto" w:fill="BFBFBF" w:themeFill="background1" w:themeFillShade="BF"/>
            <w:vAlign w:val="center"/>
          </w:tcPr>
          <w:p w14:paraId="27E78992" w14:textId="77777777" w:rsidR="007C52B5" w:rsidRPr="007C52B5" w:rsidRDefault="007C52B5" w:rsidP="00483793">
            <w:pPr>
              <w:keepNext/>
              <w:keepLines/>
              <w:spacing w:after="0"/>
              <w:rPr>
                <w:sz w:val="18"/>
                <w:szCs w:val="20"/>
              </w:rPr>
            </w:pPr>
          </w:p>
        </w:tc>
        <w:tc>
          <w:tcPr>
            <w:tcW w:w="101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BFBFBF" w:themeFill="background1" w:themeFillShade="BF"/>
            <w:vAlign w:val="center"/>
          </w:tcPr>
          <w:p w14:paraId="78956FD7" w14:textId="77777777" w:rsidR="007C52B5" w:rsidRPr="007C52B5" w:rsidRDefault="007C52B5" w:rsidP="00483793">
            <w:pPr>
              <w:keepNext/>
              <w:keepLines/>
              <w:spacing w:after="0"/>
              <w:jc w:val="center"/>
              <w:rPr>
                <w:sz w:val="18"/>
                <w:szCs w:val="20"/>
              </w:rPr>
            </w:pPr>
            <w:r w:rsidRPr="007C52B5">
              <w:rPr>
                <w:sz w:val="18"/>
                <w:szCs w:val="20"/>
              </w:rPr>
              <w:t>2.0%</w:t>
            </w:r>
          </w:p>
        </w:tc>
        <w:tc>
          <w:tcPr>
            <w:tcW w:w="101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BFBFBF" w:themeFill="background1" w:themeFillShade="BF"/>
            <w:vAlign w:val="center"/>
          </w:tcPr>
          <w:p w14:paraId="17F08817" w14:textId="77777777" w:rsidR="007C52B5" w:rsidRPr="007C52B5" w:rsidRDefault="007C52B5" w:rsidP="00483793">
            <w:pPr>
              <w:keepNext/>
              <w:keepLines/>
              <w:spacing w:after="0"/>
              <w:jc w:val="center"/>
              <w:rPr>
                <w:sz w:val="18"/>
                <w:szCs w:val="20"/>
              </w:rPr>
            </w:pPr>
            <w:r w:rsidRPr="007C52B5">
              <w:rPr>
                <w:sz w:val="18"/>
                <w:szCs w:val="20"/>
              </w:rPr>
              <w:t>4.5%</w:t>
            </w:r>
          </w:p>
        </w:tc>
        <w:tc>
          <w:tcPr>
            <w:tcW w:w="101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BFBFBF" w:themeFill="background1" w:themeFillShade="BF"/>
            <w:vAlign w:val="center"/>
          </w:tcPr>
          <w:p w14:paraId="01A18CF0" w14:textId="77777777" w:rsidR="007C52B5" w:rsidRPr="007C52B5" w:rsidRDefault="007C52B5" w:rsidP="00483793">
            <w:pPr>
              <w:keepNext/>
              <w:keepLines/>
              <w:spacing w:after="0"/>
              <w:jc w:val="center"/>
              <w:rPr>
                <w:sz w:val="18"/>
                <w:szCs w:val="20"/>
              </w:rPr>
            </w:pPr>
            <w:r w:rsidRPr="007C52B5">
              <w:rPr>
                <w:sz w:val="18"/>
                <w:szCs w:val="20"/>
              </w:rPr>
              <w:t>7.4%</w:t>
            </w:r>
          </w:p>
        </w:tc>
        <w:tc>
          <w:tcPr>
            <w:tcW w:w="1017" w:type="dxa"/>
            <w:tcBorders>
              <w:top w:val="single" w:sz="4" w:space="0" w:color="000000" w:themeColor="text1"/>
              <w:left w:val="single" w:sz="4" w:space="0" w:color="000000" w:themeColor="text1"/>
              <w:bottom w:val="single" w:sz="4" w:space="0" w:color="auto"/>
              <w:right w:val="single" w:sz="4" w:space="0" w:color="auto"/>
            </w:tcBorders>
            <w:shd w:val="clear" w:color="auto" w:fill="BFBFBF" w:themeFill="background1" w:themeFillShade="BF"/>
            <w:vAlign w:val="center"/>
          </w:tcPr>
          <w:p w14:paraId="2DA8779B" w14:textId="77777777" w:rsidR="007C52B5" w:rsidRPr="007C52B5" w:rsidRDefault="007C52B5" w:rsidP="00483793">
            <w:pPr>
              <w:keepNext/>
              <w:keepLines/>
              <w:spacing w:after="0"/>
              <w:jc w:val="center"/>
              <w:rPr>
                <w:sz w:val="18"/>
                <w:szCs w:val="20"/>
              </w:rPr>
            </w:pPr>
            <w:r w:rsidRPr="007C52B5">
              <w:rPr>
                <w:sz w:val="18"/>
                <w:szCs w:val="20"/>
              </w:rPr>
              <w:t>11.1%</w:t>
            </w:r>
          </w:p>
        </w:tc>
      </w:tr>
    </w:tbl>
    <w:p w14:paraId="20795D6B" w14:textId="77777777" w:rsidR="0046328D" w:rsidRDefault="007C52B5" w:rsidP="0046328D">
      <w:pPr>
        <w:keepNext/>
        <w:rPr>
          <w:sz w:val="18"/>
          <w:szCs w:val="18"/>
        </w:rPr>
      </w:pPr>
      <w:r w:rsidRPr="00017F33">
        <w:rPr>
          <w:sz w:val="18"/>
          <w:szCs w:val="18"/>
          <w:vertAlign w:val="superscript"/>
        </w:rPr>
        <w:t xml:space="preserve">* </w:t>
      </w:r>
      <w:r w:rsidRPr="00017F33">
        <w:rPr>
          <w:sz w:val="18"/>
          <w:szCs w:val="18"/>
        </w:rPr>
        <w:t>In millions.</w:t>
      </w:r>
    </w:p>
    <w:p w14:paraId="2A7261C5" w14:textId="77777777" w:rsidR="0046328D" w:rsidRDefault="0046328D" w:rsidP="0046328D">
      <w:pPr>
        <w:keepNext/>
        <w:sectPr w:rsidR="0046328D" w:rsidSect="006B6649">
          <w:footerReference w:type="first" r:id="rId87"/>
          <w:pgSz w:w="12240" w:h="15840"/>
          <w:pgMar w:top="1440" w:right="1872" w:bottom="1440" w:left="1440" w:header="0" w:footer="0" w:gutter="0"/>
          <w:cols w:space="720"/>
          <w:titlePg/>
          <w:docGrid w:linePitch="299"/>
        </w:sectPr>
      </w:pPr>
    </w:p>
    <w:p w14:paraId="3AFE9163" w14:textId="34F1729B" w:rsidR="00EE00C4" w:rsidRDefault="00091203" w:rsidP="00380843">
      <w:r>
        <w:lastRenderedPageBreak/>
        <w:fldChar w:fldCharType="begin"/>
      </w:r>
      <w:r>
        <w:instrText xml:space="preserve"> REF _Ref439680605 \h </w:instrText>
      </w:r>
      <w:r>
        <w:fldChar w:fldCharType="separate"/>
      </w:r>
      <w:r w:rsidR="00FA26A9">
        <w:t xml:space="preserve">Table </w:t>
      </w:r>
      <w:r w:rsidR="00FA26A9">
        <w:rPr>
          <w:noProof/>
        </w:rPr>
        <w:t>50</w:t>
      </w:r>
      <w:r>
        <w:fldChar w:fldCharType="end"/>
      </w:r>
      <w:r>
        <w:t xml:space="preserve"> </w:t>
      </w:r>
      <w:r w:rsidR="00EE00C4" w:rsidRPr="00712DC4">
        <w:t>details the impact of fuel switching by end use for the 100% conversion rate.</w:t>
      </w:r>
      <w:r w:rsidR="00EE00C4" w:rsidRPr="00712DC4">
        <w:rPr>
          <w:rStyle w:val="FootnoteReference"/>
        </w:rPr>
        <w:footnoteReference w:id="84"/>
      </w:r>
      <w:r w:rsidR="00EE00C4" w:rsidRPr="00712DC4">
        <w:t xml:space="preserve"> Columns under the heading “base case difference from no fuel switching” demonstrate the impact of fuel switching without an incentive for higher-efficiency equipment, while columns under the heading “upgrade case difference from base case” describe the potential added impact of such an incentive.</w:t>
      </w:r>
      <w:r w:rsidR="00EE00C4">
        <w:t xml:space="preserve"> </w:t>
      </w:r>
    </w:p>
    <w:p w14:paraId="531C47E6" w14:textId="53214A34" w:rsidR="00EE00C4" w:rsidRDefault="00EE00C4" w:rsidP="00091203">
      <w:pPr>
        <w:pStyle w:val="Caption"/>
        <w:rPr>
          <w:vertAlign w:val="superscript"/>
        </w:rPr>
      </w:pPr>
      <w:bookmarkStart w:id="518" w:name="_Ref370371640"/>
      <w:bookmarkStart w:id="519" w:name="_Ref373322803"/>
      <w:bookmarkStart w:id="520" w:name="_Ref439680605"/>
      <w:bookmarkStart w:id="521" w:name="_Toc373324143"/>
      <w:bookmarkStart w:id="522" w:name="_Toc391887384"/>
      <w:bookmarkStart w:id="523" w:name="_Toc439931881"/>
      <w:r>
        <w:t xml:space="preserve">Table </w:t>
      </w:r>
      <w:bookmarkEnd w:id="518"/>
      <w:bookmarkEnd w:id="519"/>
      <w:r w:rsidR="00091203">
        <w:fldChar w:fldCharType="begin"/>
      </w:r>
      <w:r w:rsidR="00091203">
        <w:instrText xml:space="preserve"> SEQ Table \* ARABIC </w:instrText>
      </w:r>
      <w:r w:rsidR="00091203">
        <w:fldChar w:fldCharType="separate"/>
      </w:r>
      <w:r w:rsidR="00FA26A9">
        <w:rPr>
          <w:noProof/>
        </w:rPr>
        <w:t>50</w:t>
      </w:r>
      <w:r w:rsidR="00091203">
        <w:fldChar w:fldCharType="end"/>
      </w:r>
      <w:bookmarkEnd w:id="520"/>
      <w:r>
        <w:t xml:space="preserve">: </w:t>
      </w:r>
      <w:r w:rsidR="004336BD">
        <w:t>Fuel Switching—</w:t>
      </w:r>
      <w:r>
        <w:t>Maximum Impacts of Fuel Switching by End Use Under the 100% Conversion Rate</w:t>
      </w:r>
      <w:r w:rsidRPr="00C22BE6">
        <w:rPr>
          <w:vertAlign w:val="superscript"/>
        </w:rPr>
        <w:t>i</w:t>
      </w:r>
      <w:bookmarkEnd w:id="521"/>
      <w:bookmarkEnd w:id="522"/>
      <w:bookmarkEnd w:id="523"/>
    </w:p>
    <w:p w14:paraId="7EFF2096" w14:textId="77777777" w:rsidR="00EE00C4" w:rsidRPr="000E3F23" w:rsidRDefault="00EE00C4" w:rsidP="00EE00C4">
      <w:pPr>
        <w:pStyle w:val="Caption"/>
        <w:spacing w:before="0"/>
        <w:rPr>
          <w:rFonts w:ascii="Times New Roman" w:hAnsi="Times New Roman" w:cs="Times New Roman"/>
          <w:b w:val="0"/>
          <w:caps/>
        </w:rPr>
      </w:pPr>
      <w:r w:rsidRPr="000E3F23">
        <w:rPr>
          <w:rFonts w:ascii="Times New Roman" w:hAnsi="Times New Roman" w:cs="Times New Roman"/>
          <w:b w:val="0"/>
          <w:sz w:val="20"/>
          <w:szCs w:val="20"/>
        </w:rPr>
        <w:t xml:space="preserve">(Base: All </w:t>
      </w:r>
      <w:r>
        <w:rPr>
          <w:rFonts w:ascii="Times New Roman" w:hAnsi="Times New Roman" w:cs="Times New Roman"/>
          <w:b w:val="0"/>
          <w:sz w:val="20"/>
          <w:szCs w:val="20"/>
        </w:rPr>
        <w:t xml:space="preserve">SF </w:t>
      </w:r>
      <w:r w:rsidRPr="000E3F23">
        <w:rPr>
          <w:rFonts w:ascii="Times New Roman" w:hAnsi="Times New Roman" w:cs="Times New Roman"/>
          <w:b w:val="0"/>
          <w:sz w:val="20"/>
          <w:szCs w:val="20"/>
        </w:rPr>
        <w:t>homes, weighted to population)</w:t>
      </w:r>
      <w:r w:rsidRPr="000E3F23">
        <w:rPr>
          <w:rFonts w:ascii="Times New Roman" w:hAnsi="Times New Roman" w:cs="Times New Roman"/>
          <w:b w:val="0"/>
        </w:rPr>
        <w:t xml:space="preserve"> </w:t>
      </w:r>
    </w:p>
    <w:tbl>
      <w:tblPr>
        <w:tblW w:w="13905" w:type="dxa"/>
        <w:tblInd w:w="-4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854"/>
        <w:gridCol w:w="1161"/>
        <w:gridCol w:w="1089"/>
        <w:gridCol w:w="1089"/>
        <w:gridCol w:w="1089"/>
        <w:gridCol w:w="1053"/>
        <w:gridCol w:w="1125"/>
        <w:gridCol w:w="1089"/>
        <w:gridCol w:w="1089"/>
        <w:gridCol w:w="1089"/>
        <w:gridCol w:w="1008"/>
        <w:gridCol w:w="1170"/>
      </w:tblGrid>
      <w:tr w:rsidR="00EE00C4" w:rsidRPr="00B409B4" w14:paraId="1700ADC1" w14:textId="77777777" w:rsidTr="009E27E3">
        <w:trPr>
          <w:trHeight w:val="288"/>
        </w:trPr>
        <w:tc>
          <w:tcPr>
            <w:tcW w:w="1854" w:type="dxa"/>
            <w:vMerge w:val="restart"/>
            <w:tcBorders>
              <w:top w:val="single" w:sz="4" w:space="0" w:color="auto"/>
              <w:left w:val="single" w:sz="4" w:space="0" w:color="auto"/>
            </w:tcBorders>
            <w:shd w:val="clear" w:color="auto" w:fill="0B4D2C" w:themeFill="background2" w:themeFillShade="BF"/>
            <w:noWrap/>
            <w:vAlign w:val="center"/>
            <w:hideMark/>
          </w:tcPr>
          <w:p w14:paraId="1C921920" w14:textId="77777777" w:rsidR="00EE00C4" w:rsidRPr="0046328D" w:rsidRDefault="00EE00C4" w:rsidP="00483793">
            <w:pPr>
              <w:spacing w:after="0" w:line="240" w:lineRule="auto"/>
              <w:rPr>
                <w:rFonts w:eastAsia="Times New Roman" w:cs="Times New Roman"/>
                <w:b/>
                <w:bCs/>
                <w:sz w:val="18"/>
                <w:szCs w:val="20"/>
                <w:lang w:bidi="ar-SA"/>
              </w:rPr>
            </w:pPr>
            <w:r w:rsidRPr="0046328D">
              <w:rPr>
                <w:rFonts w:eastAsia="Times New Roman" w:cs="Times New Roman"/>
                <w:b/>
                <w:bCs/>
                <w:sz w:val="18"/>
                <w:szCs w:val="20"/>
                <w:lang w:bidi="ar-SA"/>
              </w:rPr>
              <w:t>End Use</w:t>
            </w:r>
            <w:r w:rsidRPr="0046328D">
              <w:rPr>
                <w:rFonts w:eastAsia="Times New Roman" w:cs="Times New Roman"/>
                <w:b/>
                <w:bCs/>
                <w:sz w:val="18"/>
                <w:szCs w:val="20"/>
                <w:vertAlign w:val="superscript"/>
                <w:lang w:bidi="ar-SA"/>
              </w:rPr>
              <w:t>ii</w:t>
            </w:r>
          </w:p>
        </w:tc>
        <w:tc>
          <w:tcPr>
            <w:tcW w:w="1161" w:type="dxa"/>
            <w:vMerge w:val="restart"/>
            <w:tcBorders>
              <w:top w:val="single" w:sz="4" w:space="0" w:color="auto"/>
            </w:tcBorders>
            <w:shd w:val="clear" w:color="auto" w:fill="0B4D2C" w:themeFill="background2" w:themeFillShade="BF"/>
            <w:vAlign w:val="center"/>
          </w:tcPr>
          <w:p w14:paraId="2BDA9334" w14:textId="77777777" w:rsidR="00EE00C4" w:rsidRPr="0046328D" w:rsidRDefault="00EE00C4" w:rsidP="00483793">
            <w:pPr>
              <w:spacing w:after="0" w:line="240" w:lineRule="auto"/>
              <w:jc w:val="center"/>
              <w:rPr>
                <w:rFonts w:eastAsia="Times New Roman" w:cs="Times New Roman"/>
                <w:b/>
                <w:bCs/>
                <w:sz w:val="18"/>
                <w:szCs w:val="20"/>
                <w:lang w:bidi="ar-SA"/>
              </w:rPr>
            </w:pPr>
            <w:r w:rsidRPr="0046328D">
              <w:rPr>
                <w:rFonts w:eastAsia="Times New Roman" w:cs="Times New Roman"/>
                <w:b/>
                <w:bCs/>
                <w:sz w:val="18"/>
                <w:szCs w:val="20"/>
                <w:lang w:bidi="ar-SA"/>
              </w:rPr>
              <w:t>Current Annual</w:t>
            </w:r>
            <w:r w:rsidRPr="0046328D">
              <w:rPr>
                <w:rFonts w:eastAsia="Times New Roman" w:cs="Times New Roman"/>
                <w:b/>
                <w:bCs/>
                <w:sz w:val="18"/>
                <w:szCs w:val="20"/>
                <w:vertAlign w:val="superscript"/>
                <w:lang w:bidi="ar-SA"/>
              </w:rPr>
              <w:t>iv</w:t>
            </w:r>
          </w:p>
        </w:tc>
        <w:tc>
          <w:tcPr>
            <w:tcW w:w="5445" w:type="dxa"/>
            <w:gridSpan w:val="5"/>
            <w:tcBorders>
              <w:top w:val="single" w:sz="4" w:space="0" w:color="auto"/>
            </w:tcBorders>
            <w:shd w:val="clear" w:color="auto" w:fill="0B4D2C" w:themeFill="background2" w:themeFillShade="BF"/>
            <w:noWrap/>
            <w:vAlign w:val="center"/>
            <w:hideMark/>
          </w:tcPr>
          <w:p w14:paraId="7B4DFCAA" w14:textId="77777777" w:rsidR="00EE00C4" w:rsidRPr="0046328D" w:rsidRDefault="00EE00C4" w:rsidP="00483793">
            <w:pPr>
              <w:spacing w:after="0" w:line="240" w:lineRule="auto"/>
              <w:jc w:val="center"/>
              <w:rPr>
                <w:rFonts w:eastAsia="Times New Roman" w:cs="Times New Roman"/>
                <w:b/>
                <w:bCs/>
                <w:sz w:val="18"/>
                <w:szCs w:val="20"/>
                <w:lang w:bidi="ar-SA"/>
              </w:rPr>
            </w:pPr>
            <w:r w:rsidRPr="0046328D">
              <w:rPr>
                <w:rFonts w:eastAsia="Times New Roman" w:cs="Times New Roman"/>
                <w:b/>
                <w:bCs/>
                <w:sz w:val="18"/>
                <w:szCs w:val="20"/>
                <w:lang w:bidi="ar-SA"/>
              </w:rPr>
              <w:t>Base Case Difference from No Fuel Switching</w:t>
            </w:r>
          </w:p>
        </w:tc>
        <w:tc>
          <w:tcPr>
            <w:tcW w:w="5445" w:type="dxa"/>
            <w:gridSpan w:val="5"/>
            <w:tcBorders>
              <w:top w:val="single" w:sz="4" w:space="0" w:color="auto"/>
              <w:right w:val="single" w:sz="4" w:space="0" w:color="auto"/>
            </w:tcBorders>
            <w:shd w:val="clear" w:color="auto" w:fill="0B4D2C" w:themeFill="background2" w:themeFillShade="BF"/>
            <w:noWrap/>
            <w:vAlign w:val="center"/>
            <w:hideMark/>
          </w:tcPr>
          <w:p w14:paraId="79E31099" w14:textId="77777777" w:rsidR="00EE00C4" w:rsidRPr="0046328D" w:rsidRDefault="00EE00C4" w:rsidP="00483793">
            <w:pPr>
              <w:spacing w:after="0" w:line="240" w:lineRule="auto"/>
              <w:jc w:val="center"/>
              <w:rPr>
                <w:rFonts w:eastAsia="Times New Roman" w:cs="Times New Roman"/>
                <w:b/>
                <w:bCs/>
                <w:sz w:val="18"/>
                <w:szCs w:val="20"/>
                <w:lang w:bidi="ar-SA"/>
              </w:rPr>
            </w:pPr>
            <w:r w:rsidRPr="0046328D">
              <w:rPr>
                <w:rFonts w:eastAsia="Times New Roman" w:cs="Times New Roman"/>
                <w:b/>
                <w:bCs/>
                <w:sz w:val="18"/>
                <w:szCs w:val="20"/>
                <w:lang w:bidi="ar-SA"/>
              </w:rPr>
              <w:t>Upgrade Case Difference from Base Case</w:t>
            </w:r>
          </w:p>
        </w:tc>
      </w:tr>
      <w:tr w:rsidR="00EE00C4" w:rsidRPr="00B409B4" w14:paraId="490AF881" w14:textId="77777777" w:rsidTr="009E27E3">
        <w:trPr>
          <w:trHeight w:val="288"/>
        </w:trPr>
        <w:tc>
          <w:tcPr>
            <w:tcW w:w="1854" w:type="dxa"/>
            <w:vMerge/>
            <w:tcBorders>
              <w:left w:val="single" w:sz="4" w:space="0" w:color="auto"/>
            </w:tcBorders>
            <w:shd w:val="clear" w:color="auto" w:fill="0B4D2C" w:themeFill="background2" w:themeFillShade="BF"/>
            <w:vAlign w:val="center"/>
            <w:hideMark/>
          </w:tcPr>
          <w:p w14:paraId="10167572" w14:textId="77777777" w:rsidR="00EE00C4" w:rsidRPr="0046328D" w:rsidRDefault="00EE00C4" w:rsidP="00483793">
            <w:pPr>
              <w:spacing w:after="0" w:line="240" w:lineRule="auto"/>
              <w:rPr>
                <w:rFonts w:eastAsia="Times New Roman" w:cs="Times New Roman"/>
                <w:b/>
                <w:bCs/>
                <w:sz w:val="18"/>
                <w:szCs w:val="20"/>
                <w:lang w:bidi="ar-SA"/>
              </w:rPr>
            </w:pPr>
          </w:p>
        </w:tc>
        <w:tc>
          <w:tcPr>
            <w:tcW w:w="1161" w:type="dxa"/>
            <w:vMerge/>
            <w:shd w:val="clear" w:color="auto" w:fill="0B4D2C" w:themeFill="background2" w:themeFillShade="BF"/>
          </w:tcPr>
          <w:p w14:paraId="48A44FF5" w14:textId="77777777" w:rsidR="00EE00C4" w:rsidRPr="0046328D" w:rsidRDefault="00EE00C4" w:rsidP="00483793">
            <w:pPr>
              <w:spacing w:after="0" w:line="240" w:lineRule="auto"/>
              <w:jc w:val="center"/>
              <w:rPr>
                <w:rFonts w:eastAsia="Times New Roman" w:cs="Times New Roman"/>
                <w:b/>
                <w:bCs/>
                <w:sz w:val="18"/>
                <w:szCs w:val="20"/>
                <w:lang w:bidi="ar-SA"/>
              </w:rPr>
            </w:pPr>
          </w:p>
        </w:tc>
        <w:tc>
          <w:tcPr>
            <w:tcW w:w="4320" w:type="dxa"/>
            <w:gridSpan w:val="4"/>
            <w:shd w:val="clear" w:color="auto" w:fill="0B4D2C" w:themeFill="background2" w:themeFillShade="BF"/>
            <w:noWrap/>
            <w:vAlign w:val="center"/>
            <w:hideMark/>
          </w:tcPr>
          <w:p w14:paraId="629C5706" w14:textId="77777777" w:rsidR="00EE00C4" w:rsidRPr="0046328D" w:rsidRDefault="00EE00C4" w:rsidP="00483793">
            <w:pPr>
              <w:spacing w:after="0" w:line="240" w:lineRule="auto"/>
              <w:jc w:val="center"/>
              <w:rPr>
                <w:rFonts w:eastAsia="Times New Roman" w:cs="Times New Roman"/>
                <w:b/>
                <w:bCs/>
                <w:sz w:val="18"/>
                <w:szCs w:val="20"/>
                <w:lang w:bidi="ar-SA"/>
              </w:rPr>
            </w:pPr>
            <w:r w:rsidRPr="0046328D">
              <w:rPr>
                <w:rFonts w:eastAsia="Times New Roman" w:cs="Times New Roman"/>
                <w:b/>
                <w:bCs/>
                <w:sz w:val="18"/>
                <w:szCs w:val="20"/>
                <w:lang w:bidi="ar-SA"/>
              </w:rPr>
              <w:t>Annual Consumption</w:t>
            </w:r>
          </w:p>
        </w:tc>
        <w:tc>
          <w:tcPr>
            <w:tcW w:w="1125" w:type="dxa"/>
            <w:vMerge w:val="restart"/>
            <w:shd w:val="clear" w:color="auto" w:fill="0B4D2C" w:themeFill="background2" w:themeFillShade="BF"/>
            <w:vAlign w:val="center"/>
            <w:hideMark/>
          </w:tcPr>
          <w:p w14:paraId="22C36609" w14:textId="77777777" w:rsidR="00EE00C4" w:rsidRPr="0046328D" w:rsidRDefault="00EE00C4" w:rsidP="00483793">
            <w:pPr>
              <w:spacing w:after="0" w:line="240" w:lineRule="auto"/>
              <w:jc w:val="center"/>
              <w:rPr>
                <w:rFonts w:eastAsia="Times New Roman" w:cs="Times New Roman"/>
                <w:b/>
                <w:bCs/>
                <w:sz w:val="18"/>
                <w:szCs w:val="20"/>
                <w:lang w:bidi="ar-SA"/>
              </w:rPr>
            </w:pPr>
            <w:r w:rsidRPr="0046328D">
              <w:rPr>
                <w:rFonts w:eastAsia="Times New Roman" w:cs="Times New Roman"/>
                <w:b/>
                <w:bCs/>
                <w:sz w:val="18"/>
                <w:szCs w:val="20"/>
                <w:lang w:bidi="ar-SA"/>
              </w:rPr>
              <w:t>Ten-Year Total</w:t>
            </w:r>
            <w:r w:rsidRPr="0046328D">
              <w:rPr>
                <w:rFonts w:eastAsia="Times New Roman" w:cs="Times New Roman"/>
                <w:b/>
                <w:bCs/>
                <w:sz w:val="18"/>
                <w:szCs w:val="20"/>
                <w:vertAlign w:val="superscript"/>
                <w:lang w:bidi="ar-SA"/>
              </w:rPr>
              <w:t>iii</w:t>
            </w:r>
          </w:p>
        </w:tc>
        <w:tc>
          <w:tcPr>
            <w:tcW w:w="4275" w:type="dxa"/>
            <w:gridSpan w:val="4"/>
            <w:shd w:val="clear" w:color="auto" w:fill="0B4D2C" w:themeFill="background2" w:themeFillShade="BF"/>
            <w:noWrap/>
            <w:vAlign w:val="center"/>
            <w:hideMark/>
          </w:tcPr>
          <w:p w14:paraId="3D2E2D7A" w14:textId="77777777" w:rsidR="00EE00C4" w:rsidRPr="0046328D" w:rsidRDefault="00EE00C4" w:rsidP="00483793">
            <w:pPr>
              <w:spacing w:after="0" w:line="240" w:lineRule="auto"/>
              <w:jc w:val="center"/>
              <w:rPr>
                <w:rFonts w:eastAsia="Times New Roman" w:cs="Times New Roman"/>
                <w:b/>
                <w:bCs/>
                <w:sz w:val="18"/>
                <w:szCs w:val="20"/>
                <w:lang w:bidi="ar-SA"/>
              </w:rPr>
            </w:pPr>
            <w:r w:rsidRPr="0046328D">
              <w:rPr>
                <w:rFonts w:eastAsia="Times New Roman" w:cs="Times New Roman"/>
                <w:b/>
                <w:bCs/>
                <w:sz w:val="18"/>
                <w:szCs w:val="20"/>
                <w:lang w:bidi="ar-SA"/>
              </w:rPr>
              <w:t>Annual Consumption</w:t>
            </w:r>
          </w:p>
        </w:tc>
        <w:tc>
          <w:tcPr>
            <w:tcW w:w="1170" w:type="dxa"/>
            <w:vMerge w:val="restart"/>
            <w:tcBorders>
              <w:right w:val="single" w:sz="4" w:space="0" w:color="auto"/>
            </w:tcBorders>
            <w:shd w:val="clear" w:color="auto" w:fill="0B4D2C" w:themeFill="background2" w:themeFillShade="BF"/>
            <w:vAlign w:val="center"/>
            <w:hideMark/>
          </w:tcPr>
          <w:p w14:paraId="2F9382BA" w14:textId="77777777" w:rsidR="00EE00C4" w:rsidRPr="0046328D" w:rsidRDefault="00EE00C4" w:rsidP="00483793">
            <w:pPr>
              <w:spacing w:after="0" w:line="240" w:lineRule="auto"/>
              <w:jc w:val="center"/>
              <w:rPr>
                <w:rFonts w:eastAsia="Times New Roman" w:cs="Times New Roman"/>
                <w:b/>
                <w:bCs/>
                <w:sz w:val="18"/>
                <w:szCs w:val="20"/>
                <w:lang w:bidi="ar-SA"/>
              </w:rPr>
            </w:pPr>
            <w:r w:rsidRPr="0046328D">
              <w:rPr>
                <w:rFonts w:eastAsia="Times New Roman" w:cs="Times New Roman"/>
                <w:b/>
                <w:bCs/>
                <w:sz w:val="18"/>
                <w:szCs w:val="20"/>
                <w:lang w:bidi="ar-SA"/>
              </w:rPr>
              <w:t>Ten-Year Total</w:t>
            </w:r>
            <w:r w:rsidRPr="0046328D">
              <w:rPr>
                <w:rFonts w:eastAsia="Times New Roman" w:cs="Times New Roman"/>
                <w:b/>
                <w:bCs/>
                <w:sz w:val="18"/>
                <w:szCs w:val="20"/>
                <w:vertAlign w:val="superscript"/>
                <w:lang w:bidi="ar-SA"/>
              </w:rPr>
              <w:t>iii</w:t>
            </w:r>
          </w:p>
        </w:tc>
      </w:tr>
      <w:tr w:rsidR="00EE00C4" w:rsidRPr="00B409B4" w14:paraId="5B6139C0" w14:textId="77777777" w:rsidTr="009E27E3">
        <w:trPr>
          <w:trHeight w:val="288"/>
        </w:trPr>
        <w:tc>
          <w:tcPr>
            <w:tcW w:w="1854" w:type="dxa"/>
            <w:vMerge/>
            <w:tcBorders>
              <w:left w:val="single" w:sz="4" w:space="0" w:color="auto"/>
              <w:bottom w:val="single" w:sz="4" w:space="0" w:color="auto"/>
            </w:tcBorders>
            <w:vAlign w:val="center"/>
            <w:hideMark/>
          </w:tcPr>
          <w:p w14:paraId="44EC4C06" w14:textId="77777777" w:rsidR="00EE00C4" w:rsidRPr="0046328D" w:rsidRDefault="00EE00C4" w:rsidP="00483793">
            <w:pPr>
              <w:spacing w:after="0" w:line="240" w:lineRule="auto"/>
              <w:rPr>
                <w:rFonts w:eastAsia="Times New Roman" w:cs="Times New Roman"/>
                <w:b/>
                <w:bCs/>
                <w:sz w:val="18"/>
                <w:szCs w:val="20"/>
                <w:lang w:bidi="ar-SA"/>
              </w:rPr>
            </w:pPr>
          </w:p>
        </w:tc>
        <w:tc>
          <w:tcPr>
            <w:tcW w:w="1161" w:type="dxa"/>
            <w:vMerge/>
            <w:tcBorders>
              <w:bottom w:val="single" w:sz="4" w:space="0" w:color="auto"/>
            </w:tcBorders>
          </w:tcPr>
          <w:p w14:paraId="382D4FE2" w14:textId="77777777" w:rsidR="00EE00C4" w:rsidRPr="0046328D" w:rsidRDefault="00EE00C4" w:rsidP="00483793">
            <w:pPr>
              <w:spacing w:after="0" w:line="240" w:lineRule="auto"/>
              <w:jc w:val="center"/>
              <w:rPr>
                <w:rFonts w:eastAsia="Times New Roman" w:cs="Times New Roman"/>
                <w:b/>
                <w:bCs/>
                <w:sz w:val="18"/>
                <w:szCs w:val="20"/>
                <w:lang w:bidi="ar-SA"/>
              </w:rPr>
            </w:pPr>
          </w:p>
        </w:tc>
        <w:tc>
          <w:tcPr>
            <w:tcW w:w="1089" w:type="dxa"/>
            <w:tcBorders>
              <w:bottom w:val="single" w:sz="4" w:space="0" w:color="auto"/>
            </w:tcBorders>
            <w:shd w:val="clear" w:color="auto" w:fill="0B4D2C" w:themeFill="background2" w:themeFillShade="BF"/>
            <w:noWrap/>
            <w:vAlign w:val="center"/>
            <w:hideMark/>
          </w:tcPr>
          <w:p w14:paraId="3D5E5271" w14:textId="77777777" w:rsidR="00EE00C4" w:rsidRPr="0046328D" w:rsidRDefault="00EE00C4" w:rsidP="00483793">
            <w:pPr>
              <w:spacing w:after="0" w:line="240" w:lineRule="auto"/>
              <w:jc w:val="center"/>
              <w:rPr>
                <w:rFonts w:eastAsia="Times New Roman" w:cs="Times New Roman"/>
                <w:b/>
                <w:bCs/>
                <w:sz w:val="18"/>
                <w:szCs w:val="20"/>
                <w:lang w:bidi="ar-SA"/>
              </w:rPr>
            </w:pPr>
            <w:r w:rsidRPr="0046328D">
              <w:rPr>
                <w:rFonts w:eastAsia="Times New Roman" w:cs="Times New Roman"/>
                <w:b/>
                <w:bCs/>
                <w:sz w:val="18"/>
                <w:szCs w:val="20"/>
                <w:lang w:bidi="ar-SA"/>
              </w:rPr>
              <w:t>Year 2.5</w:t>
            </w:r>
          </w:p>
        </w:tc>
        <w:tc>
          <w:tcPr>
            <w:tcW w:w="1089" w:type="dxa"/>
            <w:tcBorders>
              <w:bottom w:val="single" w:sz="4" w:space="0" w:color="auto"/>
            </w:tcBorders>
            <w:shd w:val="clear" w:color="auto" w:fill="0B4D2C" w:themeFill="background2" w:themeFillShade="BF"/>
            <w:noWrap/>
            <w:vAlign w:val="center"/>
            <w:hideMark/>
          </w:tcPr>
          <w:p w14:paraId="668D7B83" w14:textId="77777777" w:rsidR="00EE00C4" w:rsidRPr="0046328D" w:rsidRDefault="00EE00C4" w:rsidP="00483793">
            <w:pPr>
              <w:spacing w:after="0" w:line="240" w:lineRule="auto"/>
              <w:jc w:val="center"/>
              <w:rPr>
                <w:rFonts w:eastAsia="Times New Roman" w:cs="Times New Roman"/>
                <w:b/>
                <w:bCs/>
                <w:sz w:val="18"/>
                <w:szCs w:val="20"/>
                <w:lang w:bidi="ar-SA"/>
              </w:rPr>
            </w:pPr>
            <w:r w:rsidRPr="0046328D">
              <w:rPr>
                <w:rFonts w:eastAsia="Times New Roman" w:cs="Times New Roman"/>
                <w:b/>
                <w:bCs/>
                <w:sz w:val="18"/>
                <w:szCs w:val="20"/>
                <w:lang w:bidi="ar-SA"/>
              </w:rPr>
              <w:t>Year 5</w:t>
            </w:r>
          </w:p>
        </w:tc>
        <w:tc>
          <w:tcPr>
            <w:tcW w:w="1089" w:type="dxa"/>
            <w:tcBorders>
              <w:bottom w:val="single" w:sz="4" w:space="0" w:color="auto"/>
            </w:tcBorders>
            <w:shd w:val="clear" w:color="auto" w:fill="0B4D2C" w:themeFill="background2" w:themeFillShade="BF"/>
            <w:noWrap/>
            <w:vAlign w:val="center"/>
            <w:hideMark/>
          </w:tcPr>
          <w:p w14:paraId="5CC82ED9" w14:textId="77777777" w:rsidR="00EE00C4" w:rsidRPr="0046328D" w:rsidRDefault="00EE00C4" w:rsidP="00483793">
            <w:pPr>
              <w:spacing w:after="0" w:line="240" w:lineRule="auto"/>
              <w:jc w:val="center"/>
              <w:rPr>
                <w:rFonts w:eastAsia="Times New Roman" w:cs="Times New Roman"/>
                <w:b/>
                <w:bCs/>
                <w:sz w:val="18"/>
                <w:szCs w:val="20"/>
                <w:lang w:bidi="ar-SA"/>
              </w:rPr>
            </w:pPr>
            <w:r w:rsidRPr="0046328D">
              <w:rPr>
                <w:rFonts w:eastAsia="Times New Roman" w:cs="Times New Roman"/>
                <w:b/>
                <w:bCs/>
                <w:sz w:val="18"/>
                <w:szCs w:val="20"/>
                <w:lang w:bidi="ar-SA"/>
              </w:rPr>
              <w:t>Year 7.5</w:t>
            </w:r>
          </w:p>
        </w:tc>
        <w:tc>
          <w:tcPr>
            <w:tcW w:w="1053" w:type="dxa"/>
            <w:tcBorders>
              <w:bottom w:val="single" w:sz="4" w:space="0" w:color="auto"/>
            </w:tcBorders>
            <w:shd w:val="clear" w:color="auto" w:fill="0B4D2C" w:themeFill="background2" w:themeFillShade="BF"/>
            <w:noWrap/>
            <w:vAlign w:val="center"/>
            <w:hideMark/>
          </w:tcPr>
          <w:p w14:paraId="06BA2802" w14:textId="77777777" w:rsidR="00EE00C4" w:rsidRPr="0046328D" w:rsidRDefault="00EE00C4" w:rsidP="00483793">
            <w:pPr>
              <w:spacing w:after="0" w:line="240" w:lineRule="auto"/>
              <w:jc w:val="center"/>
              <w:rPr>
                <w:rFonts w:eastAsia="Times New Roman" w:cs="Times New Roman"/>
                <w:b/>
                <w:bCs/>
                <w:sz w:val="18"/>
                <w:szCs w:val="20"/>
                <w:lang w:bidi="ar-SA"/>
              </w:rPr>
            </w:pPr>
            <w:r w:rsidRPr="0046328D">
              <w:rPr>
                <w:rFonts w:eastAsia="Times New Roman" w:cs="Times New Roman"/>
                <w:b/>
                <w:bCs/>
                <w:sz w:val="18"/>
                <w:szCs w:val="20"/>
                <w:lang w:bidi="ar-SA"/>
              </w:rPr>
              <w:t>Year 10</w:t>
            </w:r>
          </w:p>
        </w:tc>
        <w:tc>
          <w:tcPr>
            <w:tcW w:w="1125" w:type="dxa"/>
            <w:vMerge/>
            <w:tcBorders>
              <w:bottom w:val="single" w:sz="4" w:space="0" w:color="auto"/>
            </w:tcBorders>
            <w:shd w:val="clear" w:color="auto" w:fill="auto"/>
            <w:vAlign w:val="center"/>
            <w:hideMark/>
          </w:tcPr>
          <w:p w14:paraId="2E9D7ACB" w14:textId="77777777" w:rsidR="00EE00C4" w:rsidRPr="0046328D" w:rsidRDefault="00EE00C4" w:rsidP="00483793">
            <w:pPr>
              <w:spacing w:after="0" w:line="240" w:lineRule="auto"/>
              <w:jc w:val="center"/>
              <w:rPr>
                <w:rFonts w:eastAsia="Times New Roman" w:cs="Times New Roman"/>
                <w:b/>
                <w:bCs/>
                <w:sz w:val="18"/>
                <w:szCs w:val="20"/>
                <w:lang w:bidi="ar-SA"/>
              </w:rPr>
            </w:pPr>
          </w:p>
        </w:tc>
        <w:tc>
          <w:tcPr>
            <w:tcW w:w="1089" w:type="dxa"/>
            <w:tcBorders>
              <w:bottom w:val="single" w:sz="4" w:space="0" w:color="auto"/>
            </w:tcBorders>
            <w:shd w:val="clear" w:color="auto" w:fill="0B4D2C" w:themeFill="background2" w:themeFillShade="BF"/>
            <w:noWrap/>
            <w:vAlign w:val="center"/>
            <w:hideMark/>
          </w:tcPr>
          <w:p w14:paraId="6A7C7BB6" w14:textId="77777777" w:rsidR="00EE00C4" w:rsidRPr="0046328D" w:rsidRDefault="00EE00C4" w:rsidP="00483793">
            <w:pPr>
              <w:spacing w:after="0" w:line="240" w:lineRule="auto"/>
              <w:jc w:val="center"/>
              <w:rPr>
                <w:rFonts w:eastAsia="Times New Roman" w:cs="Times New Roman"/>
                <w:b/>
                <w:bCs/>
                <w:sz w:val="18"/>
                <w:szCs w:val="20"/>
                <w:lang w:bidi="ar-SA"/>
              </w:rPr>
            </w:pPr>
            <w:r w:rsidRPr="0046328D">
              <w:rPr>
                <w:rFonts w:eastAsia="Times New Roman" w:cs="Times New Roman"/>
                <w:b/>
                <w:bCs/>
                <w:sz w:val="18"/>
                <w:szCs w:val="20"/>
                <w:lang w:bidi="ar-SA"/>
              </w:rPr>
              <w:t>Year 2.5</w:t>
            </w:r>
          </w:p>
        </w:tc>
        <w:tc>
          <w:tcPr>
            <w:tcW w:w="1089" w:type="dxa"/>
            <w:tcBorders>
              <w:bottom w:val="single" w:sz="4" w:space="0" w:color="auto"/>
            </w:tcBorders>
            <w:shd w:val="clear" w:color="auto" w:fill="0B4D2C" w:themeFill="background2" w:themeFillShade="BF"/>
            <w:noWrap/>
            <w:vAlign w:val="center"/>
            <w:hideMark/>
          </w:tcPr>
          <w:p w14:paraId="44A2D746" w14:textId="77777777" w:rsidR="00EE00C4" w:rsidRPr="0046328D" w:rsidRDefault="00EE00C4" w:rsidP="00483793">
            <w:pPr>
              <w:spacing w:after="0" w:line="240" w:lineRule="auto"/>
              <w:jc w:val="center"/>
              <w:rPr>
                <w:rFonts w:eastAsia="Times New Roman" w:cs="Times New Roman"/>
                <w:b/>
                <w:bCs/>
                <w:sz w:val="18"/>
                <w:szCs w:val="20"/>
                <w:lang w:bidi="ar-SA"/>
              </w:rPr>
            </w:pPr>
            <w:r w:rsidRPr="0046328D">
              <w:rPr>
                <w:rFonts w:eastAsia="Times New Roman" w:cs="Times New Roman"/>
                <w:b/>
                <w:bCs/>
                <w:sz w:val="18"/>
                <w:szCs w:val="20"/>
                <w:lang w:bidi="ar-SA"/>
              </w:rPr>
              <w:t>Year 5</w:t>
            </w:r>
          </w:p>
        </w:tc>
        <w:tc>
          <w:tcPr>
            <w:tcW w:w="1089" w:type="dxa"/>
            <w:tcBorders>
              <w:bottom w:val="single" w:sz="4" w:space="0" w:color="auto"/>
            </w:tcBorders>
            <w:shd w:val="clear" w:color="auto" w:fill="0B4D2C" w:themeFill="background2" w:themeFillShade="BF"/>
            <w:noWrap/>
            <w:vAlign w:val="center"/>
            <w:hideMark/>
          </w:tcPr>
          <w:p w14:paraId="36297052" w14:textId="77777777" w:rsidR="00EE00C4" w:rsidRPr="0046328D" w:rsidRDefault="00EE00C4" w:rsidP="00483793">
            <w:pPr>
              <w:spacing w:after="0" w:line="240" w:lineRule="auto"/>
              <w:jc w:val="center"/>
              <w:rPr>
                <w:rFonts w:eastAsia="Times New Roman" w:cs="Times New Roman"/>
                <w:b/>
                <w:bCs/>
                <w:sz w:val="18"/>
                <w:szCs w:val="20"/>
                <w:lang w:bidi="ar-SA"/>
              </w:rPr>
            </w:pPr>
            <w:r w:rsidRPr="0046328D">
              <w:rPr>
                <w:rFonts w:eastAsia="Times New Roman" w:cs="Times New Roman"/>
                <w:b/>
                <w:bCs/>
                <w:sz w:val="18"/>
                <w:szCs w:val="20"/>
                <w:lang w:bidi="ar-SA"/>
              </w:rPr>
              <w:t>Year 7.5</w:t>
            </w:r>
          </w:p>
        </w:tc>
        <w:tc>
          <w:tcPr>
            <w:tcW w:w="1008" w:type="dxa"/>
            <w:tcBorders>
              <w:bottom w:val="single" w:sz="4" w:space="0" w:color="auto"/>
            </w:tcBorders>
            <w:shd w:val="clear" w:color="auto" w:fill="0B4D2C" w:themeFill="background2" w:themeFillShade="BF"/>
            <w:noWrap/>
            <w:vAlign w:val="center"/>
            <w:hideMark/>
          </w:tcPr>
          <w:p w14:paraId="6EC6D619" w14:textId="77777777" w:rsidR="00EE00C4" w:rsidRPr="0046328D" w:rsidRDefault="00EE00C4" w:rsidP="00483793">
            <w:pPr>
              <w:spacing w:after="0" w:line="240" w:lineRule="auto"/>
              <w:jc w:val="center"/>
              <w:rPr>
                <w:rFonts w:eastAsia="Times New Roman" w:cs="Times New Roman"/>
                <w:b/>
                <w:bCs/>
                <w:sz w:val="18"/>
                <w:szCs w:val="20"/>
                <w:lang w:bidi="ar-SA"/>
              </w:rPr>
            </w:pPr>
            <w:r w:rsidRPr="0046328D">
              <w:rPr>
                <w:rFonts w:eastAsia="Times New Roman" w:cs="Times New Roman"/>
                <w:b/>
                <w:bCs/>
                <w:sz w:val="18"/>
                <w:szCs w:val="20"/>
                <w:lang w:bidi="ar-SA"/>
              </w:rPr>
              <w:t>Year 10</w:t>
            </w:r>
          </w:p>
        </w:tc>
        <w:tc>
          <w:tcPr>
            <w:tcW w:w="1170" w:type="dxa"/>
            <w:vMerge/>
            <w:tcBorders>
              <w:bottom w:val="single" w:sz="4" w:space="0" w:color="auto"/>
              <w:right w:val="single" w:sz="4" w:space="0" w:color="auto"/>
            </w:tcBorders>
            <w:shd w:val="clear" w:color="auto" w:fill="auto"/>
            <w:vAlign w:val="center"/>
            <w:hideMark/>
          </w:tcPr>
          <w:p w14:paraId="5D1074E4" w14:textId="77777777" w:rsidR="00EE00C4" w:rsidRPr="0046328D" w:rsidRDefault="00EE00C4" w:rsidP="00483793">
            <w:pPr>
              <w:spacing w:after="0" w:line="240" w:lineRule="auto"/>
              <w:jc w:val="center"/>
              <w:rPr>
                <w:rFonts w:eastAsia="Times New Roman" w:cs="Times New Roman"/>
                <w:b/>
                <w:bCs/>
                <w:sz w:val="18"/>
                <w:szCs w:val="20"/>
                <w:lang w:bidi="ar-SA"/>
              </w:rPr>
            </w:pPr>
          </w:p>
        </w:tc>
      </w:tr>
      <w:tr w:rsidR="00FD0584" w:rsidRPr="006A3122" w14:paraId="5E305384" w14:textId="77777777" w:rsidTr="00380843">
        <w:trPr>
          <w:trHeight w:val="233"/>
        </w:trPr>
        <w:tc>
          <w:tcPr>
            <w:tcW w:w="13905" w:type="dxa"/>
            <w:gridSpan w:val="12"/>
            <w:tcBorders>
              <w:top w:val="single" w:sz="4" w:space="0" w:color="auto"/>
              <w:left w:val="single" w:sz="4" w:space="0" w:color="auto"/>
              <w:right w:val="single" w:sz="4" w:space="0" w:color="auto"/>
            </w:tcBorders>
            <w:shd w:val="clear" w:color="auto" w:fill="404040" w:themeFill="text1" w:themeFillTint="BF"/>
            <w:noWrap/>
            <w:vAlign w:val="center"/>
          </w:tcPr>
          <w:p w14:paraId="0ED360AC" w14:textId="565E165C" w:rsidR="00FD0584" w:rsidRPr="006A3122" w:rsidRDefault="006A3122" w:rsidP="00483793">
            <w:pPr>
              <w:spacing w:after="0" w:line="240" w:lineRule="auto"/>
              <w:jc w:val="center"/>
              <w:rPr>
                <w:rFonts w:eastAsia="Times New Roman" w:cs="Times New Roman"/>
                <w:b/>
                <w:iCs/>
                <w:color w:val="FFFFFF" w:themeColor="background1"/>
                <w:sz w:val="18"/>
                <w:szCs w:val="20"/>
                <w:lang w:bidi="ar-SA"/>
              </w:rPr>
            </w:pPr>
            <w:r w:rsidRPr="006A3122">
              <w:rPr>
                <w:rFonts w:eastAsia="Times New Roman" w:cs="Times New Roman"/>
                <w:b/>
                <w:iCs/>
                <w:color w:val="FFFFFF" w:themeColor="background1"/>
                <w:sz w:val="18"/>
                <w:szCs w:val="20"/>
                <w:lang w:bidi="ar-SA"/>
              </w:rPr>
              <w:t>Fuel Oil (million gallons)</w:t>
            </w:r>
          </w:p>
        </w:tc>
      </w:tr>
      <w:tr w:rsidR="00FD0584" w:rsidRPr="005D7C07" w14:paraId="4D993AA9" w14:textId="77777777" w:rsidTr="009E27E3">
        <w:trPr>
          <w:trHeight w:val="288"/>
        </w:trPr>
        <w:tc>
          <w:tcPr>
            <w:tcW w:w="1854" w:type="dxa"/>
            <w:tcBorders>
              <w:top w:val="single" w:sz="4" w:space="0" w:color="auto"/>
              <w:left w:val="single" w:sz="4" w:space="0" w:color="auto"/>
            </w:tcBorders>
            <w:shd w:val="clear" w:color="auto" w:fill="auto"/>
            <w:noWrap/>
            <w:vAlign w:val="center"/>
          </w:tcPr>
          <w:p w14:paraId="66C44098" w14:textId="45E0FBA6" w:rsidR="00FD0584" w:rsidRPr="0046328D" w:rsidRDefault="00FD0584" w:rsidP="00FD0584">
            <w:pPr>
              <w:spacing w:after="0" w:line="240" w:lineRule="auto"/>
              <w:rPr>
                <w:rFonts w:eastAsia="Times New Roman" w:cs="Times New Roman"/>
                <w:i/>
                <w:sz w:val="18"/>
                <w:szCs w:val="20"/>
                <w:lang w:bidi="ar-SA"/>
              </w:rPr>
            </w:pPr>
            <w:r w:rsidRPr="0046328D">
              <w:rPr>
                <w:rFonts w:eastAsia="Times New Roman" w:cs="Times New Roman"/>
                <w:i/>
                <w:sz w:val="18"/>
                <w:szCs w:val="20"/>
                <w:lang w:bidi="ar-SA"/>
              </w:rPr>
              <w:t>Total</w:t>
            </w:r>
          </w:p>
        </w:tc>
        <w:tc>
          <w:tcPr>
            <w:tcW w:w="1161" w:type="dxa"/>
            <w:tcBorders>
              <w:top w:val="single" w:sz="4" w:space="0" w:color="auto"/>
            </w:tcBorders>
            <w:vAlign w:val="center"/>
          </w:tcPr>
          <w:p w14:paraId="11EEE70E" w14:textId="6322E6AB" w:rsidR="00FD0584" w:rsidRPr="0046328D" w:rsidRDefault="00FD0584" w:rsidP="00FD0584">
            <w:pPr>
              <w:spacing w:after="0" w:line="240" w:lineRule="auto"/>
              <w:jc w:val="center"/>
              <w:rPr>
                <w:rFonts w:eastAsia="Times New Roman" w:cs="Times New Roman"/>
                <w:i/>
                <w:iCs/>
                <w:sz w:val="18"/>
                <w:szCs w:val="20"/>
                <w:lang w:bidi="ar-SA"/>
              </w:rPr>
            </w:pPr>
            <w:r w:rsidRPr="0046328D">
              <w:rPr>
                <w:rFonts w:eastAsia="Times New Roman" w:cs="Times New Roman"/>
                <w:i/>
                <w:iCs/>
                <w:sz w:val="18"/>
                <w:szCs w:val="20"/>
                <w:lang w:bidi="ar-SA"/>
              </w:rPr>
              <w:t>527.6</w:t>
            </w:r>
          </w:p>
        </w:tc>
        <w:tc>
          <w:tcPr>
            <w:tcW w:w="1089" w:type="dxa"/>
            <w:tcBorders>
              <w:top w:val="single" w:sz="4" w:space="0" w:color="auto"/>
            </w:tcBorders>
            <w:shd w:val="clear" w:color="auto" w:fill="auto"/>
            <w:noWrap/>
            <w:vAlign w:val="center"/>
          </w:tcPr>
          <w:p w14:paraId="1522C3C7" w14:textId="4CF82661" w:rsidR="00FD0584" w:rsidRPr="0046328D" w:rsidRDefault="00FD0584" w:rsidP="00FD0584">
            <w:pPr>
              <w:spacing w:after="0" w:line="240" w:lineRule="auto"/>
              <w:jc w:val="center"/>
              <w:rPr>
                <w:rFonts w:eastAsia="Times New Roman" w:cs="Times New Roman"/>
                <w:i/>
                <w:iCs/>
                <w:sz w:val="18"/>
                <w:szCs w:val="20"/>
                <w:lang w:bidi="ar-SA"/>
              </w:rPr>
            </w:pPr>
            <w:r w:rsidRPr="0046328D">
              <w:rPr>
                <w:rFonts w:eastAsia="Times New Roman" w:cs="Times New Roman"/>
                <w:i/>
                <w:iCs/>
                <w:sz w:val="18"/>
                <w:szCs w:val="20"/>
                <w:lang w:bidi="ar-SA"/>
              </w:rPr>
              <w:t>- 394.0</w:t>
            </w:r>
          </w:p>
        </w:tc>
        <w:tc>
          <w:tcPr>
            <w:tcW w:w="1089" w:type="dxa"/>
            <w:tcBorders>
              <w:top w:val="single" w:sz="4" w:space="0" w:color="auto"/>
            </w:tcBorders>
            <w:shd w:val="clear" w:color="auto" w:fill="auto"/>
            <w:noWrap/>
            <w:vAlign w:val="center"/>
          </w:tcPr>
          <w:p w14:paraId="71BD6BE7" w14:textId="66E54588" w:rsidR="00FD0584" w:rsidRPr="0046328D" w:rsidRDefault="00FD0584" w:rsidP="00FD0584">
            <w:pPr>
              <w:spacing w:after="0" w:line="240" w:lineRule="auto"/>
              <w:jc w:val="center"/>
              <w:rPr>
                <w:rFonts w:eastAsia="Times New Roman" w:cs="Times New Roman"/>
                <w:i/>
                <w:iCs/>
                <w:sz w:val="18"/>
                <w:szCs w:val="20"/>
                <w:lang w:bidi="ar-SA"/>
              </w:rPr>
            </w:pPr>
            <w:r w:rsidRPr="0046328D">
              <w:rPr>
                <w:rFonts w:eastAsia="Times New Roman" w:cs="Times New Roman"/>
                <w:i/>
                <w:iCs/>
                <w:sz w:val="18"/>
                <w:szCs w:val="20"/>
                <w:lang w:bidi="ar-SA"/>
              </w:rPr>
              <w:t>- 373.6</w:t>
            </w:r>
          </w:p>
        </w:tc>
        <w:tc>
          <w:tcPr>
            <w:tcW w:w="1089" w:type="dxa"/>
            <w:tcBorders>
              <w:top w:val="single" w:sz="4" w:space="0" w:color="auto"/>
            </w:tcBorders>
            <w:shd w:val="clear" w:color="auto" w:fill="auto"/>
            <w:noWrap/>
            <w:vAlign w:val="center"/>
          </w:tcPr>
          <w:p w14:paraId="0AE1691E" w14:textId="04A95AA3" w:rsidR="00FD0584" w:rsidRPr="0046328D" w:rsidRDefault="00FD0584" w:rsidP="00FD0584">
            <w:pPr>
              <w:spacing w:after="0" w:line="240" w:lineRule="auto"/>
              <w:jc w:val="center"/>
              <w:rPr>
                <w:rFonts w:eastAsia="Times New Roman" w:cs="Times New Roman"/>
                <w:i/>
                <w:iCs/>
                <w:sz w:val="18"/>
                <w:szCs w:val="20"/>
                <w:lang w:bidi="ar-SA"/>
              </w:rPr>
            </w:pPr>
            <w:r w:rsidRPr="0046328D">
              <w:rPr>
                <w:rFonts w:eastAsia="Times New Roman" w:cs="Times New Roman"/>
                <w:i/>
                <w:iCs/>
                <w:sz w:val="18"/>
                <w:szCs w:val="20"/>
                <w:lang w:bidi="ar-SA"/>
              </w:rPr>
              <w:t>- 354.3</w:t>
            </w:r>
          </w:p>
        </w:tc>
        <w:tc>
          <w:tcPr>
            <w:tcW w:w="1053" w:type="dxa"/>
            <w:tcBorders>
              <w:top w:val="single" w:sz="4" w:space="0" w:color="auto"/>
            </w:tcBorders>
            <w:shd w:val="clear" w:color="auto" w:fill="auto"/>
            <w:noWrap/>
            <w:vAlign w:val="center"/>
          </w:tcPr>
          <w:p w14:paraId="048A6278" w14:textId="7006C5BA" w:rsidR="00FD0584" w:rsidRPr="0046328D" w:rsidRDefault="00FD0584" w:rsidP="00FD0584">
            <w:pPr>
              <w:spacing w:after="0" w:line="240" w:lineRule="auto"/>
              <w:jc w:val="center"/>
              <w:rPr>
                <w:rFonts w:eastAsia="Times New Roman" w:cs="Times New Roman"/>
                <w:i/>
                <w:iCs/>
                <w:sz w:val="18"/>
                <w:szCs w:val="20"/>
                <w:lang w:bidi="ar-SA"/>
              </w:rPr>
            </w:pPr>
            <w:r w:rsidRPr="0046328D">
              <w:rPr>
                <w:rFonts w:eastAsia="Times New Roman" w:cs="Times New Roman"/>
                <w:i/>
                <w:iCs/>
                <w:sz w:val="18"/>
                <w:szCs w:val="20"/>
                <w:lang w:bidi="ar-SA"/>
              </w:rPr>
              <w:t>- 336.0</w:t>
            </w:r>
          </w:p>
        </w:tc>
        <w:tc>
          <w:tcPr>
            <w:tcW w:w="1125" w:type="dxa"/>
            <w:tcBorders>
              <w:top w:val="single" w:sz="4" w:space="0" w:color="auto"/>
            </w:tcBorders>
            <w:shd w:val="clear" w:color="auto" w:fill="auto"/>
            <w:noWrap/>
            <w:vAlign w:val="center"/>
          </w:tcPr>
          <w:p w14:paraId="4BF03C68" w14:textId="4EDC5858" w:rsidR="00FD0584" w:rsidRPr="0046328D" w:rsidRDefault="00FD0584" w:rsidP="00FD0584">
            <w:pPr>
              <w:spacing w:after="0" w:line="240" w:lineRule="auto"/>
              <w:jc w:val="center"/>
              <w:rPr>
                <w:rFonts w:eastAsia="Times New Roman" w:cs="Times New Roman"/>
                <w:i/>
                <w:iCs/>
                <w:sz w:val="18"/>
                <w:szCs w:val="20"/>
                <w:lang w:bidi="ar-SA"/>
              </w:rPr>
            </w:pPr>
            <w:r w:rsidRPr="0046328D">
              <w:rPr>
                <w:rFonts w:eastAsia="Times New Roman" w:cs="Times New Roman"/>
                <w:i/>
                <w:iCs/>
                <w:sz w:val="18"/>
                <w:szCs w:val="20"/>
                <w:lang w:bidi="ar-SA"/>
              </w:rPr>
              <w:t>- 1,972.2</w:t>
            </w:r>
          </w:p>
        </w:tc>
        <w:tc>
          <w:tcPr>
            <w:tcW w:w="1089" w:type="dxa"/>
            <w:tcBorders>
              <w:top w:val="single" w:sz="4" w:space="0" w:color="auto"/>
            </w:tcBorders>
            <w:shd w:val="clear" w:color="auto" w:fill="auto"/>
            <w:noWrap/>
            <w:vAlign w:val="center"/>
          </w:tcPr>
          <w:p w14:paraId="5A4A3F11" w14:textId="763617D5" w:rsidR="00FD0584" w:rsidRPr="0046328D" w:rsidRDefault="00FD0584" w:rsidP="00FD0584">
            <w:pPr>
              <w:spacing w:after="0" w:line="240" w:lineRule="auto"/>
              <w:jc w:val="center"/>
              <w:rPr>
                <w:rFonts w:eastAsia="Times New Roman" w:cs="Times New Roman"/>
                <w:i/>
                <w:iCs/>
                <w:sz w:val="18"/>
                <w:szCs w:val="20"/>
                <w:lang w:bidi="ar-SA"/>
              </w:rPr>
            </w:pPr>
            <w:r w:rsidRPr="0046328D">
              <w:rPr>
                <w:rFonts w:eastAsia="Times New Roman" w:cs="Times New Roman"/>
                <w:i/>
                <w:iCs/>
                <w:sz w:val="18"/>
                <w:szCs w:val="20"/>
                <w:lang w:bidi="ar-SA"/>
              </w:rPr>
              <w:t>- 8.8</w:t>
            </w:r>
          </w:p>
        </w:tc>
        <w:tc>
          <w:tcPr>
            <w:tcW w:w="1089" w:type="dxa"/>
            <w:tcBorders>
              <w:top w:val="single" w:sz="4" w:space="0" w:color="auto"/>
            </w:tcBorders>
            <w:shd w:val="clear" w:color="auto" w:fill="auto"/>
            <w:noWrap/>
            <w:vAlign w:val="center"/>
          </w:tcPr>
          <w:p w14:paraId="6D624E7B" w14:textId="143D4DDA" w:rsidR="00FD0584" w:rsidRPr="0046328D" w:rsidRDefault="00FD0584" w:rsidP="00FD0584">
            <w:pPr>
              <w:spacing w:after="0" w:line="240" w:lineRule="auto"/>
              <w:jc w:val="center"/>
              <w:rPr>
                <w:rFonts w:eastAsia="Times New Roman" w:cs="Times New Roman"/>
                <w:i/>
                <w:iCs/>
                <w:sz w:val="18"/>
                <w:szCs w:val="20"/>
                <w:lang w:bidi="ar-SA"/>
              </w:rPr>
            </w:pPr>
            <w:r w:rsidRPr="0046328D">
              <w:rPr>
                <w:rFonts w:eastAsia="Times New Roman" w:cs="Times New Roman"/>
                <w:i/>
                <w:iCs/>
                <w:sz w:val="18"/>
                <w:szCs w:val="20"/>
                <w:lang w:bidi="ar-SA"/>
              </w:rPr>
              <w:t>- 16.7</w:t>
            </w:r>
          </w:p>
        </w:tc>
        <w:tc>
          <w:tcPr>
            <w:tcW w:w="1089" w:type="dxa"/>
            <w:tcBorders>
              <w:top w:val="single" w:sz="4" w:space="0" w:color="auto"/>
            </w:tcBorders>
            <w:shd w:val="clear" w:color="auto" w:fill="auto"/>
            <w:noWrap/>
            <w:vAlign w:val="center"/>
          </w:tcPr>
          <w:p w14:paraId="6F69C6AE" w14:textId="0EE06742" w:rsidR="00FD0584" w:rsidRPr="0046328D" w:rsidRDefault="00FD0584" w:rsidP="00FD0584">
            <w:pPr>
              <w:spacing w:after="0" w:line="240" w:lineRule="auto"/>
              <w:jc w:val="center"/>
              <w:rPr>
                <w:rFonts w:eastAsia="Times New Roman" w:cs="Times New Roman"/>
                <w:i/>
                <w:iCs/>
                <w:sz w:val="18"/>
                <w:szCs w:val="20"/>
                <w:lang w:bidi="ar-SA"/>
              </w:rPr>
            </w:pPr>
            <w:r w:rsidRPr="0046328D">
              <w:rPr>
                <w:rFonts w:eastAsia="Times New Roman" w:cs="Times New Roman"/>
                <w:i/>
                <w:iCs/>
                <w:sz w:val="18"/>
                <w:szCs w:val="20"/>
                <w:lang w:bidi="ar-SA"/>
              </w:rPr>
              <w:t>- 23.8</w:t>
            </w:r>
          </w:p>
        </w:tc>
        <w:tc>
          <w:tcPr>
            <w:tcW w:w="1008" w:type="dxa"/>
            <w:tcBorders>
              <w:top w:val="single" w:sz="4" w:space="0" w:color="auto"/>
            </w:tcBorders>
            <w:shd w:val="clear" w:color="auto" w:fill="auto"/>
            <w:noWrap/>
            <w:vAlign w:val="center"/>
          </w:tcPr>
          <w:p w14:paraId="47F8071C" w14:textId="51E61841" w:rsidR="00FD0584" w:rsidRPr="0046328D" w:rsidRDefault="00FD0584" w:rsidP="00FD0584">
            <w:pPr>
              <w:spacing w:after="0" w:line="240" w:lineRule="auto"/>
              <w:jc w:val="center"/>
              <w:rPr>
                <w:rFonts w:eastAsia="Times New Roman" w:cs="Times New Roman"/>
                <w:i/>
                <w:iCs/>
                <w:sz w:val="18"/>
                <w:szCs w:val="20"/>
                <w:lang w:bidi="ar-SA"/>
              </w:rPr>
            </w:pPr>
            <w:r w:rsidRPr="0046328D">
              <w:rPr>
                <w:rFonts w:eastAsia="Times New Roman" w:cs="Times New Roman"/>
                <w:i/>
                <w:iCs/>
                <w:sz w:val="18"/>
                <w:szCs w:val="20"/>
                <w:lang w:bidi="ar-SA"/>
              </w:rPr>
              <w:t>- 30.1</w:t>
            </w:r>
          </w:p>
        </w:tc>
        <w:tc>
          <w:tcPr>
            <w:tcW w:w="1170" w:type="dxa"/>
            <w:tcBorders>
              <w:top w:val="single" w:sz="4" w:space="0" w:color="auto"/>
              <w:right w:val="single" w:sz="4" w:space="0" w:color="auto"/>
            </w:tcBorders>
            <w:shd w:val="clear" w:color="auto" w:fill="auto"/>
            <w:noWrap/>
            <w:vAlign w:val="center"/>
          </w:tcPr>
          <w:p w14:paraId="1135876E" w14:textId="033D682F" w:rsidR="00FD0584" w:rsidRPr="0046328D" w:rsidRDefault="00FD0584" w:rsidP="00FD0584">
            <w:pPr>
              <w:spacing w:after="0" w:line="240" w:lineRule="auto"/>
              <w:jc w:val="center"/>
              <w:rPr>
                <w:rFonts w:eastAsia="Times New Roman" w:cs="Times New Roman"/>
                <w:i/>
                <w:iCs/>
                <w:sz w:val="18"/>
                <w:szCs w:val="20"/>
                <w:lang w:bidi="ar-SA"/>
              </w:rPr>
            </w:pPr>
            <w:r w:rsidRPr="0046328D">
              <w:rPr>
                <w:rFonts w:eastAsia="Times New Roman" w:cs="Times New Roman"/>
                <w:i/>
                <w:iCs/>
                <w:sz w:val="18"/>
                <w:szCs w:val="20"/>
                <w:lang w:bidi="ar-SA"/>
              </w:rPr>
              <w:t>- 176.4</w:t>
            </w:r>
          </w:p>
        </w:tc>
      </w:tr>
      <w:tr w:rsidR="00FD0584" w:rsidRPr="00B409B4" w14:paraId="74E06954" w14:textId="77777777" w:rsidTr="00380843">
        <w:trPr>
          <w:trHeight w:val="233"/>
        </w:trPr>
        <w:tc>
          <w:tcPr>
            <w:tcW w:w="1854" w:type="dxa"/>
            <w:tcBorders>
              <w:left w:val="single" w:sz="4" w:space="0" w:color="auto"/>
            </w:tcBorders>
            <w:shd w:val="clear" w:color="auto" w:fill="auto"/>
            <w:noWrap/>
            <w:vAlign w:val="center"/>
            <w:hideMark/>
          </w:tcPr>
          <w:p w14:paraId="7F00CF28" w14:textId="77777777" w:rsidR="00FD0584" w:rsidRPr="0046328D" w:rsidRDefault="00FD0584" w:rsidP="00FD0584">
            <w:pPr>
              <w:spacing w:after="0" w:line="240" w:lineRule="auto"/>
              <w:rPr>
                <w:rFonts w:eastAsia="Times New Roman" w:cs="Times New Roman"/>
                <w:sz w:val="18"/>
                <w:szCs w:val="20"/>
                <w:lang w:bidi="ar-SA"/>
              </w:rPr>
            </w:pPr>
            <w:r w:rsidRPr="0046328D">
              <w:rPr>
                <w:rFonts w:eastAsia="Times New Roman" w:cs="Times New Roman"/>
                <w:sz w:val="18"/>
                <w:szCs w:val="20"/>
                <w:lang w:bidi="ar-SA"/>
              </w:rPr>
              <w:t>Heating</w:t>
            </w:r>
          </w:p>
        </w:tc>
        <w:tc>
          <w:tcPr>
            <w:tcW w:w="1161" w:type="dxa"/>
            <w:vAlign w:val="center"/>
          </w:tcPr>
          <w:p w14:paraId="5D183A6C"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460.7</w:t>
            </w:r>
          </w:p>
        </w:tc>
        <w:tc>
          <w:tcPr>
            <w:tcW w:w="1089" w:type="dxa"/>
            <w:tcBorders>
              <w:bottom w:val="single" w:sz="4" w:space="0" w:color="auto"/>
            </w:tcBorders>
            <w:shd w:val="clear" w:color="auto" w:fill="auto"/>
            <w:noWrap/>
            <w:vAlign w:val="center"/>
            <w:hideMark/>
          </w:tcPr>
          <w:p w14:paraId="05863C0C"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- 365.7</w:t>
            </w:r>
          </w:p>
        </w:tc>
        <w:tc>
          <w:tcPr>
            <w:tcW w:w="1089" w:type="dxa"/>
            <w:tcBorders>
              <w:bottom w:val="single" w:sz="4" w:space="0" w:color="auto"/>
            </w:tcBorders>
            <w:shd w:val="clear" w:color="auto" w:fill="auto"/>
            <w:noWrap/>
            <w:vAlign w:val="center"/>
            <w:hideMark/>
          </w:tcPr>
          <w:p w14:paraId="09BA40AD"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- 346.7</w:t>
            </w:r>
          </w:p>
        </w:tc>
        <w:tc>
          <w:tcPr>
            <w:tcW w:w="1089" w:type="dxa"/>
            <w:tcBorders>
              <w:bottom w:val="single" w:sz="4" w:space="0" w:color="auto"/>
            </w:tcBorders>
            <w:shd w:val="clear" w:color="auto" w:fill="auto"/>
            <w:noWrap/>
            <w:vAlign w:val="center"/>
            <w:hideMark/>
          </w:tcPr>
          <w:p w14:paraId="494FD5AF"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- 328.8</w:t>
            </w:r>
          </w:p>
        </w:tc>
        <w:tc>
          <w:tcPr>
            <w:tcW w:w="1053" w:type="dxa"/>
            <w:tcBorders>
              <w:bottom w:val="single" w:sz="4" w:space="0" w:color="auto"/>
            </w:tcBorders>
            <w:shd w:val="clear" w:color="auto" w:fill="auto"/>
            <w:noWrap/>
            <w:vAlign w:val="center"/>
            <w:hideMark/>
          </w:tcPr>
          <w:p w14:paraId="16C57431"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- 311.8</w:t>
            </w:r>
          </w:p>
        </w:tc>
        <w:tc>
          <w:tcPr>
            <w:tcW w:w="1125" w:type="dxa"/>
            <w:tcBorders>
              <w:bottom w:val="single" w:sz="4" w:space="0" w:color="auto"/>
            </w:tcBorders>
            <w:shd w:val="clear" w:color="auto" w:fill="auto"/>
            <w:noWrap/>
            <w:vAlign w:val="center"/>
            <w:hideMark/>
          </w:tcPr>
          <w:p w14:paraId="30073892"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- 1,830.3</w:t>
            </w:r>
          </w:p>
        </w:tc>
        <w:tc>
          <w:tcPr>
            <w:tcW w:w="1089" w:type="dxa"/>
            <w:tcBorders>
              <w:bottom w:val="single" w:sz="4" w:space="0" w:color="auto"/>
            </w:tcBorders>
            <w:shd w:val="clear" w:color="auto" w:fill="auto"/>
            <w:noWrap/>
            <w:vAlign w:val="center"/>
            <w:hideMark/>
          </w:tcPr>
          <w:p w14:paraId="2011F86E"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+ 0.3</w:t>
            </w:r>
          </w:p>
        </w:tc>
        <w:tc>
          <w:tcPr>
            <w:tcW w:w="1089" w:type="dxa"/>
            <w:tcBorders>
              <w:bottom w:val="single" w:sz="4" w:space="0" w:color="auto"/>
            </w:tcBorders>
            <w:shd w:val="clear" w:color="auto" w:fill="auto"/>
            <w:noWrap/>
            <w:vAlign w:val="center"/>
            <w:hideMark/>
          </w:tcPr>
          <w:p w14:paraId="6C74610F"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+ 0.6</w:t>
            </w:r>
          </w:p>
        </w:tc>
        <w:tc>
          <w:tcPr>
            <w:tcW w:w="1089" w:type="dxa"/>
            <w:tcBorders>
              <w:bottom w:val="single" w:sz="4" w:space="0" w:color="auto"/>
            </w:tcBorders>
            <w:shd w:val="clear" w:color="auto" w:fill="auto"/>
            <w:noWrap/>
            <w:vAlign w:val="center"/>
            <w:hideMark/>
          </w:tcPr>
          <w:p w14:paraId="47BC7921"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+ 0.8</w:t>
            </w:r>
          </w:p>
        </w:tc>
        <w:tc>
          <w:tcPr>
            <w:tcW w:w="1008" w:type="dxa"/>
            <w:tcBorders>
              <w:bottom w:val="single" w:sz="4" w:space="0" w:color="auto"/>
            </w:tcBorders>
            <w:shd w:val="clear" w:color="auto" w:fill="auto"/>
            <w:noWrap/>
            <w:vAlign w:val="center"/>
            <w:hideMark/>
          </w:tcPr>
          <w:p w14:paraId="247FCA6C"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+ 1.1</w:t>
            </w:r>
          </w:p>
        </w:tc>
        <w:tc>
          <w:tcPr>
            <w:tcW w:w="1170" w:type="dxa"/>
            <w:tcBorders>
              <w:bottom w:val="single" w:sz="4" w:space="0" w:color="auto"/>
              <w:right w:val="single" w:sz="4" w:space="0" w:color="auto"/>
            </w:tcBorders>
            <w:shd w:val="clear" w:color="auto" w:fill="auto"/>
            <w:noWrap/>
            <w:vAlign w:val="center"/>
            <w:hideMark/>
          </w:tcPr>
          <w:p w14:paraId="55854622"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+ 6.2</w:t>
            </w:r>
          </w:p>
        </w:tc>
      </w:tr>
      <w:tr w:rsidR="00FD0584" w:rsidRPr="00B409B4" w14:paraId="135160F6" w14:textId="77777777" w:rsidTr="00380843">
        <w:trPr>
          <w:trHeight w:val="251"/>
        </w:trPr>
        <w:tc>
          <w:tcPr>
            <w:tcW w:w="1854" w:type="dxa"/>
            <w:tcBorders>
              <w:left w:val="single" w:sz="4" w:space="0" w:color="auto"/>
              <w:bottom w:val="single" w:sz="4" w:space="0" w:color="auto"/>
            </w:tcBorders>
            <w:shd w:val="clear" w:color="auto" w:fill="auto"/>
            <w:noWrap/>
            <w:vAlign w:val="center"/>
            <w:hideMark/>
          </w:tcPr>
          <w:p w14:paraId="6035B9B1" w14:textId="77777777" w:rsidR="00FD0584" w:rsidRPr="0046328D" w:rsidRDefault="00FD0584" w:rsidP="00FD0584">
            <w:pPr>
              <w:spacing w:after="0" w:line="240" w:lineRule="auto"/>
              <w:rPr>
                <w:rFonts w:eastAsia="Times New Roman" w:cs="Times New Roman"/>
                <w:sz w:val="18"/>
                <w:szCs w:val="20"/>
                <w:lang w:bidi="ar-SA"/>
              </w:rPr>
            </w:pPr>
            <w:r w:rsidRPr="0046328D">
              <w:rPr>
                <w:rFonts w:eastAsia="Times New Roman" w:cs="Times New Roman"/>
                <w:sz w:val="18"/>
                <w:szCs w:val="20"/>
                <w:lang w:bidi="ar-SA"/>
              </w:rPr>
              <w:t>Water heating</w:t>
            </w:r>
          </w:p>
        </w:tc>
        <w:tc>
          <w:tcPr>
            <w:tcW w:w="1161" w:type="dxa"/>
            <w:tcBorders>
              <w:bottom w:val="single" w:sz="4" w:space="0" w:color="auto"/>
            </w:tcBorders>
            <w:vAlign w:val="center"/>
          </w:tcPr>
          <w:p w14:paraId="0821B703"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66.9</w:t>
            </w:r>
          </w:p>
        </w:tc>
        <w:tc>
          <w:tcPr>
            <w:tcW w:w="1089" w:type="dxa"/>
            <w:tcBorders>
              <w:top w:val="single" w:sz="4" w:space="0" w:color="auto"/>
              <w:bottom w:val="single" w:sz="4" w:space="0" w:color="auto"/>
            </w:tcBorders>
            <w:shd w:val="clear" w:color="auto" w:fill="auto"/>
            <w:noWrap/>
            <w:vAlign w:val="center"/>
            <w:hideMark/>
          </w:tcPr>
          <w:p w14:paraId="10769D4C"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- 28.3</w:t>
            </w:r>
          </w:p>
        </w:tc>
        <w:tc>
          <w:tcPr>
            <w:tcW w:w="1089" w:type="dxa"/>
            <w:tcBorders>
              <w:top w:val="single" w:sz="4" w:space="0" w:color="auto"/>
              <w:bottom w:val="single" w:sz="4" w:space="0" w:color="auto"/>
            </w:tcBorders>
            <w:shd w:val="clear" w:color="auto" w:fill="auto"/>
            <w:noWrap/>
            <w:vAlign w:val="center"/>
            <w:hideMark/>
          </w:tcPr>
          <w:p w14:paraId="317D30B8"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- 26.9</w:t>
            </w:r>
          </w:p>
        </w:tc>
        <w:tc>
          <w:tcPr>
            <w:tcW w:w="1089" w:type="dxa"/>
            <w:tcBorders>
              <w:top w:val="single" w:sz="4" w:space="0" w:color="auto"/>
              <w:bottom w:val="single" w:sz="4" w:space="0" w:color="auto"/>
            </w:tcBorders>
            <w:shd w:val="clear" w:color="auto" w:fill="auto"/>
            <w:noWrap/>
            <w:vAlign w:val="center"/>
            <w:hideMark/>
          </w:tcPr>
          <w:p w14:paraId="2AC2E0F5"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- 25.5</w:t>
            </w:r>
          </w:p>
        </w:tc>
        <w:tc>
          <w:tcPr>
            <w:tcW w:w="1053" w:type="dxa"/>
            <w:tcBorders>
              <w:top w:val="single" w:sz="4" w:space="0" w:color="auto"/>
              <w:bottom w:val="single" w:sz="4" w:space="0" w:color="auto"/>
            </w:tcBorders>
            <w:shd w:val="clear" w:color="auto" w:fill="auto"/>
            <w:noWrap/>
            <w:vAlign w:val="center"/>
            <w:hideMark/>
          </w:tcPr>
          <w:p w14:paraId="113CCFE1"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- 24.2</w:t>
            </w:r>
          </w:p>
        </w:tc>
        <w:tc>
          <w:tcPr>
            <w:tcW w:w="1125" w:type="dxa"/>
            <w:tcBorders>
              <w:top w:val="single" w:sz="4" w:space="0" w:color="auto"/>
              <w:bottom w:val="single" w:sz="4" w:space="0" w:color="auto"/>
            </w:tcBorders>
            <w:shd w:val="clear" w:color="auto" w:fill="auto"/>
            <w:noWrap/>
            <w:vAlign w:val="center"/>
            <w:hideMark/>
          </w:tcPr>
          <w:p w14:paraId="64FF990B"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- 141.9</w:t>
            </w:r>
          </w:p>
        </w:tc>
        <w:tc>
          <w:tcPr>
            <w:tcW w:w="1089" w:type="dxa"/>
            <w:tcBorders>
              <w:top w:val="single" w:sz="4" w:space="0" w:color="auto"/>
              <w:bottom w:val="single" w:sz="4" w:space="0" w:color="auto"/>
            </w:tcBorders>
            <w:shd w:val="clear" w:color="auto" w:fill="auto"/>
            <w:noWrap/>
            <w:vAlign w:val="center"/>
            <w:hideMark/>
          </w:tcPr>
          <w:p w14:paraId="3C9F1E94"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- 9.1</w:t>
            </w:r>
          </w:p>
        </w:tc>
        <w:tc>
          <w:tcPr>
            <w:tcW w:w="1089" w:type="dxa"/>
            <w:tcBorders>
              <w:top w:val="single" w:sz="4" w:space="0" w:color="auto"/>
              <w:bottom w:val="single" w:sz="4" w:space="0" w:color="auto"/>
            </w:tcBorders>
            <w:shd w:val="clear" w:color="auto" w:fill="auto"/>
            <w:noWrap/>
            <w:vAlign w:val="center"/>
            <w:hideMark/>
          </w:tcPr>
          <w:p w14:paraId="3F64D69A"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- 17.3</w:t>
            </w:r>
          </w:p>
        </w:tc>
        <w:tc>
          <w:tcPr>
            <w:tcW w:w="1089" w:type="dxa"/>
            <w:tcBorders>
              <w:top w:val="single" w:sz="4" w:space="0" w:color="auto"/>
              <w:bottom w:val="single" w:sz="4" w:space="0" w:color="auto"/>
            </w:tcBorders>
            <w:shd w:val="clear" w:color="auto" w:fill="auto"/>
            <w:noWrap/>
            <w:vAlign w:val="center"/>
            <w:hideMark/>
          </w:tcPr>
          <w:p w14:paraId="1A89ACB0"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- 24.6</w:t>
            </w:r>
          </w:p>
        </w:tc>
        <w:tc>
          <w:tcPr>
            <w:tcW w:w="1008" w:type="dxa"/>
            <w:tcBorders>
              <w:top w:val="single" w:sz="4" w:space="0" w:color="auto"/>
              <w:bottom w:val="single" w:sz="4" w:space="0" w:color="auto"/>
            </w:tcBorders>
            <w:shd w:val="clear" w:color="auto" w:fill="auto"/>
            <w:noWrap/>
            <w:vAlign w:val="center"/>
            <w:hideMark/>
          </w:tcPr>
          <w:p w14:paraId="2EB28E24"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- 31.1</w:t>
            </w:r>
          </w:p>
        </w:tc>
        <w:tc>
          <w:tcPr>
            <w:tcW w:w="1170" w:type="dxa"/>
            <w:tcBorders>
              <w:top w:val="single" w:sz="4" w:space="0" w:color="auto"/>
              <w:bottom w:val="single" w:sz="4" w:space="0" w:color="auto"/>
              <w:right w:val="single" w:sz="4" w:space="0" w:color="auto"/>
            </w:tcBorders>
            <w:shd w:val="clear" w:color="auto" w:fill="auto"/>
            <w:noWrap/>
            <w:vAlign w:val="center"/>
            <w:hideMark/>
          </w:tcPr>
          <w:p w14:paraId="1303C962"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- 182.6</w:t>
            </w:r>
          </w:p>
        </w:tc>
      </w:tr>
      <w:tr w:rsidR="00FD0584" w:rsidRPr="006A3122" w14:paraId="78342945" w14:textId="77777777" w:rsidTr="00380843">
        <w:trPr>
          <w:trHeight w:val="197"/>
        </w:trPr>
        <w:tc>
          <w:tcPr>
            <w:tcW w:w="13905" w:type="dxa"/>
            <w:gridSpan w:val="12"/>
            <w:tcBorders>
              <w:left w:val="single" w:sz="4" w:space="0" w:color="auto"/>
              <w:bottom w:val="single" w:sz="4" w:space="0" w:color="auto"/>
              <w:right w:val="single" w:sz="4" w:space="0" w:color="auto"/>
            </w:tcBorders>
            <w:shd w:val="clear" w:color="auto" w:fill="404040" w:themeFill="text1" w:themeFillTint="BF"/>
            <w:noWrap/>
            <w:vAlign w:val="center"/>
          </w:tcPr>
          <w:p w14:paraId="02C26F4A" w14:textId="6EFA49D9" w:rsidR="00FD0584" w:rsidRPr="006A3122" w:rsidRDefault="006A3122" w:rsidP="00FD0584">
            <w:pPr>
              <w:spacing w:after="0" w:line="240" w:lineRule="auto"/>
              <w:jc w:val="center"/>
              <w:rPr>
                <w:rFonts w:eastAsia="Times New Roman" w:cs="Times New Roman"/>
                <w:b/>
                <w:iCs/>
                <w:color w:val="FFFFFF" w:themeColor="background1"/>
                <w:sz w:val="18"/>
                <w:szCs w:val="20"/>
                <w:lang w:bidi="ar-SA"/>
              </w:rPr>
            </w:pPr>
            <w:r w:rsidRPr="006A3122">
              <w:rPr>
                <w:rFonts w:eastAsia="Times New Roman" w:cs="Times New Roman"/>
                <w:b/>
                <w:iCs/>
                <w:color w:val="FFFFFF" w:themeColor="background1"/>
                <w:sz w:val="18"/>
                <w:szCs w:val="20"/>
                <w:lang w:bidi="ar-SA"/>
              </w:rPr>
              <w:t>Propane (million gallons)</w:t>
            </w:r>
          </w:p>
        </w:tc>
      </w:tr>
      <w:tr w:rsidR="00FD0584" w:rsidRPr="005D7C07" w14:paraId="3994E9D3" w14:textId="77777777" w:rsidTr="009E27E3">
        <w:trPr>
          <w:trHeight w:val="288"/>
        </w:trPr>
        <w:tc>
          <w:tcPr>
            <w:tcW w:w="1854" w:type="dxa"/>
            <w:tcBorders>
              <w:top w:val="single" w:sz="4" w:space="0" w:color="auto"/>
              <w:left w:val="single" w:sz="4" w:space="0" w:color="auto"/>
            </w:tcBorders>
            <w:shd w:val="clear" w:color="auto" w:fill="auto"/>
            <w:noWrap/>
            <w:vAlign w:val="center"/>
            <w:hideMark/>
          </w:tcPr>
          <w:p w14:paraId="34018539" w14:textId="77777777" w:rsidR="00FD0584" w:rsidRPr="0046328D" w:rsidRDefault="00FD0584" w:rsidP="00FD0584">
            <w:pPr>
              <w:spacing w:after="0" w:line="240" w:lineRule="auto"/>
              <w:rPr>
                <w:rFonts w:eastAsia="Times New Roman" w:cs="Times New Roman"/>
                <w:i/>
                <w:sz w:val="18"/>
                <w:szCs w:val="20"/>
                <w:lang w:bidi="ar-SA"/>
              </w:rPr>
            </w:pPr>
            <w:r w:rsidRPr="0046328D">
              <w:rPr>
                <w:rFonts w:eastAsia="Times New Roman" w:cs="Times New Roman"/>
                <w:i/>
                <w:sz w:val="18"/>
                <w:szCs w:val="20"/>
                <w:lang w:bidi="ar-SA"/>
              </w:rPr>
              <w:t>Total</w:t>
            </w:r>
          </w:p>
        </w:tc>
        <w:tc>
          <w:tcPr>
            <w:tcW w:w="1161" w:type="dxa"/>
            <w:tcBorders>
              <w:top w:val="single" w:sz="4" w:space="0" w:color="auto"/>
            </w:tcBorders>
            <w:vAlign w:val="center"/>
          </w:tcPr>
          <w:p w14:paraId="3960BCF7" w14:textId="77777777" w:rsidR="00FD0584" w:rsidRPr="0046328D" w:rsidRDefault="00FD0584" w:rsidP="00FD0584">
            <w:pPr>
              <w:spacing w:after="0" w:line="240" w:lineRule="auto"/>
              <w:jc w:val="center"/>
              <w:rPr>
                <w:rFonts w:eastAsia="Times New Roman" w:cs="Times New Roman"/>
                <w:i/>
                <w:iCs/>
                <w:sz w:val="18"/>
                <w:szCs w:val="20"/>
                <w:lang w:bidi="ar-SA"/>
              </w:rPr>
            </w:pPr>
            <w:r w:rsidRPr="0046328D">
              <w:rPr>
                <w:rFonts w:eastAsia="Times New Roman" w:cs="Times New Roman"/>
                <w:i/>
                <w:iCs/>
                <w:sz w:val="18"/>
                <w:szCs w:val="20"/>
                <w:lang w:bidi="ar-SA"/>
              </w:rPr>
              <w:t>34.4</w:t>
            </w:r>
          </w:p>
        </w:tc>
        <w:tc>
          <w:tcPr>
            <w:tcW w:w="1089" w:type="dxa"/>
            <w:tcBorders>
              <w:top w:val="single" w:sz="4" w:space="0" w:color="auto"/>
            </w:tcBorders>
            <w:shd w:val="clear" w:color="auto" w:fill="auto"/>
            <w:noWrap/>
            <w:vAlign w:val="center"/>
            <w:hideMark/>
          </w:tcPr>
          <w:p w14:paraId="4F3E20BA" w14:textId="77777777" w:rsidR="00FD0584" w:rsidRPr="0046328D" w:rsidRDefault="00FD0584" w:rsidP="00FD0584">
            <w:pPr>
              <w:spacing w:after="0" w:line="240" w:lineRule="auto"/>
              <w:jc w:val="center"/>
              <w:rPr>
                <w:rFonts w:eastAsia="Times New Roman" w:cs="Times New Roman"/>
                <w:i/>
                <w:iCs/>
                <w:sz w:val="18"/>
                <w:szCs w:val="20"/>
                <w:lang w:bidi="ar-SA"/>
              </w:rPr>
            </w:pPr>
            <w:r w:rsidRPr="0046328D">
              <w:rPr>
                <w:rFonts w:eastAsia="Times New Roman" w:cs="Times New Roman"/>
                <w:i/>
                <w:iCs/>
                <w:sz w:val="18"/>
                <w:szCs w:val="20"/>
                <w:lang w:bidi="ar-SA"/>
              </w:rPr>
              <w:t>- 20.5</w:t>
            </w:r>
          </w:p>
        </w:tc>
        <w:tc>
          <w:tcPr>
            <w:tcW w:w="1089" w:type="dxa"/>
            <w:tcBorders>
              <w:top w:val="single" w:sz="4" w:space="0" w:color="auto"/>
            </w:tcBorders>
            <w:shd w:val="clear" w:color="auto" w:fill="auto"/>
            <w:noWrap/>
            <w:vAlign w:val="center"/>
            <w:hideMark/>
          </w:tcPr>
          <w:p w14:paraId="1D7A66F9" w14:textId="77777777" w:rsidR="00FD0584" w:rsidRPr="0046328D" w:rsidRDefault="00FD0584" w:rsidP="00FD0584">
            <w:pPr>
              <w:spacing w:after="0" w:line="240" w:lineRule="auto"/>
              <w:jc w:val="center"/>
              <w:rPr>
                <w:rFonts w:eastAsia="Times New Roman" w:cs="Times New Roman"/>
                <w:i/>
                <w:iCs/>
                <w:sz w:val="18"/>
                <w:szCs w:val="20"/>
                <w:lang w:bidi="ar-SA"/>
              </w:rPr>
            </w:pPr>
            <w:r w:rsidRPr="0046328D">
              <w:rPr>
                <w:rFonts w:eastAsia="Times New Roman" w:cs="Times New Roman"/>
                <w:i/>
                <w:iCs/>
                <w:sz w:val="18"/>
                <w:szCs w:val="20"/>
                <w:lang w:bidi="ar-SA"/>
              </w:rPr>
              <w:t>- 20.7</w:t>
            </w:r>
          </w:p>
        </w:tc>
        <w:tc>
          <w:tcPr>
            <w:tcW w:w="1089" w:type="dxa"/>
            <w:tcBorders>
              <w:top w:val="single" w:sz="4" w:space="0" w:color="auto"/>
            </w:tcBorders>
            <w:shd w:val="clear" w:color="auto" w:fill="auto"/>
            <w:noWrap/>
            <w:vAlign w:val="center"/>
            <w:hideMark/>
          </w:tcPr>
          <w:p w14:paraId="7BCD2B68" w14:textId="77777777" w:rsidR="00FD0584" w:rsidRPr="0046328D" w:rsidRDefault="00FD0584" w:rsidP="00FD0584">
            <w:pPr>
              <w:spacing w:after="0" w:line="240" w:lineRule="auto"/>
              <w:jc w:val="center"/>
              <w:rPr>
                <w:rFonts w:eastAsia="Times New Roman" w:cs="Times New Roman"/>
                <w:i/>
                <w:iCs/>
                <w:sz w:val="18"/>
                <w:szCs w:val="20"/>
                <w:lang w:bidi="ar-SA"/>
              </w:rPr>
            </w:pPr>
            <w:r w:rsidRPr="0046328D">
              <w:rPr>
                <w:rFonts w:eastAsia="Times New Roman" w:cs="Times New Roman"/>
                <w:i/>
                <w:iCs/>
                <w:sz w:val="18"/>
                <w:szCs w:val="20"/>
                <w:lang w:bidi="ar-SA"/>
              </w:rPr>
              <w:t>- 20.9</w:t>
            </w:r>
          </w:p>
        </w:tc>
        <w:tc>
          <w:tcPr>
            <w:tcW w:w="1053" w:type="dxa"/>
            <w:tcBorders>
              <w:top w:val="single" w:sz="4" w:space="0" w:color="auto"/>
            </w:tcBorders>
            <w:shd w:val="clear" w:color="auto" w:fill="auto"/>
            <w:noWrap/>
            <w:vAlign w:val="center"/>
            <w:hideMark/>
          </w:tcPr>
          <w:p w14:paraId="09072387" w14:textId="77777777" w:rsidR="00FD0584" w:rsidRPr="0046328D" w:rsidRDefault="00FD0584" w:rsidP="00FD0584">
            <w:pPr>
              <w:spacing w:after="0" w:line="240" w:lineRule="auto"/>
              <w:jc w:val="center"/>
              <w:rPr>
                <w:rFonts w:eastAsia="Times New Roman" w:cs="Times New Roman"/>
                <w:i/>
                <w:iCs/>
                <w:sz w:val="18"/>
                <w:szCs w:val="20"/>
                <w:lang w:bidi="ar-SA"/>
              </w:rPr>
            </w:pPr>
            <w:r w:rsidRPr="0046328D">
              <w:rPr>
                <w:rFonts w:eastAsia="Times New Roman" w:cs="Times New Roman"/>
                <w:i/>
                <w:iCs/>
                <w:sz w:val="18"/>
                <w:szCs w:val="20"/>
                <w:lang w:bidi="ar-SA"/>
              </w:rPr>
              <w:t>- 21.1</w:t>
            </w:r>
          </w:p>
        </w:tc>
        <w:tc>
          <w:tcPr>
            <w:tcW w:w="1125" w:type="dxa"/>
            <w:tcBorders>
              <w:top w:val="single" w:sz="4" w:space="0" w:color="auto"/>
            </w:tcBorders>
            <w:shd w:val="clear" w:color="auto" w:fill="auto"/>
            <w:noWrap/>
            <w:vAlign w:val="center"/>
            <w:hideMark/>
          </w:tcPr>
          <w:p w14:paraId="71EAB780" w14:textId="77777777" w:rsidR="00FD0584" w:rsidRPr="0046328D" w:rsidRDefault="00FD0584" w:rsidP="00FD0584">
            <w:pPr>
              <w:spacing w:after="0" w:line="240" w:lineRule="auto"/>
              <w:jc w:val="center"/>
              <w:rPr>
                <w:rFonts w:eastAsia="Times New Roman" w:cs="Times New Roman"/>
                <w:i/>
                <w:iCs/>
                <w:sz w:val="18"/>
                <w:szCs w:val="20"/>
                <w:lang w:bidi="ar-SA"/>
              </w:rPr>
            </w:pPr>
            <w:r w:rsidRPr="0046328D">
              <w:rPr>
                <w:rFonts w:eastAsia="Times New Roman" w:cs="Times New Roman"/>
                <w:i/>
                <w:iCs/>
                <w:sz w:val="18"/>
                <w:szCs w:val="20"/>
                <w:lang w:bidi="ar-SA"/>
              </w:rPr>
              <w:t>- 114.6</w:t>
            </w:r>
          </w:p>
        </w:tc>
        <w:tc>
          <w:tcPr>
            <w:tcW w:w="1089" w:type="dxa"/>
            <w:tcBorders>
              <w:top w:val="single" w:sz="4" w:space="0" w:color="auto"/>
            </w:tcBorders>
            <w:shd w:val="clear" w:color="auto" w:fill="auto"/>
            <w:noWrap/>
            <w:vAlign w:val="center"/>
            <w:hideMark/>
          </w:tcPr>
          <w:p w14:paraId="548E91F3" w14:textId="77777777" w:rsidR="00FD0584" w:rsidRPr="0046328D" w:rsidRDefault="00FD0584" w:rsidP="00FD0584">
            <w:pPr>
              <w:spacing w:after="0" w:line="240" w:lineRule="auto"/>
              <w:jc w:val="center"/>
              <w:rPr>
                <w:rFonts w:eastAsia="Times New Roman" w:cs="Times New Roman"/>
                <w:i/>
                <w:iCs/>
                <w:sz w:val="18"/>
                <w:szCs w:val="20"/>
                <w:lang w:bidi="ar-SA"/>
              </w:rPr>
            </w:pPr>
            <w:r w:rsidRPr="0046328D">
              <w:rPr>
                <w:rFonts w:eastAsia="Times New Roman" w:cs="Times New Roman"/>
                <w:i/>
                <w:iCs/>
                <w:sz w:val="18"/>
                <w:szCs w:val="20"/>
                <w:lang w:bidi="ar-SA"/>
              </w:rPr>
              <w:t>- 1.2</w:t>
            </w:r>
          </w:p>
        </w:tc>
        <w:tc>
          <w:tcPr>
            <w:tcW w:w="1089" w:type="dxa"/>
            <w:tcBorders>
              <w:top w:val="single" w:sz="4" w:space="0" w:color="auto"/>
            </w:tcBorders>
            <w:shd w:val="clear" w:color="auto" w:fill="auto"/>
            <w:noWrap/>
            <w:vAlign w:val="center"/>
            <w:hideMark/>
          </w:tcPr>
          <w:p w14:paraId="7C81F935" w14:textId="77777777" w:rsidR="00FD0584" w:rsidRPr="0046328D" w:rsidRDefault="00FD0584" w:rsidP="00FD0584">
            <w:pPr>
              <w:spacing w:after="0" w:line="240" w:lineRule="auto"/>
              <w:jc w:val="center"/>
              <w:rPr>
                <w:rFonts w:eastAsia="Times New Roman" w:cs="Times New Roman"/>
                <w:i/>
                <w:iCs/>
                <w:sz w:val="18"/>
                <w:szCs w:val="20"/>
                <w:lang w:bidi="ar-SA"/>
              </w:rPr>
            </w:pPr>
            <w:r w:rsidRPr="0046328D">
              <w:rPr>
                <w:rFonts w:eastAsia="Times New Roman" w:cs="Times New Roman"/>
                <w:i/>
                <w:iCs/>
                <w:sz w:val="18"/>
                <w:szCs w:val="20"/>
                <w:lang w:bidi="ar-SA"/>
              </w:rPr>
              <w:t>- 2.4</w:t>
            </w:r>
          </w:p>
        </w:tc>
        <w:tc>
          <w:tcPr>
            <w:tcW w:w="1089" w:type="dxa"/>
            <w:tcBorders>
              <w:top w:val="single" w:sz="4" w:space="0" w:color="auto"/>
            </w:tcBorders>
            <w:shd w:val="clear" w:color="auto" w:fill="auto"/>
            <w:noWrap/>
            <w:vAlign w:val="center"/>
            <w:hideMark/>
          </w:tcPr>
          <w:p w14:paraId="21424F9B" w14:textId="77777777" w:rsidR="00FD0584" w:rsidRPr="0046328D" w:rsidRDefault="00FD0584" w:rsidP="00FD0584">
            <w:pPr>
              <w:spacing w:after="0" w:line="240" w:lineRule="auto"/>
              <w:jc w:val="center"/>
              <w:rPr>
                <w:rFonts w:eastAsia="Times New Roman" w:cs="Times New Roman"/>
                <w:i/>
                <w:iCs/>
                <w:sz w:val="18"/>
                <w:szCs w:val="20"/>
                <w:lang w:bidi="ar-SA"/>
              </w:rPr>
            </w:pPr>
            <w:r w:rsidRPr="0046328D">
              <w:rPr>
                <w:rFonts w:eastAsia="Times New Roman" w:cs="Times New Roman"/>
                <w:i/>
                <w:iCs/>
                <w:sz w:val="18"/>
                <w:szCs w:val="20"/>
                <w:lang w:bidi="ar-SA"/>
              </w:rPr>
              <w:t>- 3.6</w:t>
            </w:r>
          </w:p>
        </w:tc>
        <w:tc>
          <w:tcPr>
            <w:tcW w:w="1008" w:type="dxa"/>
            <w:tcBorders>
              <w:top w:val="single" w:sz="4" w:space="0" w:color="auto"/>
            </w:tcBorders>
            <w:shd w:val="clear" w:color="auto" w:fill="auto"/>
            <w:noWrap/>
            <w:vAlign w:val="center"/>
            <w:hideMark/>
          </w:tcPr>
          <w:p w14:paraId="07F4AFC6" w14:textId="77777777" w:rsidR="00FD0584" w:rsidRPr="0046328D" w:rsidRDefault="00FD0584" w:rsidP="00FD0584">
            <w:pPr>
              <w:spacing w:after="0" w:line="240" w:lineRule="auto"/>
              <w:jc w:val="center"/>
              <w:rPr>
                <w:rFonts w:eastAsia="Times New Roman" w:cs="Times New Roman"/>
                <w:i/>
                <w:iCs/>
                <w:sz w:val="18"/>
                <w:szCs w:val="20"/>
                <w:lang w:bidi="ar-SA"/>
              </w:rPr>
            </w:pPr>
            <w:r w:rsidRPr="0046328D">
              <w:rPr>
                <w:rFonts w:eastAsia="Times New Roman" w:cs="Times New Roman"/>
                <w:i/>
                <w:iCs/>
                <w:sz w:val="18"/>
                <w:szCs w:val="20"/>
                <w:lang w:bidi="ar-SA"/>
              </w:rPr>
              <w:t>- 4.8</w:t>
            </w:r>
          </w:p>
        </w:tc>
        <w:tc>
          <w:tcPr>
            <w:tcW w:w="1170" w:type="dxa"/>
            <w:tcBorders>
              <w:top w:val="single" w:sz="4" w:space="0" w:color="auto"/>
              <w:right w:val="single" w:sz="4" w:space="0" w:color="auto"/>
            </w:tcBorders>
            <w:shd w:val="clear" w:color="auto" w:fill="auto"/>
            <w:noWrap/>
            <w:vAlign w:val="center"/>
            <w:hideMark/>
          </w:tcPr>
          <w:p w14:paraId="5107F6D3" w14:textId="77777777" w:rsidR="00FD0584" w:rsidRPr="0046328D" w:rsidRDefault="00FD0584" w:rsidP="00FD0584">
            <w:pPr>
              <w:spacing w:after="0" w:line="240" w:lineRule="auto"/>
              <w:jc w:val="center"/>
              <w:rPr>
                <w:rFonts w:eastAsia="Times New Roman" w:cs="Times New Roman"/>
                <w:i/>
                <w:iCs/>
                <w:sz w:val="18"/>
                <w:szCs w:val="20"/>
                <w:lang w:bidi="ar-SA"/>
              </w:rPr>
            </w:pPr>
            <w:r w:rsidRPr="0046328D">
              <w:rPr>
                <w:rFonts w:eastAsia="Times New Roman" w:cs="Times New Roman"/>
                <w:i/>
                <w:iCs/>
                <w:sz w:val="18"/>
                <w:szCs w:val="20"/>
                <w:lang w:bidi="ar-SA"/>
              </w:rPr>
              <w:t>- 26.2</w:t>
            </w:r>
          </w:p>
        </w:tc>
      </w:tr>
      <w:tr w:rsidR="00FD0584" w:rsidRPr="00B409B4" w14:paraId="475A77B6" w14:textId="77777777" w:rsidTr="00380843">
        <w:trPr>
          <w:trHeight w:val="287"/>
        </w:trPr>
        <w:tc>
          <w:tcPr>
            <w:tcW w:w="1854" w:type="dxa"/>
            <w:tcBorders>
              <w:left w:val="single" w:sz="4" w:space="0" w:color="auto"/>
            </w:tcBorders>
            <w:shd w:val="clear" w:color="auto" w:fill="auto"/>
            <w:noWrap/>
            <w:vAlign w:val="center"/>
            <w:hideMark/>
          </w:tcPr>
          <w:p w14:paraId="20DB1015" w14:textId="77777777" w:rsidR="00FD0584" w:rsidRPr="0046328D" w:rsidRDefault="00FD0584" w:rsidP="00FD0584">
            <w:pPr>
              <w:spacing w:after="0" w:line="240" w:lineRule="auto"/>
              <w:rPr>
                <w:rFonts w:eastAsia="Times New Roman" w:cs="Times New Roman"/>
                <w:sz w:val="18"/>
                <w:szCs w:val="20"/>
                <w:lang w:bidi="ar-SA"/>
              </w:rPr>
            </w:pPr>
            <w:r w:rsidRPr="0046328D">
              <w:rPr>
                <w:rFonts w:eastAsia="Times New Roman" w:cs="Times New Roman"/>
                <w:sz w:val="18"/>
                <w:szCs w:val="20"/>
                <w:lang w:bidi="ar-SA"/>
              </w:rPr>
              <w:t>Heating</w:t>
            </w:r>
          </w:p>
        </w:tc>
        <w:tc>
          <w:tcPr>
            <w:tcW w:w="1161" w:type="dxa"/>
            <w:vAlign w:val="center"/>
          </w:tcPr>
          <w:p w14:paraId="0F04B399"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24.3</w:t>
            </w:r>
          </w:p>
        </w:tc>
        <w:tc>
          <w:tcPr>
            <w:tcW w:w="1089" w:type="dxa"/>
            <w:tcBorders>
              <w:bottom w:val="single" w:sz="4" w:space="0" w:color="auto"/>
            </w:tcBorders>
            <w:shd w:val="clear" w:color="auto" w:fill="auto"/>
            <w:noWrap/>
            <w:vAlign w:val="center"/>
            <w:hideMark/>
          </w:tcPr>
          <w:p w14:paraId="426AB060"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- 18.3</w:t>
            </w:r>
          </w:p>
        </w:tc>
        <w:tc>
          <w:tcPr>
            <w:tcW w:w="1089" w:type="dxa"/>
            <w:tcBorders>
              <w:bottom w:val="single" w:sz="4" w:space="0" w:color="auto"/>
            </w:tcBorders>
            <w:shd w:val="clear" w:color="auto" w:fill="auto"/>
            <w:noWrap/>
            <w:vAlign w:val="center"/>
            <w:hideMark/>
          </w:tcPr>
          <w:p w14:paraId="11FD2AC5"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- 18.5</w:t>
            </w:r>
          </w:p>
        </w:tc>
        <w:tc>
          <w:tcPr>
            <w:tcW w:w="1089" w:type="dxa"/>
            <w:tcBorders>
              <w:bottom w:val="single" w:sz="4" w:space="0" w:color="auto"/>
            </w:tcBorders>
            <w:shd w:val="clear" w:color="auto" w:fill="auto"/>
            <w:noWrap/>
            <w:vAlign w:val="center"/>
            <w:hideMark/>
          </w:tcPr>
          <w:p w14:paraId="385E7D84"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- 18.7</w:t>
            </w:r>
          </w:p>
        </w:tc>
        <w:tc>
          <w:tcPr>
            <w:tcW w:w="1053" w:type="dxa"/>
            <w:tcBorders>
              <w:bottom w:val="single" w:sz="4" w:space="0" w:color="auto"/>
            </w:tcBorders>
            <w:shd w:val="clear" w:color="auto" w:fill="auto"/>
            <w:noWrap/>
            <w:vAlign w:val="center"/>
            <w:hideMark/>
          </w:tcPr>
          <w:p w14:paraId="1C020267"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- 18.9</w:t>
            </w:r>
          </w:p>
        </w:tc>
        <w:tc>
          <w:tcPr>
            <w:tcW w:w="1125" w:type="dxa"/>
            <w:tcBorders>
              <w:bottom w:val="single" w:sz="4" w:space="0" w:color="auto"/>
            </w:tcBorders>
            <w:shd w:val="clear" w:color="auto" w:fill="auto"/>
            <w:noWrap/>
            <w:vAlign w:val="center"/>
            <w:hideMark/>
          </w:tcPr>
          <w:p w14:paraId="1422EDE8"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- 102.6</w:t>
            </w:r>
          </w:p>
        </w:tc>
        <w:tc>
          <w:tcPr>
            <w:tcW w:w="1089" w:type="dxa"/>
            <w:tcBorders>
              <w:bottom w:val="single" w:sz="4" w:space="0" w:color="auto"/>
            </w:tcBorders>
            <w:shd w:val="clear" w:color="auto" w:fill="auto"/>
            <w:noWrap/>
            <w:vAlign w:val="center"/>
            <w:hideMark/>
          </w:tcPr>
          <w:p w14:paraId="1B0D9182"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&lt; 0.1</w:t>
            </w:r>
          </w:p>
        </w:tc>
        <w:tc>
          <w:tcPr>
            <w:tcW w:w="1089" w:type="dxa"/>
            <w:tcBorders>
              <w:bottom w:val="single" w:sz="4" w:space="0" w:color="auto"/>
            </w:tcBorders>
            <w:shd w:val="clear" w:color="auto" w:fill="auto"/>
            <w:noWrap/>
            <w:vAlign w:val="center"/>
            <w:hideMark/>
          </w:tcPr>
          <w:p w14:paraId="7293F2DA"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&lt; 0.1</w:t>
            </w:r>
          </w:p>
        </w:tc>
        <w:tc>
          <w:tcPr>
            <w:tcW w:w="1089" w:type="dxa"/>
            <w:tcBorders>
              <w:bottom w:val="single" w:sz="4" w:space="0" w:color="auto"/>
            </w:tcBorders>
            <w:shd w:val="clear" w:color="auto" w:fill="auto"/>
            <w:noWrap/>
            <w:vAlign w:val="center"/>
            <w:hideMark/>
          </w:tcPr>
          <w:p w14:paraId="30D8921A"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&lt; 0.1</w:t>
            </w:r>
          </w:p>
        </w:tc>
        <w:tc>
          <w:tcPr>
            <w:tcW w:w="1008" w:type="dxa"/>
            <w:tcBorders>
              <w:bottom w:val="single" w:sz="4" w:space="0" w:color="auto"/>
            </w:tcBorders>
            <w:shd w:val="clear" w:color="auto" w:fill="auto"/>
            <w:noWrap/>
            <w:vAlign w:val="center"/>
            <w:hideMark/>
          </w:tcPr>
          <w:p w14:paraId="7F69C17D"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+ 0.1</w:t>
            </w:r>
          </w:p>
        </w:tc>
        <w:tc>
          <w:tcPr>
            <w:tcW w:w="1170" w:type="dxa"/>
            <w:tcBorders>
              <w:bottom w:val="single" w:sz="4" w:space="0" w:color="auto"/>
              <w:right w:val="single" w:sz="4" w:space="0" w:color="auto"/>
            </w:tcBorders>
            <w:shd w:val="clear" w:color="auto" w:fill="auto"/>
            <w:noWrap/>
            <w:vAlign w:val="center"/>
            <w:hideMark/>
          </w:tcPr>
          <w:p w14:paraId="1730D4A5"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+ 0.5</w:t>
            </w:r>
          </w:p>
        </w:tc>
      </w:tr>
      <w:tr w:rsidR="00FD0584" w:rsidRPr="00B409B4" w14:paraId="332DDA79" w14:textId="77777777" w:rsidTr="00380843">
        <w:trPr>
          <w:trHeight w:val="251"/>
        </w:trPr>
        <w:tc>
          <w:tcPr>
            <w:tcW w:w="1854" w:type="dxa"/>
            <w:tcBorders>
              <w:left w:val="single" w:sz="4" w:space="0" w:color="auto"/>
              <w:bottom w:val="single" w:sz="4" w:space="0" w:color="auto"/>
            </w:tcBorders>
            <w:shd w:val="clear" w:color="auto" w:fill="auto"/>
            <w:noWrap/>
            <w:vAlign w:val="center"/>
            <w:hideMark/>
          </w:tcPr>
          <w:p w14:paraId="74AF5CAD" w14:textId="77777777" w:rsidR="00FD0584" w:rsidRPr="0046328D" w:rsidRDefault="00FD0584" w:rsidP="00FD0584">
            <w:pPr>
              <w:spacing w:after="0" w:line="240" w:lineRule="auto"/>
              <w:rPr>
                <w:rFonts w:eastAsia="Times New Roman" w:cs="Times New Roman"/>
                <w:sz w:val="18"/>
                <w:szCs w:val="20"/>
                <w:lang w:bidi="ar-SA"/>
              </w:rPr>
            </w:pPr>
            <w:r w:rsidRPr="0046328D">
              <w:rPr>
                <w:rFonts w:eastAsia="Times New Roman" w:cs="Times New Roman"/>
                <w:sz w:val="18"/>
                <w:szCs w:val="20"/>
                <w:lang w:bidi="ar-SA"/>
              </w:rPr>
              <w:t>Water heating</w:t>
            </w:r>
          </w:p>
        </w:tc>
        <w:tc>
          <w:tcPr>
            <w:tcW w:w="1161" w:type="dxa"/>
            <w:tcBorders>
              <w:bottom w:val="single" w:sz="4" w:space="0" w:color="auto"/>
            </w:tcBorders>
            <w:vAlign w:val="center"/>
          </w:tcPr>
          <w:p w14:paraId="068357B5"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6.9</w:t>
            </w:r>
          </w:p>
        </w:tc>
        <w:tc>
          <w:tcPr>
            <w:tcW w:w="1089" w:type="dxa"/>
            <w:tcBorders>
              <w:top w:val="single" w:sz="4" w:space="0" w:color="auto"/>
              <w:bottom w:val="single" w:sz="4" w:space="0" w:color="auto"/>
            </w:tcBorders>
            <w:shd w:val="clear" w:color="auto" w:fill="auto"/>
            <w:noWrap/>
            <w:vAlign w:val="center"/>
            <w:hideMark/>
          </w:tcPr>
          <w:p w14:paraId="77C85BCB"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- 2.1</w:t>
            </w:r>
          </w:p>
        </w:tc>
        <w:tc>
          <w:tcPr>
            <w:tcW w:w="1089" w:type="dxa"/>
            <w:tcBorders>
              <w:top w:val="single" w:sz="4" w:space="0" w:color="auto"/>
              <w:bottom w:val="single" w:sz="4" w:space="0" w:color="auto"/>
            </w:tcBorders>
            <w:shd w:val="clear" w:color="auto" w:fill="auto"/>
            <w:noWrap/>
            <w:vAlign w:val="center"/>
            <w:hideMark/>
          </w:tcPr>
          <w:p w14:paraId="5C767EEB"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- 2.2</w:t>
            </w:r>
          </w:p>
        </w:tc>
        <w:tc>
          <w:tcPr>
            <w:tcW w:w="1089" w:type="dxa"/>
            <w:tcBorders>
              <w:top w:val="single" w:sz="4" w:space="0" w:color="auto"/>
              <w:bottom w:val="single" w:sz="4" w:space="0" w:color="auto"/>
            </w:tcBorders>
            <w:shd w:val="clear" w:color="auto" w:fill="auto"/>
            <w:noWrap/>
            <w:vAlign w:val="center"/>
            <w:hideMark/>
          </w:tcPr>
          <w:p w14:paraId="48EFE718"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- 2.2</w:t>
            </w:r>
          </w:p>
        </w:tc>
        <w:tc>
          <w:tcPr>
            <w:tcW w:w="1053" w:type="dxa"/>
            <w:tcBorders>
              <w:top w:val="single" w:sz="4" w:space="0" w:color="auto"/>
              <w:bottom w:val="single" w:sz="4" w:space="0" w:color="auto"/>
            </w:tcBorders>
            <w:shd w:val="clear" w:color="auto" w:fill="auto"/>
            <w:noWrap/>
            <w:vAlign w:val="center"/>
            <w:hideMark/>
          </w:tcPr>
          <w:p w14:paraId="368168DF"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- 2.2</w:t>
            </w:r>
          </w:p>
        </w:tc>
        <w:tc>
          <w:tcPr>
            <w:tcW w:w="1125" w:type="dxa"/>
            <w:tcBorders>
              <w:top w:val="single" w:sz="4" w:space="0" w:color="auto"/>
              <w:bottom w:val="single" w:sz="4" w:space="0" w:color="auto"/>
            </w:tcBorders>
            <w:shd w:val="clear" w:color="auto" w:fill="auto"/>
            <w:noWrap/>
            <w:vAlign w:val="center"/>
            <w:hideMark/>
          </w:tcPr>
          <w:p w14:paraId="1DA11518"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- 11.9</w:t>
            </w:r>
          </w:p>
        </w:tc>
        <w:tc>
          <w:tcPr>
            <w:tcW w:w="1089" w:type="dxa"/>
            <w:tcBorders>
              <w:top w:val="single" w:sz="4" w:space="0" w:color="auto"/>
              <w:bottom w:val="single" w:sz="4" w:space="0" w:color="auto"/>
            </w:tcBorders>
            <w:shd w:val="clear" w:color="auto" w:fill="auto"/>
            <w:noWrap/>
            <w:vAlign w:val="center"/>
            <w:hideMark/>
          </w:tcPr>
          <w:p w14:paraId="47B30AA4"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- 1.2</w:t>
            </w:r>
          </w:p>
        </w:tc>
        <w:tc>
          <w:tcPr>
            <w:tcW w:w="1089" w:type="dxa"/>
            <w:tcBorders>
              <w:top w:val="single" w:sz="4" w:space="0" w:color="auto"/>
              <w:bottom w:val="single" w:sz="4" w:space="0" w:color="auto"/>
            </w:tcBorders>
            <w:shd w:val="clear" w:color="auto" w:fill="auto"/>
            <w:noWrap/>
            <w:vAlign w:val="center"/>
            <w:hideMark/>
          </w:tcPr>
          <w:p w14:paraId="3AAC1603"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- 2.4</w:t>
            </w:r>
          </w:p>
        </w:tc>
        <w:tc>
          <w:tcPr>
            <w:tcW w:w="1089" w:type="dxa"/>
            <w:tcBorders>
              <w:top w:val="single" w:sz="4" w:space="0" w:color="auto"/>
              <w:bottom w:val="single" w:sz="4" w:space="0" w:color="auto"/>
            </w:tcBorders>
            <w:shd w:val="clear" w:color="auto" w:fill="auto"/>
            <w:noWrap/>
            <w:vAlign w:val="center"/>
            <w:hideMark/>
          </w:tcPr>
          <w:p w14:paraId="76D54229"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- 3.7</w:t>
            </w:r>
          </w:p>
        </w:tc>
        <w:tc>
          <w:tcPr>
            <w:tcW w:w="1008" w:type="dxa"/>
            <w:tcBorders>
              <w:top w:val="single" w:sz="4" w:space="0" w:color="auto"/>
              <w:bottom w:val="single" w:sz="4" w:space="0" w:color="auto"/>
            </w:tcBorders>
            <w:shd w:val="clear" w:color="auto" w:fill="auto"/>
            <w:noWrap/>
            <w:vAlign w:val="center"/>
            <w:hideMark/>
          </w:tcPr>
          <w:p w14:paraId="6E580D43"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- 4.9</w:t>
            </w:r>
          </w:p>
        </w:tc>
        <w:tc>
          <w:tcPr>
            <w:tcW w:w="1170" w:type="dxa"/>
            <w:tcBorders>
              <w:top w:val="single" w:sz="4" w:space="0" w:color="auto"/>
              <w:bottom w:val="single" w:sz="4" w:space="0" w:color="auto"/>
              <w:right w:val="single" w:sz="4" w:space="0" w:color="auto"/>
            </w:tcBorders>
            <w:shd w:val="clear" w:color="auto" w:fill="auto"/>
            <w:noWrap/>
            <w:vAlign w:val="center"/>
            <w:hideMark/>
          </w:tcPr>
          <w:p w14:paraId="4301B29C"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- 26.8</w:t>
            </w:r>
          </w:p>
        </w:tc>
      </w:tr>
      <w:tr w:rsidR="00FD0584" w:rsidRPr="006A3122" w14:paraId="7F366CBE" w14:textId="77777777" w:rsidTr="00380843">
        <w:trPr>
          <w:trHeight w:val="179"/>
        </w:trPr>
        <w:tc>
          <w:tcPr>
            <w:tcW w:w="13905" w:type="dxa"/>
            <w:gridSpan w:val="12"/>
            <w:tcBorders>
              <w:left w:val="single" w:sz="4" w:space="0" w:color="auto"/>
              <w:bottom w:val="single" w:sz="4" w:space="0" w:color="auto"/>
              <w:right w:val="single" w:sz="4" w:space="0" w:color="auto"/>
            </w:tcBorders>
            <w:shd w:val="clear" w:color="auto" w:fill="404040" w:themeFill="text1" w:themeFillTint="BF"/>
            <w:noWrap/>
            <w:vAlign w:val="center"/>
          </w:tcPr>
          <w:p w14:paraId="2FFFB102" w14:textId="3E4D1EA6" w:rsidR="00FD0584" w:rsidRPr="006A3122" w:rsidRDefault="006A3122" w:rsidP="00FD0584">
            <w:pPr>
              <w:spacing w:after="0" w:line="240" w:lineRule="auto"/>
              <w:jc w:val="center"/>
              <w:rPr>
                <w:rFonts w:eastAsia="Times New Roman" w:cs="Times New Roman"/>
                <w:b/>
                <w:iCs/>
                <w:color w:val="FFFFFF" w:themeColor="background1"/>
                <w:sz w:val="18"/>
                <w:szCs w:val="20"/>
                <w:lang w:bidi="ar-SA"/>
              </w:rPr>
            </w:pPr>
            <w:r w:rsidRPr="006A3122">
              <w:rPr>
                <w:rFonts w:eastAsia="Times New Roman" w:cs="Times New Roman"/>
                <w:b/>
                <w:iCs/>
                <w:color w:val="FFFFFF" w:themeColor="background1"/>
                <w:sz w:val="18"/>
                <w:szCs w:val="20"/>
                <w:lang w:bidi="ar-SA"/>
              </w:rPr>
              <w:t>Natural gas (million ccf)</w:t>
            </w:r>
          </w:p>
        </w:tc>
      </w:tr>
      <w:tr w:rsidR="00FD0584" w:rsidRPr="005D7C07" w14:paraId="00792325" w14:textId="77777777" w:rsidTr="009E27E3">
        <w:trPr>
          <w:trHeight w:val="288"/>
        </w:trPr>
        <w:tc>
          <w:tcPr>
            <w:tcW w:w="1854" w:type="dxa"/>
            <w:tcBorders>
              <w:top w:val="single" w:sz="4" w:space="0" w:color="auto"/>
              <w:left w:val="single" w:sz="4" w:space="0" w:color="auto"/>
            </w:tcBorders>
            <w:shd w:val="clear" w:color="auto" w:fill="auto"/>
            <w:noWrap/>
            <w:vAlign w:val="center"/>
            <w:hideMark/>
          </w:tcPr>
          <w:p w14:paraId="01231898" w14:textId="77777777" w:rsidR="00FD0584" w:rsidRPr="0046328D" w:rsidRDefault="00FD0584" w:rsidP="00FD0584">
            <w:pPr>
              <w:spacing w:after="0" w:line="240" w:lineRule="auto"/>
              <w:rPr>
                <w:rFonts w:eastAsia="Times New Roman" w:cs="Times New Roman"/>
                <w:i/>
                <w:sz w:val="18"/>
                <w:szCs w:val="20"/>
                <w:lang w:bidi="ar-SA"/>
              </w:rPr>
            </w:pPr>
            <w:r w:rsidRPr="0046328D">
              <w:rPr>
                <w:rFonts w:eastAsia="Times New Roman" w:cs="Times New Roman"/>
                <w:i/>
                <w:sz w:val="18"/>
                <w:szCs w:val="20"/>
                <w:lang w:bidi="ar-SA"/>
              </w:rPr>
              <w:t>Total</w:t>
            </w:r>
          </w:p>
        </w:tc>
        <w:tc>
          <w:tcPr>
            <w:tcW w:w="1161" w:type="dxa"/>
            <w:tcBorders>
              <w:top w:val="single" w:sz="4" w:space="0" w:color="auto"/>
            </w:tcBorders>
            <w:vAlign w:val="center"/>
          </w:tcPr>
          <w:p w14:paraId="3A734162" w14:textId="77777777" w:rsidR="00FD0584" w:rsidRPr="0046328D" w:rsidRDefault="00FD0584" w:rsidP="00FD0584">
            <w:pPr>
              <w:spacing w:after="0" w:line="240" w:lineRule="auto"/>
              <w:jc w:val="center"/>
              <w:rPr>
                <w:rFonts w:eastAsia="Times New Roman" w:cs="Times New Roman"/>
                <w:i/>
                <w:iCs/>
                <w:sz w:val="18"/>
                <w:szCs w:val="20"/>
                <w:lang w:bidi="ar-SA"/>
              </w:rPr>
            </w:pPr>
            <w:r w:rsidRPr="0046328D">
              <w:rPr>
                <w:rFonts w:eastAsia="Times New Roman" w:cs="Times New Roman"/>
                <w:i/>
                <w:iCs/>
                <w:sz w:val="18"/>
                <w:szCs w:val="20"/>
                <w:lang w:bidi="ar-SA"/>
              </w:rPr>
              <w:t>326.8</w:t>
            </w:r>
          </w:p>
        </w:tc>
        <w:tc>
          <w:tcPr>
            <w:tcW w:w="1089" w:type="dxa"/>
            <w:tcBorders>
              <w:top w:val="single" w:sz="4" w:space="0" w:color="auto"/>
            </w:tcBorders>
            <w:shd w:val="clear" w:color="auto" w:fill="auto"/>
            <w:noWrap/>
            <w:vAlign w:val="center"/>
            <w:hideMark/>
          </w:tcPr>
          <w:p w14:paraId="72A00EFD" w14:textId="77777777" w:rsidR="00FD0584" w:rsidRPr="0046328D" w:rsidRDefault="00FD0584" w:rsidP="00FD0584">
            <w:pPr>
              <w:spacing w:after="0" w:line="240" w:lineRule="auto"/>
              <w:jc w:val="center"/>
              <w:rPr>
                <w:rFonts w:eastAsia="Times New Roman" w:cs="Times New Roman"/>
                <w:i/>
                <w:iCs/>
                <w:sz w:val="18"/>
                <w:szCs w:val="20"/>
                <w:lang w:bidi="ar-SA"/>
              </w:rPr>
            </w:pPr>
            <w:r w:rsidRPr="0046328D">
              <w:rPr>
                <w:rFonts w:eastAsia="Times New Roman" w:cs="Times New Roman"/>
                <w:i/>
                <w:iCs/>
                <w:sz w:val="18"/>
                <w:szCs w:val="20"/>
                <w:lang w:bidi="ar-SA"/>
              </w:rPr>
              <w:t>+ 292.4</w:t>
            </w:r>
          </w:p>
        </w:tc>
        <w:tc>
          <w:tcPr>
            <w:tcW w:w="1089" w:type="dxa"/>
            <w:tcBorders>
              <w:top w:val="single" w:sz="4" w:space="0" w:color="auto"/>
            </w:tcBorders>
            <w:shd w:val="clear" w:color="auto" w:fill="auto"/>
            <w:noWrap/>
            <w:vAlign w:val="center"/>
            <w:hideMark/>
          </w:tcPr>
          <w:p w14:paraId="016BE2AB" w14:textId="77777777" w:rsidR="00FD0584" w:rsidRPr="0046328D" w:rsidRDefault="00FD0584" w:rsidP="00FD0584">
            <w:pPr>
              <w:spacing w:after="0" w:line="240" w:lineRule="auto"/>
              <w:jc w:val="center"/>
              <w:rPr>
                <w:rFonts w:eastAsia="Times New Roman" w:cs="Times New Roman"/>
                <w:i/>
                <w:iCs/>
                <w:sz w:val="18"/>
                <w:szCs w:val="20"/>
                <w:lang w:bidi="ar-SA"/>
              </w:rPr>
            </w:pPr>
            <w:r w:rsidRPr="0046328D">
              <w:rPr>
                <w:rFonts w:eastAsia="Times New Roman" w:cs="Times New Roman"/>
                <w:i/>
                <w:iCs/>
                <w:sz w:val="18"/>
                <w:szCs w:val="20"/>
                <w:lang w:bidi="ar-SA"/>
              </w:rPr>
              <w:t>+ 297.6</w:t>
            </w:r>
          </w:p>
        </w:tc>
        <w:tc>
          <w:tcPr>
            <w:tcW w:w="1089" w:type="dxa"/>
            <w:tcBorders>
              <w:top w:val="single" w:sz="4" w:space="0" w:color="auto"/>
            </w:tcBorders>
            <w:shd w:val="clear" w:color="auto" w:fill="auto"/>
            <w:noWrap/>
            <w:vAlign w:val="center"/>
            <w:hideMark/>
          </w:tcPr>
          <w:p w14:paraId="22E37D2F" w14:textId="77777777" w:rsidR="00FD0584" w:rsidRPr="0046328D" w:rsidRDefault="00FD0584" w:rsidP="00FD0584">
            <w:pPr>
              <w:spacing w:after="0" w:line="240" w:lineRule="auto"/>
              <w:jc w:val="center"/>
              <w:rPr>
                <w:rFonts w:eastAsia="Times New Roman" w:cs="Times New Roman"/>
                <w:i/>
                <w:iCs/>
                <w:sz w:val="18"/>
                <w:szCs w:val="20"/>
                <w:lang w:bidi="ar-SA"/>
              </w:rPr>
            </w:pPr>
            <w:r w:rsidRPr="0046328D">
              <w:rPr>
                <w:rFonts w:eastAsia="Times New Roman" w:cs="Times New Roman"/>
                <w:i/>
                <w:iCs/>
                <w:sz w:val="18"/>
                <w:szCs w:val="20"/>
                <w:lang w:bidi="ar-SA"/>
              </w:rPr>
              <w:t>+ 302.8</w:t>
            </w:r>
          </w:p>
        </w:tc>
        <w:tc>
          <w:tcPr>
            <w:tcW w:w="1053" w:type="dxa"/>
            <w:tcBorders>
              <w:top w:val="single" w:sz="4" w:space="0" w:color="auto"/>
            </w:tcBorders>
            <w:shd w:val="clear" w:color="auto" w:fill="auto"/>
            <w:noWrap/>
            <w:vAlign w:val="center"/>
            <w:hideMark/>
          </w:tcPr>
          <w:p w14:paraId="0C463D5C" w14:textId="77777777" w:rsidR="00FD0584" w:rsidRPr="0046328D" w:rsidRDefault="00FD0584" w:rsidP="00FD0584">
            <w:pPr>
              <w:spacing w:after="0" w:line="240" w:lineRule="auto"/>
              <w:jc w:val="center"/>
              <w:rPr>
                <w:rFonts w:eastAsia="Times New Roman" w:cs="Times New Roman"/>
                <w:i/>
                <w:iCs/>
                <w:sz w:val="18"/>
                <w:szCs w:val="20"/>
                <w:lang w:bidi="ar-SA"/>
              </w:rPr>
            </w:pPr>
            <w:r w:rsidRPr="0046328D">
              <w:rPr>
                <w:rFonts w:eastAsia="Times New Roman" w:cs="Times New Roman"/>
                <w:i/>
                <w:iCs/>
                <w:sz w:val="18"/>
                <w:szCs w:val="20"/>
                <w:lang w:bidi="ar-SA"/>
              </w:rPr>
              <w:t>+ 308.1</w:t>
            </w:r>
          </w:p>
        </w:tc>
        <w:tc>
          <w:tcPr>
            <w:tcW w:w="1125" w:type="dxa"/>
            <w:tcBorders>
              <w:top w:val="single" w:sz="4" w:space="0" w:color="auto"/>
            </w:tcBorders>
            <w:shd w:val="clear" w:color="auto" w:fill="auto"/>
            <w:noWrap/>
            <w:vAlign w:val="center"/>
            <w:hideMark/>
          </w:tcPr>
          <w:p w14:paraId="7DACA3C2" w14:textId="77777777" w:rsidR="00FD0584" w:rsidRPr="0046328D" w:rsidRDefault="00FD0584" w:rsidP="00FD0584">
            <w:pPr>
              <w:spacing w:after="0" w:line="240" w:lineRule="auto"/>
              <w:jc w:val="center"/>
              <w:rPr>
                <w:rFonts w:eastAsia="Times New Roman" w:cs="Times New Roman"/>
                <w:i/>
                <w:iCs/>
                <w:sz w:val="18"/>
                <w:szCs w:val="20"/>
                <w:lang w:bidi="ar-SA"/>
              </w:rPr>
            </w:pPr>
            <w:r w:rsidRPr="0046328D">
              <w:rPr>
                <w:rFonts w:eastAsia="Times New Roman" w:cs="Times New Roman"/>
                <w:i/>
                <w:iCs/>
                <w:sz w:val="18"/>
                <w:szCs w:val="20"/>
                <w:lang w:bidi="ar-SA"/>
              </w:rPr>
              <w:t>+ 1,659.9</w:t>
            </w:r>
          </w:p>
        </w:tc>
        <w:tc>
          <w:tcPr>
            <w:tcW w:w="1089" w:type="dxa"/>
            <w:tcBorders>
              <w:top w:val="single" w:sz="4" w:space="0" w:color="auto"/>
            </w:tcBorders>
            <w:shd w:val="clear" w:color="auto" w:fill="auto"/>
            <w:noWrap/>
            <w:vAlign w:val="center"/>
            <w:hideMark/>
          </w:tcPr>
          <w:p w14:paraId="63134DE9" w14:textId="77777777" w:rsidR="00FD0584" w:rsidRPr="0046328D" w:rsidRDefault="00FD0584" w:rsidP="00FD0584">
            <w:pPr>
              <w:spacing w:after="0" w:line="240" w:lineRule="auto"/>
              <w:jc w:val="center"/>
              <w:rPr>
                <w:rFonts w:eastAsia="Times New Roman" w:cs="Times New Roman"/>
                <w:i/>
                <w:iCs/>
                <w:sz w:val="18"/>
                <w:szCs w:val="20"/>
                <w:lang w:bidi="ar-SA"/>
              </w:rPr>
            </w:pPr>
            <w:r w:rsidRPr="0046328D">
              <w:rPr>
                <w:rFonts w:eastAsia="Times New Roman" w:cs="Times New Roman"/>
                <w:i/>
                <w:iCs/>
                <w:sz w:val="18"/>
                <w:szCs w:val="20"/>
                <w:lang w:bidi="ar-SA"/>
              </w:rPr>
              <w:t>- 5.8</w:t>
            </w:r>
          </w:p>
        </w:tc>
        <w:tc>
          <w:tcPr>
            <w:tcW w:w="1089" w:type="dxa"/>
            <w:tcBorders>
              <w:top w:val="single" w:sz="4" w:space="0" w:color="auto"/>
            </w:tcBorders>
            <w:shd w:val="clear" w:color="auto" w:fill="auto"/>
            <w:noWrap/>
            <w:vAlign w:val="center"/>
            <w:hideMark/>
          </w:tcPr>
          <w:p w14:paraId="76A0D29C" w14:textId="77777777" w:rsidR="00FD0584" w:rsidRPr="0046328D" w:rsidRDefault="00FD0584" w:rsidP="00FD0584">
            <w:pPr>
              <w:spacing w:after="0" w:line="240" w:lineRule="auto"/>
              <w:jc w:val="center"/>
              <w:rPr>
                <w:rFonts w:eastAsia="Times New Roman" w:cs="Times New Roman"/>
                <w:i/>
                <w:iCs/>
                <w:sz w:val="18"/>
                <w:szCs w:val="20"/>
                <w:lang w:bidi="ar-SA"/>
              </w:rPr>
            </w:pPr>
            <w:r w:rsidRPr="0046328D">
              <w:rPr>
                <w:rFonts w:eastAsia="Times New Roman" w:cs="Times New Roman"/>
                <w:i/>
                <w:iCs/>
                <w:sz w:val="18"/>
                <w:szCs w:val="20"/>
                <w:lang w:bidi="ar-SA"/>
              </w:rPr>
              <w:t>- 11.7</w:t>
            </w:r>
          </w:p>
        </w:tc>
        <w:tc>
          <w:tcPr>
            <w:tcW w:w="1089" w:type="dxa"/>
            <w:tcBorders>
              <w:top w:val="single" w:sz="4" w:space="0" w:color="auto"/>
            </w:tcBorders>
            <w:shd w:val="clear" w:color="auto" w:fill="auto"/>
            <w:noWrap/>
            <w:vAlign w:val="center"/>
            <w:hideMark/>
          </w:tcPr>
          <w:p w14:paraId="12BCAB40" w14:textId="77777777" w:rsidR="00FD0584" w:rsidRPr="0046328D" w:rsidRDefault="00FD0584" w:rsidP="00FD0584">
            <w:pPr>
              <w:spacing w:after="0" w:line="240" w:lineRule="auto"/>
              <w:jc w:val="center"/>
              <w:rPr>
                <w:rFonts w:eastAsia="Times New Roman" w:cs="Times New Roman"/>
                <w:i/>
                <w:iCs/>
                <w:sz w:val="18"/>
                <w:szCs w:val="20"/>
                <w:lang w:bidi="ar-SA"/>
              </w:rPr>
            </w:pPr>
            <w:r w:rsidRPr="0046328D">
              <w:rPr>
                <w:rFonts w:eastAsia="Times New Roman" w:cs="Times New Roman"/>
                <w:i/>
                <w:iCs/>
                <w:sz w:val="18"/>
                <w:szCs w:val="20"/>
                <w:lang w:bidi="ar-SA"/>
              </w:rPr>
              <w:t>- 17.9</w:t>
            </w:r>
          </w:p>
        </w:tc>
        <w:tc>
          <w:tcPr>
            <w:tcW w:w="1008" w:type="dxa"/>
            <w:tcBorders>
              <w:top w:val="single" w:sz="4" w:space="0" w:color="auto"/>
            </w:tcBorders>
            <w:shd w:val="clear" w:color="auto" w:fill="auto"/>
            <w:noWrap/>
            <w:vAlign w:val="center"/>
            <w:hideMark/>
          </w:tcPr>
          <w:p w14:paraId="6B028466" w14:textId="77777777" w:rsidR="00FD0584" w:rsidRPr="0046328D" w:rsidRDefault="00FD0584" w:rsidP="00FD0584">
            <w:pPr>
              <w:spacing w:after="0" w:line="240" w:lineRule="auto"/>
              <w:jc w:val="center"/>
              <w:rPr>
                <w:rFonts w:eastAsia="Times New Roman" w:cs="Times New Roman"/>
                <w:i/>
                <w:iCs/>
                <w:sz w:val="18"/>
                <w:szCs w:val="20"/>
                <w:lang w:bidi="ar-SA"/>
              </w:rPr>
            </w:pPr>
            <w:r w:rsidRPr="0046328D">
              <w:rPr>
                <w:rFonts w:eastAsia="Times New Roman" w:cs="Times New Roman"/>
                <w:i/>
                <w:iCs/>
                <w:sz w:val="18"/>
                <w:szCs w:val="20"/>
                <w:lang w:bidi="ar-SA"/>
              </w:rPr>
              <w:t>- 24.3</w:t>
            </w:r>
          </w:p>
        </w:tc>
        <w:tc>
          <w:tcPr>
            <w:tcW w:w="1170" w:type="dxa"/>
            <w:tcBorders>
              <w:top w:val="single" w:sz="4" w:space="0" w:color="auto"/>
              <w:right w:val="single" w:sz="4" w:space="0" w:color="auto"/>
            </w:tcBorders>
            <w:shd w:val="clear" w:color="auto" w:fill="auto"/>
            <w:noWrap/>
            <w:vAlign w:val="center"/>
            <w:hideMark/>
          </w:tcPr>
          <w:p w14:paraId="5A9E2833" w14:textId="77777777" w:rsidR="00FD0584" w:rsidRPr="0046328D" w:rsidRDefault="00FD0584" w:rsidP="00FD0584">
            <w:pPr>
              <w:spacing w:after="0" w:line="240" w:lineRule="auto"/>
              <w:jc w:val="center"/>
              <w:rPr>
                <w:rFonts w:eastAsia="Times New Roman" w:cs="Times New Roman"/>
                <w:i/>
                <w:iCs/>
                <w:sz w:val="18"/>
                <w:szCs w:val="20"/>
                <w:lang w:bidi="ar-SA"/>
              </w:rPr>
            </w:pPr>
            <w:r w:rsidRPr="0046328D">
              <w:rPr>
                <w:rFonts w:eastAsia="Times New Roman" w:cs="Times New Roman"/>
                <w:i/>
                <w:iCs/>
                <w:sz w:val="18"/>
                <w:szCs w:val="20"/>
                <w:lang w:bidi="ar-SA"/>
              </w:rPr>
              <w:t>- 130.8</w:t>
            </w:r>
          </w:p>
        </w:tc>
      </w:tr>
      <w:tr w:rsidR="00FD0584" w:rsidRPr="00B409B4" w14:paraId="08D54AE1" w14:textId="77777777" w:rsidTr="00A02B9C">
        <w:trPr>
          <w:trHeight w:val="287"/>
        </w:trPr>
        <w:tc>
          <w:tcPr>
            <w:tcW w:w="1854" w:type="dxa"/>
            <w:tcBorders>
              <w:left w:val="single" w:sz="4" w:space="0" w:color="auto"/>
            </w:tcBorders>
            <w:shd w:val="clear" w:color="auto" w:fill="auto"/>
            <w:noWrap/>
            <w:vAlign w:val="center"/>
            <w:hideMark/>
          </w:tcPr>
          <w:p w14:paraId="4245E429" w14:textId="77777777" w:rsidR="00FD0584" w:rsidRPr="0046328D" w:rsidRDefault="00FD0584" w:rsidP="00FD0584">
            <w:pPr>
              <w:spacing w:after="0" w:line="240" w:lineRule="auto"/>
              <w:rPr>
                <w:rFonts w:eastAsia="Times New Roman" w:cs="Times New Roman"/>
                <w:sz w:val="18"/>
                <w:szCs w:val="20"/>
                <w:lang w:bidi="ar-SA"/>
              </w:rPr>
            </w:pPr>
            <w:r w:rsidRPr="0046328D">
              <w:rPr>
                <w:rFonts w:eastAsia="Times New Roman" w:cs="Times New Roman"/>
                <w:sz w:val="18"/>
                <w:szCs w:val="20"/>
                <w:lang w:bidi="ar-SA"/>
              </w:rPr>
              <w:t>Heating</w:t>
            </w:r>
          </w:p>
        </w:tc>
        <w:tc>
          <w:tcPr>
            <w:tcW w:w="1161" w:type="dxa"/>
            <w:vAlign w:val="center"/>
          </w:tcPr>
          <w:p w14:paraId="0E4EC8B3"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276.3</w:t>
            </w:r>
          </w:p>
        </w:tc>
        <w:tc>
          <w:tcPr>
            <w:tcW w:w="1089" w:type="dxa"/>
            <w:tcBorders>
              <w:bottom w:val="single" w:sz="4" w:space="0" w:color="auto"/>
            </w:tcBorders>
            <w:shd w:val="clear" w:color="auto" w:fill="auto"/>
            <w:noWrap/>
            <w:vAlign w:val="center"/>
            <w:hideMark/>
          </w:tcPr>
          <w:p w14:paraId="7F7624C2"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+ 247.1</w:t>
            </w:r>
          </w:p>
        </w:tc>
        <w:tc>
          <w:tcPr>
            <w:tcW w:w="1089" w:type="dxa"/>
            <w:tcBorders>
              <w:bottom w:val="single" w:sz="4" w:space="0" w:color="auto"/>
            </w:tcBorders>
            <w:shd w:val="clear" w:color="auto" w:fill="auto"/>
            <w:noWrap/>
            <w:vAlign w:val="center"/>
            <w:hideMark/>
          </w:tcPr>
          <w:p w14:paraId="726D2D58"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+ 251.5</w:t>
            </w:r>
          </w:p>
        </w:tc>
        <w:tc>
          <w:tcPr>
            <w:tcW w:w="1089" w:type="dxa"/>
            <w:tcBorders>
              <w:bottom w:val="single" w:sz="4" w:space="0" w:color="auto"/>
            </w:tcBorders>
            <w:shd w:val="clear" w:color="auto" w:fill="auto"/>
            <w:noWrap/>
            <w:vAlign w:val="center"/>
            <w:hideMark/>
          </w:tcPr>
          <w:p w14:paraId="6171875F"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+ 255.9</w:t>
            </w:r>
          </w:p>
        </w:tc>
        <w:tc>
          <w:tcPr>
            <w:tcW w:w="1053" w:type="dxa"/>
            <w:tcBorders>
              <w:bottom w:val="single" w:sz="4" w:space="0" w:color="auto"/>
            </w:tcBorders>
            <w:shd w:val="clear" w:color="auto" w:fill="auto"/>
            <w:noWrap/>
            <w:vAlign w:val="center"/>
            <w:hideMark/>
          </w:tcPr>
          <w:p w14:paraId="5B6331D5"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+ 260.4</w:t>
            </w:r>
          </w:p>
        </w:tc>
        <w:tc>
          <w:tcPr>
            <w:tcW w:w="1125" w:type="dxa"/>
            <w:tcBorders>
              <w:bottom w:val="single" w:sz="4" w:space="0" w:color="auto"/>
            </w:tcBorders>
            <w:shd w:val="clear" w:color="auto" w:fill="auto"/>
            <w:noWrap/>
            <w:vAlign w:val="center"/>
            <w:hideMark/>
          </w:tcPr>
          <w:p w14:paraId="077BAEEB"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+ 1,402.6</w:t>
            </w:r>
          </w:p>
        </w:tc>
        <w:tc>
          <w:tcPr>
            <w:tcW w:w="1089" w:type="dxa"/>
            <w:tcBorders>
              <w:bottom w:val="single" w:sz="4" w:space="0" w:color="auto"/>
            </w:tcBorders>
            <w:shd w:val="clear" w:color="auto" w:fill="auto"/>
            <w:noWrap/>
            <w:vAlign w:val="center"/>
            <w:hideMark/>
          </w:tcPr>
          <w:p w14:paraId="2EF22E7C"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- 2.4</w:t>
            </w:r>
          </w:p>
        </w:tc>
        <w:tc>
          <w:tcPr>
            <w:tcW w:w="1089" w:type="dxa"/>
            <w:tcBorders>
              <w:bottom w:val="single" w:sz="4" w:space="0" w:color="auto"/>
            </w:tcBorders>
            <w:shd w:val="clear" w:color="auto" w:fill="auto"/>
            <w:noWrap/>
            <w:vAlign w:val="center"/>
            <w:hideMark/>
          </w:tcPr>
          <w:p w14:paraId="1BEE1EF8"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- 4.9</w:t>
            </w:r>
          </w:p>
        </w:tc>
        <w:tc>
          <w:tcPr>
            <w:tcW w:w="1089" w:type="dxa"/>
            <w:tcBorders>
              <w:bottom w:val="single" w:sz="4" w:space="0" w:color="auto"/>
            </w:tcBorders>
            <w:shd w:val="clear" w:color="auto" w:fill="auto"/>
            <w:noWrap/>
            <w:vAlign w:val="center"/>
            <w:hideMark/>
          </w:tcPr>
          <w:p w14:paraId="1926D45B"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- 7.5</w:t>
            </w:r>
          </w:p>
        </w:tc>
        <w:tc>
          <w:tcPr>
            <w:tcW w:w="1008" w:type="dxa"/>
            <w:tcBorders>
              <w:bottom w:val="single" w:sz="4" w:space="0" w:color="auto"/>
            </w:tcBorders>
            <w:shd w:val="clear" w:color="auto" w:fill="auto"/>
            <w:noWrap/>
            <w:vAlign w:val="center"/>
            <w:hideMark/>
          </w:tcPr>
          <w:p w14:paraId="01AD6CBF"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- 10.2</w:t>
            </w:r>
          </w:p>
        </w:tc>
        <w:tc>
          <w:tcPr>
            <w:tcW w:w="1170" w:type="dxa"/>
            <w:tcBorders>
              <w:bottom w:val="single" w:sz="4" w:space="0" w:color="auto"/>
              <w:right w:val="single" w:sz="4" w:space="0" w:color="auto"/>
            </w:tcBorders>
            <w:shd w:val="clear" w:color="auto" w:fill="auto"/>
            <w:noWrap/>
            <w:vAlign w:val="center"/>
            <w:hideMark/>
          </w:tcPr>
          <w:p w14:paraId="75318C03"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- 54.8</w:t>
            </w:r>
          </w:p>
        </w:tc>
      </w:tr>
      <w:tr w:rsidR="00FD0584" w:rsidRPr="00B409B4" w14:paraId="79F79DF7" w14:textId="77777777" w:rsidTr="009E27E3">
        <w:trPr>
          <w:trHeight w:val="288"/>
        </w:trPr>
        <w:tc>
          <w:tcPr>
            <w:tcW w:w="1854" w:type="dxa"/>
            <w:tcBorders>
              <w:left w:val="single" w:sz="4" w:space="0" w:color="auto"/>
              <w:bottom w:val="single" w:sz="4" w:space="0" w:color="auto"/>
            </w:tcBorders>
            <w:shd w:val="clear" w:color="auto" w:fill="auto"/>
            <w:noWrap/>
            <w:vAlign w:val="center"/>
            <w:hideMark/>
          </w:tcPr>
          <w:p w14:paraId="79A6409F" w14:textId="77777777" w:rsidR="00FD0584" w:rsidRPr="0046328D" w:rsidRDefault="00FD0584" w:rsidP="00FD0584">
            <w:pPr>
              <w:spacing w:after="0" w:line="240" w:lineRule="auto"/>
              <w:rPr>
                <w:rFonts w:eastAsia="Times New Roman" w:cs="Times New Roman"/>
                <w:sz w:val="18"/>
                <w:szCs w:val="20"/>
                <w:lang w:bidi="ar-SA"/>
              </w:rPr>
            </w:pPr>
            <w:r w:rsidRPr="0046328D">
              <w:rPr>
                <w:rFonts w:eastAsia="Times New Roman" w:cs="Times New Roman"/>
                <w:sz w:val="18"/>
                <w:szCs w:val="20"/>
                <w:lang w:bidi="ar-SA"/>
              </w:rPr>
              <w:t>Water heating</w:t>
            </w:r>
          </w:p>
        </w:tc>
        <w:tc>
          <w:tcPr>
            <w:tcW w:w="1161" w:type="dxa"/>
            <w:tcBorders>
              <w:bottom w:val="single" w:sz="4" w:space="0" w:color="auto"/>
            </w:tcBorders>
            <w:vAlign w:val="center"/>
          </w:tcPr>
          <w:p w14:paraId="7A0A1E60"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41.9</w:t>
            </w:r>
          </w:p>
        </w:tc>
        <w:tc>
          <w:tcPr>
            <w:tcW w:w="1089" w:type="dxa"/>
            <w:tcBorders>
              <w:top w:val="single" w:sz="4" w:space="0" w:color="auto"/>
              <w:bottom w:val="single" w:sz="4" w:space="0" w:color="auto"/>
            </w:tcBorders>
            <w:shd w:val="clear" w:color="auto" w:fill="auto"/>
            <w:noWrap/>
            <w:vAlign w:val="center"/>
            <w:hideMark/>
          </w:tcPr>
          <w:p w14:paraId="713C4A93"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+ 45.3</w:t>
            </w:r>
          </w:p>
        </w:tc>
        <w:tc>
          <w:tcPr>
            <w:tcW w:w="1089" w:type="dxa"/>
            <w:tcBorders>
              <w:top w:val="single" w:sz="4" w:space="0" w:color="auto"/>
              <w:bottom w:val="single" w:sz="4" w:space="0" w:color="auto"/>
            </w:tcBorders>
            <w:shd w:val="clear" w:color="auto" w:fill="auto"/>
            <w:noWrap/>
            <w:vAlign w:val="center"/>
            <w:hideMark/>
          </w:tcPr>
          <w:p w14:paraId="3105D36D"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+ 46.1</w:t>
            </w:r>
          </w:p>
        </w:tc>
        <w:tc>
          <w:tcPr>
            <w:tcW w:w="1089" w:type="dxa"/>
            <w:tcBorders>
              <w:top w:val="single" w:sz="4" w:space="0" w:color="auto"/>
              <w:bottom w:val="single" w:sz="4" w:space="0" w:color="auto"/>
            </w:tcBorders>
            <w:shd w:val="clear" w:color="auto" w:fill="auto"/>
            <w:noWrap/>
            <w:vAlign w:val="center"/>
            <w:hideMark/>
          </w:tcPr>
          <w:p w14:paraId="478CD756"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+ 46.9</w:t>
            </w:r>
          </w:p>
        </w:tc>
        <w:tc>
          <w:tcPr>
            <w:tcW w:w="1053" w:type="dxa"/>
            <w:tcBorders>
              <w:top w:val="single" w:sz="4" w:space="0" w:color="auto"/>
              <w:bottom w:val="single" w:sz="4" w:space="0" w:color="auto"/>
            </w:tcBorders>
            <w:shd w:val="clear" w:color="auto" w:fill="auto"/>
            <w:noWrap/>
            <w:vAlign w:val="center"/>
            <w:hideMark/>
          </w:tcPr>
          <w:p w14:paraId="012DD6D0"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+ 47.8</w:t>
            </w:r>
          </w:p>
        </w:tc>
        <w:tc>
          <w:tcPr>
            <w:tcW w:w="1125" w:type="dxa"/>
            <w:tcBorders>
              <w:top w:val="single" w:sz="4" w:space="0" w:color="auto"/>
              <w:bottom w:val="single" w:sz="4" w:space="0" w:color="auto"/>
            </w:tcBorders>
            <w:shd w:val="clear" w:color="auto" w:fill="auto"/>
            <w:noWrap/>
            <w:vAlign w:val="center"/>
            <w:hideMark/>
          </w:tcPr>
          <w:p w14:paraId="56969180"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+ 257.3</w:t>
            </w:r>
          </w:p>
        </w:tc>
        <w:tc>
          <w:tcPr>
            <w:tcW w:w="1089" w:type="dxa"/>
            <w:tcBorders>
              <w:top w:val="single" w:sz="4" w:space="0" w:color="auto"/>
              <w:bottom w:val="single" w:sz="4" w:space="0" w:color="auto"/>
            </w:tcBorders>
            <w:shd w:val="clear" w:color="auto" w:fill="auto"/>
            <w:noWrap/>
            <w:vAlign w:val="center"/>
            <w:hideMark/>
          </w:tcPr>
          <w:p w14:paraId="6958AE38"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- 3.3</w:t>
            </w:r>
          </w:p>
        </w:tc>
        <w:tc>
          <w:tcPr>
            <w:tcW w:w="1089" w:type="dxa"/>
            <w:tcBorders>
              <w:top w:val="single" w:sz="4" w:space="0" w:color="auto"/>
              <w:bottom w:val="single" w:sz="4" w:space="0" w:color="auto"/>
            </w:tcBorders>
            <w:shd w:val="clear" w:color="auto" w:fill="auto"/>
            <w:noWrap/>
            <w:vAlign w:val="center"/>
            <w:hideMark/>
          </w:tcPr>
          <w:p w14:paraId="0A209408"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- 6.8</w:t>
            </w:r>
          </w:p>
        </w:tc>
        <w:tc>
          <w:tcPr>
            <w:tcW w:w="1089" w:type="dxa"/>
            <w:tcBorders>
              <w:top w:val="single" w:sz="4" w:space="0" w:color="auto"/>
              <w:bottom w:val="single" w:sz="4" w:space="0" w:color="auto"/>
            </w:tcBorders>
            <w:shd w:val="clear" w:color="auto" w:fill="auto"/>
            <w:noWrap/>
            <w:vAlign w:val="center"/>
            <w:hideMark/>
          </w:tcPr>
          <w:p w14:paraId="1EDBA9C9"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- 10.4</w:t>
            </w:r>
          </w:p>
        </w:tc>
        <w:tc>
          <w:tcPr>
            <w:tcW w:w="1008" w:type="dxa"/>
            <w:tcBorders>
              <w:top w:val="single" w:sz="4" w:space="0" w:color="auto"/>
              <w:bottom w:val="single" w:sz="4" w:space="0" w:color="auto"/>
            </w:tcBorders>
            <w:shd w:val="clear" w:color="auto" w:fill="auto"/>
            <w:noWrap/>
            <w:vAlign w:val="center"/>
            <w:hideMark/>
          </w:tcPr>
          <w:p w14:paraId="6C0D444E"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- 14.1</w:t>
            </w:r>
          </w:p>
        </w:tc>
        <w:tc>
          <w:tcPr>
            <w:tcW w:w="1170" w:type="dxa"/>
            <w:tcBorders>
              <w:top w:val="single" w:sz="4" w:space="0" w:color="auto"/>
              <w:bottom w:val="single" w:sz="4" w:space="0" w:color="auto"/>
              <w:right w:val="single" w:sz="4" w:space="0" w:color="auto"/>
            </w:tcBorders>
            <w:shd w:val="clear" w:color="auto" w:fill="auto"/>
            <w:noWrap/>
            <w:vAlign w:val="center"/>
            <w:hideMark/>
          </w:tcPr>
          <w:p w14:paraId="54025EB1"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- 76.0</w:t>
            </w:r>
          </w:p>
        </w:tc>
      </w:tr>
      <w:tr w:rsidR="006A3122" w:rsidRPr="006A3122" w14:paraId="0036992F" w14:textId="77777777" w:rsidTr="00380843">
        <w:trPr>
          <w:trHeight w:val="143"/>
        </w:trPr>
        <w:tc>
          <w:tcPr>
            <w:tcW w:w="13905" w:type="dxa"/>
            <w:gridSpan w:val="12"/>
            <w:tcBorders>
              <w:left w:val="single" w:sz="4" w:space="0" w:color="auto"/>
              <w:bottom w:val="single" w:sz="4" w:space="0" w:color="auto"/>
              <w:right w:val="single" w:sz="4" w:space="0" w:color="auto"/>
            </w:tcBorders>
            <w:shd w:val="clear" w:color="auto" w:fill="404040" w:themeFill="text1" w:themeFillTint="BF"/>
            <w:noWrap/>
            <w:vAlign w:val="center"/>
          </w:tcPr>
          <w:p w14:paraId="37883A70" w14:textId="51021DAE" w:rsidR="00FD0584" w:rsidRPr="006A3122" w:rsidRDefault="006A3122" w:rsidP="00FD0584">
            <w:pPr>
              <w:spacing w:after="0" w:line="240" w:lineRule="auto"/>
              <w:jc w:val="center"/>
              <w:rPr>
                <w:rFonts w:eastAsia="Times New Roman" w:cs="Times New Roman"/>
                <w:b/>
                <w:iCs/>
                <w:color w:val="FFFFFF" w:themeColor="background1"/>
                <w:sz w:val="18"/>
                <w:szCs w:val="20"/>
                <w:lang w:bidi="ar-SA"/>
              </w:rPr>
            </w:pPr>
            <w:r w:rsidRPr="006A3122">
              <w:rPr>
                <w:rFonts w:eastAsia="Times New Roman" w:cs="Times New Roman"/>
                <w:b/>
                <w:iCs/>
                <w:color w:val="FFFFFF" w:themeColor="background1"/>
                <w:sz w:val="18"/>
                <w:szCs w:val="20"/>
                <w:lang w:bidi="ar-SA"/>
              </w:rPr>
              <w:t>Electricity (million kWh)</w:t>
            </w:r>
          </w:p>
        </w:tc>
      </w:tr>
      <w:tr w:rsidR="00FD0584" w:rsidRPr="005D7C07" w14:paraId="03A85AEA" w14:textId="77777777" w:rsidTr="009E27E3">
        <w:trPr>
          <w:trHeight w:val="288"/>
        </w:trPr>
        <w:tc>
          <w:tcPr>
            <w:tcW w:w="1854" w:type="dxa"/>
            <w:tcBorders>
              <w:top w:val="single" w:sz="4" w:space="0" w:color="auto"/>
              <w:left w:val="single" w:sz="4" w:space="0" w:color="auto"/>
            </w:tcBorders>
            <w:shd w:val="clear" w:color="auto" w:fill="auto"/>
            <w:noWrap/>
            <w:vAlign w:val="center"/>
            <w:hideMark/>
          </w:tcPr>
          <w:p w14:paraId="2B73FBA0" w14:textId="77777777" w:rsidR="00FD0584" w:rsidRPr="0046328D" w:rsidRDefault="00FD0584" w:rsidP="00FD0584">
            <w:pPr>
              <w:spacing w:after="0" w:line="240" w:lineRule="auto"/>
              <w:rPr>
                <w:rFonts w:eastAsia="Times New Roman" w:cs="Times New Roman"/>
                <w:i/>
                <w:sz w:val="18"/>
                <w:szCs w:val="20"/>
                <w:lang w:bidi="ar-SA"/>
              </w:rPr>
            </w:pPr>
            <w:r w:rsidRPr="0046328D">
              <w:rPr>
                <w:rFonts w:eastAsia="Times New Roman" w:cs="Times New Roman"/>
                <w:i/>
                <w:sz w:val="18"/>
                <w:szCs w:val="20"/>
                <w:lang w:bidi="ar-SA"/>
              </w:rPr>
              <w:t>Total</w:t>
            </w:r>
          </w:p>
        </w:tc>
        <w:tc>
          <w:tcPr>
            <w:tcW w:w="1161" w:type="dxa"/>
            <w:tcBorders>
              <w:top w:val="single" w:sz="4" w:space="0" w:color="auto"/>
            </w:tcBorders>
            <w:vAlign w:val="center"/>
          </w:tcPr>
          <w:p w14:paraId="1B88FC5F" w14:textId="77777777" w:rsidR="00FD0584" w:rsidRPr="0046328D" w:rsidRDefault="00FD0584" w:rsidP="00FD0584">
            <w:pPr>
              <w:spacing w:after="0" w:line="240" w:lineRule="auto"/>
              <w:jc w:val="center"/>
              <w:rPr>
                <w:rFonts w:eastAsia="Times New Roman" w:cs="Times New Roman"/>
                <w:i/>
                <w:iCs/>
                <w:sz w:val="18"/>
                <w:szCs w:val="20"/>
                <w:lang w:bidi="ar-SA"/>
              </w:rPr>
            </w:pPr>
            <w:r w:rsidRPr="0046328D">
              <w:rPr>
                <w:rFonts w:eastAsia="Times New Roman" w:cs="Times New Roman"/>
                <w:i/>
                <w:iCs/>
                <w:sz w:val="18"/>
                <w:szCs w:val="20"/>
                <w:lang w:bidi="ar-SA"/>
              </w:rPr>
              <w:t>12,048.2</w:t>
            </w:r>
          </w:p>
        </w:tc>
        <w:tc>
          <w:tcPr>
            <w:tcW w:w="1089" w:type="dxa"/>
            <w:tcBorders>
              <w:top w:val="single" w:sz="4" w:space="0" w:color="auto"/>
            </w:tcBorders>
            <w:shd w:val="clear" w:color="auto" w:fill="auto"/>
            <w:noWrap/>
            <w:vAlign w:val="center"/>
            <w:hideMark/>
          </w:tcPr>
          <w:p w14:paraId="71469AC8" w14:textId="77777777" w:rsidR="00FD0584" w:rsidRPr="0046328D" w:rsidRDefault="00FD0584" w:rsidP="00FD0584">
            <w:pPr>
              <w:spacing w:after="0" w:line="240" w:lineRule="auto"/>
              <w:jc w:val="center"/>
              <w:rPr>
                <w:rFonts w:eastAsia="Times New Roman" w:cs="Times New Roman"/>
                <w:i/>
                <w:iCs/>
                <w:sz w:val="18"/>
                <w:szCs w:val="20"/>
                <w:lang w:bidi="ar-SA"/>
              </w:rPr>
            </w:pPr>
            <w:r w:rsidRPr="0046328D">
              <w:rPr>
                <w:rFonts w:eastAsia="Times New Roman" w:cs="Times New Roman"/>
                <w:i/>
                <w:iCs/>
                <w:sz w:val="18"/>
                <w:szCs w:val="20"/>
                <w:lang w:bidi="ar-SA"/>
              </w:rPr>
              <w:t>+ 1,646.5</w:t>
            </w:r>
          </w:p>
        </w:tc>
        <w:tc>
          <w:tcPr>
            <w:tcW w:w="1089" w:type="dxa"/>
            <w:tcBorders>
              <w:top w:val="single" w:sz="4" w:space="0" w:color="auto"/>
            </w:tcBorders>
            <w:shd w:val="clear" w:color="auto" w:fill="auto"/>
            <w:noWrap/>
            <w:vAlign w:val="center"/>
            <w:hideMark/>
          </w:tcPr>
          <w:p w14:paraId="3CACD56E" w14:textId="77777777" w:rsidR="00FD0584" w:rsidRPr="0046328D" w:rsidRDefault="00FD0584" w:rsidP="00FD0584">
            <w:pPr>
              <w:spacing w:after="0" w:line="240" w:lineRule="auto"/>
              <w:jc w:val="center"/>
              <w:rPr>
                <w:rFonts w:eastAsia="Times New Roman" w:cs="Times New Roman"/>
                <w:i/>
                <w:iCs/>
                <w:sz w:val="18"/>
                <w:szCs w:val="20"/>
                <w:lang w:bidi="ar-SA"/>
              </w:rPr>
            </w:pPr>
            <w:r w:rsidRPr="0046328D">
              <w:rPr>
                <w:rFonts w:eastAsia="Times New Roman" w:cs="Times New Roman"/>
                <w:i/>
                <w:iCs/>
                <w:sz w:val="18"/>
                <w:szCs w:val="20"/>
                <w:lang w:bidi="ar-SA"/>
              </w:rPr>
              <w:t>+ 1,688.0</w:t>
            </w:r>
          </w:p>
        </w:tc>
        <w:tc>
          <w:tcPr>
            <w:tcW w:w="1089" w:type="dxa"/>
            <w:tcBorders>
              <w:top w:val="single" w:sz="4" w:space="0" w:color="auto"/>
            </w:tcBorders>
            <w:shd w:val="clear" w:color="auto" w:fill="auto"/>
            <w:noWrap/>
            <w:vAlign w:val="center"/>
            <w:hideMark/>
          </w:tcPr>
          <w:p w14:paraId="4D84B0A8" w14:textId="77777777" w:rsidR="00FD0584" w:rsidRPr="0046328D" w:rsidRDefault="00FD0584" w:rsidP="00FD0584">
            <w:pPr>
              <w:spacing w:after="0" w:line="240" w:lineRule="auto"/>
              <w:jc w:val="center"/>
              <w:rPr>
                <w:rFonts w:eastAsia="Times New Roman" w:cs="Times New Roman"/>
                <w:i/>
                <w:iCs/>
                <w:sz w:val="18"/>
                <w:szCs w:val="20"/>
                <w:lang w:bidi="ar-SA"/>
              </w:rPr>
            </w:pPr>
            <w:r w:rsidRPr="0046328D">
              <w:rPr>
                <w:rFonts w:eastAsia="Times New Roman" w:cs="Times New Roman"/>
                <w:i/>
                <w:iCs/>
                <w:sz w:val="18"/>
                <w:szCs w:val="20"/>
                <w:lang w:bidi="ar-SA"/>
              </w:rPr>
              <w:t>+ 1,730.5</w:t>
            </w:r>
          </w:p>
        </w:tc>
        <w:tc>
          <w:tcPr>
            <w:tcW w:w="1053" w:type="dxa"/>
            <w:tcBorders>
              <w:top w:val="single" w:sz="4" w:space="0" w:color="auto"/>
            </w:tcBorders>
            <w:shd w:val="clear" w:color="auto" w:fill="auto"/>
            <w:noWrap/>
            <w:vAlign w:val="center"/>
            <w:hideMark/>
          </w:tcPr>
          <w:p w14:paraId="7679F2BF" w14:textId="77777777" w:rsidR="00FD0584" w:rsidRPr="0046328D" w:rsidRDefault="00FD0584" w:rsidP="00FD0584">
            <w:pPr>
              <w:spacing w:after="0" w:line="240" w:lineRule="auto"/>
              <w:jc w:val="center"/>
              <w:rPr>
                <w:rFonts w:eastAsia="Times New Roman" w:cs="Times New Roman"/>
                <w:i/>
                <w:iCs/>
                <w:sz w:val="18"/>
                <w:szCs w:val="20"/>
                <w:lang w:bidi="ar-SA"/>
              </w:rPr>
            </w:pPr>
            <w:r w:rsidRPr="0046328D">
              <w:rPr>
                <w:rFonts w:eastAsia="Times New Roman" w:cs="Times New Roman"/>
                <w:i/>
                <w:iCs/>
                <w:sz w:val="18"/>
                <w:szCs w:val="20"/>
                <w:lang w:bidi="ar-SA"/>
              </w:rPr>
              <w:t>+ 1,774.1</w:t>
            </w:r>
          </w:p>
        </w:tc>
        <w:tc>
          <w:tcPr>
            <w:tcW w:w="1125" w:type="dxa"/>
            <w:tcBorders>
              <w:top w:val="single" w:sz="4" w:space="0" w:color="auto"/>
            </w:tcBorders>
            <w:shd w:val="clear" w:color="auto" w:fill="auto"/>
            <w:noWrap/>
            <w:vAlign w:val="center"/>
            <w:hideMark/>
          </w:tcPr>
          <w:p w14:paraId="3F6281CC" w14:textId="77777777" w:rsidR="00FD0584" w:rsidRPr="0046328D" w:rsidRDefault="00FD0584" w:rsidP="00FD0584">
            <w:pPr>
              <w:spacing w:after="0" w:line="240" w:lineRule="auto"/>
              <w:jc w:val="center"/>
              <w:rPr>
                <w:rFonts w:eastAsia="Times New Roman" w:cs="Times New Roman"/>
                <w:i/>
                <w:iCs/>
                <w:sz w:val="18"/>
                <w:szCs w:val="20"/>
                <w:lang w:bidi="ar-SA"/>
              </w:rPr>
            </w:pPr>
            <w:r w:rsidRPr="0046328D">
              <w:rPr>
                <w:rFonts w:eastAsia="Times New Roman" w:cs="Times New Roman"/>
                <w:i/>
                <w:iCs/>
                <w:sz w:val="18"/>
                <w:szCs w:val="20"/>
                <w:lang w:bidi="ar-SA"/>
              </w:rPr>
              <w:t>+ 9,473.2</w:t>
            </w:r>
          </w:p>
        </w:tc>
        <w:tc>
          <w:tcPr>
            <w:tcW w:w="1089" w:type="dxa"/>
            <w:tcBorders>
              <w:top w:val="single" w:sz="4" w:space="0" w:color="auto"/>
            </w:tcBorders>
            <w:shd w:val="clear" w:color="auto" w:fill="auto"/>
            <w:noWrap/>
            <w:vAlign w:val="center"/>
            <w:hideMark/>
          </w:tcPr>
          <w:p w14:paraId="411A450D" w14:textId="77777777" w:rsidR="00FD0584" w:rsidRPr="0046328D" w:rsidRDefault="00FD0584" w:rsidP="00FD0584">
            <w:pPr>
              <w:spacing w:after="0" w:line="240" w:lineRule="auto"/>
              <w:jc w:val="center"/>
              <w:rPr>
                <w:rFonts w:eastAsia="Times New Roman" w:cs="Times New Roman"/>
                <w:i/>
                <w:iCs/>
                <w:sz w:val="18"/>
                <w:szCs w:val="20"/>
                <w:lang w:bidi="ar-SA"/>
              </w:rPr>
            </w:pPr>
            <w:r w:rsidRPr="0046328D">
              <w:rPr>
                <w:rFonts w:eastAsia="Times New Roman" w:cs="Times New Roman"/>
                <w:i/>
                <w:iCs/>
                <w:sz w:val="18"/>
                <w:szCs w:val="20"/>
                <w:lang w:bidi="ar-SA"/>
              </w:rPr>
              <w:t>- 43.8</w:t>
            </w:r>
          </w:p>
        </w:tc>
        <w:tc>
          <w:tcPr>
            <w:tcW w:w="1089" w:type="dxa"/>
            <w:tcBorders>
              <w:top w:val="single" w:sz="4" w:space="0" w:color="auto"/>
            </w:tcBorders>
            <w:shd w:val="clear" w:color="auto" w:fill="auto"/>
            <w:noWrap/>
            <w:vAlign w:val="center"/>
            <w:hideMark/>
          </w:tcPr>
          <w:p w14:paraId="27D7EAAD" w14:textId="77777777" w:rsidR="00FD0584" w:rsidRPr="0046328D" w:rsidRDefault="00FD0584" w:rsidP="00FD0584">
            <w:pPr>
              <w:spacing w:after="0" w:line="240" w:lineRule="auto"/>
              <w:jc w:val="center"/>
              <w:rPr>
                <w:rFonts w:eastAsia="Times New Roman" w:cs="Times New Roman"/>
                <w:i/>
                <w:iCs/>
                <w:sz w:val="18"/>
                <w:szCs w:val="20"/>
                <w:lang w:bidi="ar-SA"/>
              </w:rPr>
            </w:pPr>
            <w:r w:rsidRPr="0046328D">
              <w:rPr>
                <w:rFonts w:eastAsia="Times New Roman" w:cs="Times New Roman"/>
                <w:i/>
                <w:iCs/>
                <w:sz w:val="18"/>
                <w:szCs w:val="20"/>
                <w:lang w:bidi="ar-SA"/>
              </w:rPr>
              <w:t>- 89.7</w:t>
            </w:r>
          </w:p>
        </w:tc>
        <w:tc>
          <w:tcPr>
            <w:tcW w:w="1089" w:type="dxa"/>
            <w:tcBorders>
              <w:top w:val="single" w:sz="4" w:space="0" w:color="auto"/>
            </w:tcBorders>
            <w:shd w:val="clear" w:color="auto" w:fill="auto"/>
            <w:noWrap/>
            <w:vAlign w:val="center"/>
            <w:hideMark/>
          </w:tcPr>
          <w:p w14:paraId="2152B85B" w14:textId="77777777" w:rsidR="00FD0584" w:rsidRPr="0046328D" w:rsidRDefault="00FD0584" w:rsidP="00FD0584">
            <w:pPr>
              <w:spacing w:after="0" w:line="240" w:lineRule="auto"/>
              <w:jc w:val="center"/>
              <w:rPr>
                <w:rFonts w:eastAsia="Times New Roman" w:cs="Times New Roman"/>
                <w:i/>
                <w:iCs/>
                <w:sz w:val="18"/>
                <w:szCs w:val="20"/>
                <w:lang w:bidi="ar-SA"/>
              </w:rPr>
            </w:pPr>
            <w:r w:rsidRPr="0046328D">
              <w:rPr>
                <w:rFonts w:eastAsia="Times New Roman" w:cs="Times New Roman"/>
                <w:i/>
                <w:iCs/>
                <w:sz w:val="18"/>
                <w:szCs w:val="20"/>
                <w:lang w:bidi="ar-SA"/>
              </w:rPr>
              <w:t>- 138.0</w:t>
            </w:r>
          </w:p>
        </w:tc>
        <w:tc>
          <w:tcPr>
            <w:tcW w:w="1008" w:type="dxa"/>
            <w:tcBorders>
              <w:top w:val="single" w:sz="4" w:space="0" w:color="auto"/>
            </w:tcBorders>
            <w:shd w:val="clear" w:color="auto" w:fill="auto"/>
            <w:noWrap/>
            <w:vAlign w:val="center"/>
            <w:hideMark/>
          </w:tcPr>
          <w:p w14:paraId="7D7735CD" w14:textId="77777777" w:rsidR="00FD0584" w:rsidRPr="0046328D" w:rsidRDefault="00FD0584" w:rsidP="00FD0584">
            <w:pPr>
              <w:spacing w:after="0" w:line="240" w:lineRule="auto"/>
              <w:jc w:val="center"/>
              <w:rPr>
                <w:rFonts w:eastAsia="Times New Roman" w:cs="Times New Roman"/>
                <w:i/>
                <w:iCs/>
                <w:sz w:val="18"/>
                <w:szCs w:val="20"/>
                <w:lang w:bidi="ar-SA"/>
              </w:rPr>
            </w:pPr>
            <w:r w:rsidRPr="0046328D">
              <w:rPr>
                <w:rFonts w:eastAsia="Times New Roman" w:cs="Times New Roman"/>
                <w:i/>
                <w:iCs/>
                <w:sz w:val="18"/>
                <w:szCs w:val="20"/>
                <w:lang w:bidi="ar-SA"/>
              </w:rPr>
              <w:t>- 188.7</w:t>
            </w:r>
          </w:p>
        </w:tc>
        <w:tc>
          <w:tcPr>
            <w:tcW w:w="1170" w:type="dxa"/>
            <w:tcBorders>
              <w:top w:val="single" w:sz="4" w:space="0" w:color="auto"/>
              <w:right w:val="single" w:sz="4" w:space="0" w:color="auto"/>
            </w:tcBorders>
            <w:shd w:val="clear" w:color="auto" w:fill="auto"/>
            <w:noWrap/>
            <w:vAlign w:val="center"/>
            <w:hideMark/>
          </w:tcPr>
          <w:p w14:paraId="6157E2E5" w14:textId="77777777" w:rsidR="00FD0584" w:rsidRPr="0046328D" w:rsidRDefault="00FD0584" w:rsidP="00FD0584">
            <w:pPr>
              <w:spacing w:after="0" w:line="240" w:lineRule="auto"/>
              <w:jc w:val="center"/>
              <w:rPr>
                <w:rFonts w:eastAsia="Times New Roman" w:cs="Times New Roman"/>
                <w:i/>
                <w:iCs/>
                <w:sz w:val="18"/>
                <w:szCs w:val="20"/>
                <w:lang w:bidi="ar-SA"/>
              </w:rPr>
            </w:pPr>
            <w:r w:rsidRPr="0046328D">
              <w:rPr>
                <w:rFonts w:eastAsia="Times New Roman" w:cs="Times New Roman"/>
                <w:i/>
                <w:iCs/>
                <w:sz w:val="18"/>
                <w:szCs w:val="20"/>
                <w:lang w:bidi="ar-SA"/>
              </w:rPr>
              <w:t>- 1,007.4</w:t>
            </w:r>
          </w:p>
        </w:tc>
      </w:tr>
      <w:tr w:rsidR="00FD0584" w:rsidRPr="00B409B4" w14:paraId="26D6AB23" w14:textId="77777777" w:rsidTr="009E27E3">
        <w:trPr>
          <w:trHeight w:val="288"/>
        </w:trPr>
        <w:tc>
          <w:tcPr>
            <w:tcW w:w="1854" w:type="dxa"/>
            <w:tcBorders>
              <w:left w:val="single" w:sz="4" w:space="0" w:color="auto"/>
            </w:tcBorders>
            <w:shd w:val="clear" w:color="auto" w:fill="auto"/>
            <w:noWrap/>
            <w:vAlign w:val="center"/>
            <w:hideMark/>
          </w:tcPr>
          <w:p w14:paraId="6CB46FD0" w14:textId="77777777" w:rsidR="00FD0584" w:rsidRPr="0046328D" w:rsidRDefault="00FD0584" w:rsidP="00FD0584">
            <w:pPr>
              <w:spacing w:after="0" w:line="240" w:lineRule="auto"/>
              <w:rPr>
                <w:rFonts w:eastAsia="Times New Roman" w:cs="Times New Roman"/>
                <w:sz w:val="18"/>
                <w:szCs w:val="20"/>
                <w:lang w:bidi="ar-SA"/>
              </w:rPr>
            </w:pPr>
            <w:r w:rsidRPr="0046328D">
              <w:rPr>
                <w:rFonts w:eastAsia="Times New Roman" w:cs="Times New Roman"/>
                <w:sz w:val="18"/>
                <w:szCs w:val="20"/>
                <w:lang w:bidi="ar-SA"/>
              </w:rPr>
              <w:t>Heating</w:t>
            </w:r>
          </w:p>
        </w:tc>
        <w:tc>
          <w:tcPr>
            <w:tcW w:w="1161" w:type="dxa"/>
            <w:vAlign w:val="center"/>
          </w:tcPr>
          <w:p w14:paraId="6132703A"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1,868.3</w:t>
            </w:r>
          </w:p>
        </w:tc>
        <w:tc>
          <w:tcPr>
            <w:tcW w:w="1089" w:type="dxa"/>
            <w:shd w:val="clear" w:color="auto" w:fill="auto"/>
            <w:noWrap/>
            <w:vAlign w:val="center"/>
            <w:hideMark/>
          </w:tcPr>
          <w:p w14:paraId="67085009"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+ 2,049.6</w:t>
            </w:r>
          </w:p>
        </w:tc>
        <w:tc>
          <w:tcPr>
            <w:tcW w:w="1089" w:type="dxa"/>
            <w:shd w:val="clear" w:color="auto" w:fill="auto"/>
            <w:noWrap/>
            <w:vAlign w:val="center"/>
            <w:hideMark/>
          </w:tcPr>
          <w:p w14:paraId="44F369D9"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+ 2,101.2</w:t>
            </w:r>
          </w:p>
        </w:tc>
        <w:tc>
          <w:tcPr>
            <w:tcW w:w="1089" w:type="dxa"/>
            <w:shd w:val="clear" w:color="auto" w:fill="auto"/>
            <w:noWrap/>
            <w:vAlign w:val="center"/>
            <w:hideMark/>
          </w:tcPr>
          <w:p w14:paraId="493077FB"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+ 2,154.1</w:t>
            </w:r>
          </w:p>
        </w:tc>
        <w:tc>
          <w:tcPr>
            <w:tcW w:w="1053" w:type="dxa"/>
            <w:shd w:val="clear" w:color="auto" w:fill="auto"/>
            <w:noWrap/>
            <w:vAlign w:val="center"/>
            <w:hideMark/>
          </w:tcPr>
          <w:p w14:paraId="6377C354"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+ 2,208.3</w:t>
            </w:r>
          </w:p>
        </w:tc>
        <w:tc>
          <w:tcPr>
            <w:tcW w:w="1125" w:type="dxa"/>
            <w:shd w:val="clear" w:color="auto" w:fill="auto"/>
            <w:noWrap/>
            <w:vAlign w:val="center"/>
            <w:hideMark/>
          </w:tcPr>
          <w:p w14:paraId="048D63FB"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+ 11,792.1</w:t>
            </w:r>
          </w:p>
        </w:tc>
        <w:tc>
          <w:tcPr>
            <w:tcW w:w="1089" w:type="dxa"/>
            <w:shd w:val="clear" w:color="auto" w:fill="auto"/>
            <w:noWrap/>
            <w:vAlign w:val="center"/>
            <w:hideMark/>
          </w:tcPr>
          <w:p w14:paraId="3F414E54"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- 58.4</w:t>
            </w:r>
          </w:p>
        </w:tc>
        <w:tc>
          <w:tcPr>
            <w:tcW w:w="1089" w:type="dxa"/>
            <w:shd w:val="clear" w:color="auto" w:fill="auto"/>
            <w:noWrap/>
            <w:vAlign w:val="center"/>
            <w:hideMark/>
          </w:tcPr>
          <w:p w14:paraId="4766C48E"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- 119.7</w:t>
            </w:r>
          </w:p>
        </w:tc>
        <w:tc>
          <w:tcPr>
            <w:tcW w:w="1089" w:type="dxa"/>
            <w:shd w:val="clear" w:color="auto" w:fill="auto"/>
            <w:noWrap/>
            <w:vAlign w:val="center"/>
            <w:hideMark/>
          </w:tcPr>
          <w:p w14:paraId="4C8F65D5"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- 184.1</w:t>
            </w:r>
          </w:p>
        </w:tc>
        <w:tc>
          <w:tcPr>
            <w:tcW w:w="1008" w:type="dxa"/>
            <w:shd w:val="clear" w:color="auto" w:fill="auto"/>
            <w:noWrap/>
            <w:vAlign w:val="center"/>
            <w:hideMark/>
          </w:tcPr>
          <w:p w14:paraId="34428BF3"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- 251.6</w:t>
            </w:r>
          </w:p>
        </w:tc>
        <w:tc>
          <w:tcPr>
            <w:tcW w:w="1170" w:type="dxa"/>
            <w:tcBorders>
              <w:right w:val="single" w:sz="4" w:space="0" w:color="auto"/>
            </w:tcBorders>
            <w:shd w:val="clear" w:color="auto" w:fill="auto"/>
            <w:noWrap/>
            <w:vAlign w:val="center"/>
            <w:hideMark/>
          </w:tcPr>
          <w:p w14:paraId="77FFAE82"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- 1,343.5</w:t>
            </w:r>
          </w:p>
        </w:tc>
      </w:tr>
      <w:tr w:rsidR="00FD0584" w:rsidRPr="00B409B4" w14:paraId="3ABC0048" w14:textId="77777777" w:rsidTr="009E27E3">
        <w:trPr>
          <w:trHeight w:val="288"/>
        </w:trPr>
        <w:tc>
          <w:tcPr>
            <w:tcW w:w="1854" w:type="dxa"/>
            <w:tcBorders>
              <w:left w:val="single" w:sz="4" w:space="0" w:color="auto"/>
            </w:tcBorders>
            <w:shd w:val="clear" w:color="auto" w:fill="auto"/>
            <w:noWrap/>
            <w:vAlign w:val="center"/>
            <w:hideMark/>
          </w:tcPr>
          <w:p w14:paraId="14702593" w14:textId="77777777" w:rsidR="00FD0584" w:rsidRPr="0046328D" w:rsidRDefault="00FD0584" w:rsidP="00FD0584">
            <w:pPr>
              <w:spacing w:after="0" w:line="240" w:lineRule="auto"/>
              <w:rPr>
                <w:rFonts w:eastAsia="Times New Roman" w:cs="Times New Roman"/>
                <w:sz w:val="18"/>
                <w:szCs w:val="20"/>
                <w:lang w:bidi="ar-SA"/>
              </w:rPr>
            </w:pPr>
            <w:r w:rsidRPr="0046328D">
              <w:rPr>
                <w:rFonts w:eastAsia="Times New Roman" w:cs="Times New Roman"/>
                <w:sz w:val="18"/>
                <w:szCs w:val="20"/>
                <w:lang w:bidi="ar-SA"/>
              </w:rPr>
              <w:t>Cooling</w:t>
            </w:r>
          </w:p>
        </w:tc>
        <w:tc>
          <w:tcPr>
            <w:tcW w:w="1161" w:type="dxa"/>
            <w:vAlign w:val="center"/>
          </w:tcPr>
          <w:p w14:paraId="2D5E334C"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1,288.9</w:t>
            </w:r>
          </w:p>
        </w:tc>
        <w:tc>
          <w:tcPr>
            <w:tcW w:w="1089" w:type="dxa"/>
            <w:shd w:val="clear" w:color="auto" w:fill="auto"/>
            <w:noWrap/>
            <w:vAlign w:val="center"/>
            <w:hideMark/>
          </w:tcPr>
          <w:p w14:paraId="11E2BB9C"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- 243.4</w:t>
            </w:r>
          </w:p>
        </w:tc>
        <w:tc>
          <w:tcPr>
            <w:tcW w:w="1089" w:type="dxa"/>
            <w:shd w:val="clear" w:color="auto" w:fill="auto"/>
            <w:noWrap/>
            <w:vAlign w:val="center"/>
            <w:hideMark/>
          </w:tcPr>
          <w:p w14:paraId="424410B6"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- 249.5</w:t>
            </w:r>
          </w:p>
        </w:tc>
        <w:tc>
          <w:tcPr>
            <w:tcW w:w="1089" w:type="dxa"/>
            <w:shd w:val="clear" w:color="auto" w:fill="auto"/>
            <w:noWrap/>
            <w:vAlign w:val="center"/>
            <w:hideMark/>
          </w:tcPr>
          <w:p w14:paraId="4841E312"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- 255.8</w:t>
            </w:r>
          </w:p>
        </w:tc>
        <w:tc>
          <w:tcPr>
            <w:tcW w:w="1053" w:type="dxa"/>
            <w:shd w:val="clear" w:color="auto" w:fill="auto"/>
            <w:noWrap/>
            <w:vAlign w:val="center"/>
            <w:hideMark/>
          </w:tcPr>
          <w:p w14:paraId="22B0F1EC"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- 262.2</w:t>
            </w:r>
          </w:p>
        </w:tc>
        <w:tc>
          <w:tcPr>
            <w:tcW w:w="1125" w:type="dxa"/>
            <w:shd w:val="clear" w:color="auto" w:fill="auto"/>
            <w:noWrap/>
            <w:vAlign w:val="center"/>
            <w:hideMark/>
          </w:tcPr>
          <w:p w14:paraId="793DB00A"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- 1,400.3</w:t>
            </w:r>
          </w:p>
        </w:tc>
        <w:tc>
          <w:tcPr>
            <w:tcW w:w="1089" w:type="dxa"/>
            <w:shd w:val="clear" w:color="auto" w:fill="auto"/>
            <w:noWrap/>
            <w:vAlign w:val="center"/>
            <w:hideMark/>
          </w:tcPr>
          <w:p w14:paraId="4E977082"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- 9.6</w:t>
            </w:r>
          </w:p>
        </w:tc>
        <w:tc>
          <w:tcPr>
            <w:tcW w:w="1089" w:type="dxa"/>
            <w:shd w:val="clear" w:color="auto" w:fill="auto"/>
            <w:noWrap/>
            <w:vAlign w:val="center"/>
            <w:hideMark/>
          </w:tcPr>
          <w:p w14:paraId="22C41541"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- 19.7</w:t>
            </w:r>
          </w:p>
        </w:tc>
        <w:tc>
          <w:tcPr>
            <w:tcW w:w="1089" w:type="dxa"/>
            <w:shd w:val="clear" w:color="auto" w:fill="auto"/>
            <w:noWrap/>
            <w:vAlign w:val="center"/>
            <w:hideMark/>
          </w:tcPr>
          <w:p w14:paraId="577012EA"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- 30.2</w:t>
            </w:r>
          </w:p>
        </w:tc>
        <w:tc>
          <w:tcPr>
            <w:tcW w:w="1008" w:type="dxa"/>
            <w:shd w:val="clear" w:color="auto" w:fill="auto"/>
            <w:noWrap/>
            <w:vAlign w:val="center"/>
            <w:hideMark/>
          </w:tcPr>
          <w:p w14:paraId="01926C9C"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- 41.3</w:t>
            </w:r>
          </w:p>
        </w:tc>
        <w:tc>
          <w:tcPr>
            <w:tcW w:w="1170" w:type="dxa"/>
            <w:tcBorders>
              <w:right w:val="single" w:sz="4" w:space="0" w:color="auto"/>
            </w:tcBorders>
            <w:shd w:val="clear" w:color="auto" w:fill="auto"/>
            <w:noWrap/>
            <w:vAlign w:val="center"/>
            <w:hideMark/>
          </w:tcPr>
          <w:p w14:paraId="695D48BA"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- 220.6</w:t>
            </w:r>
          </w:p>
        </w:tc>
      </w:tr>
      <w:tr w:rsidR="00FD0584" w:rsidRPr="00B409B4" w14:paraId="3331D2B2" w14:textId="77777777" w:rsidTr="009E27E3">
        <w:trPr>
          <w:trHeight w:val="288"/>
        </w:trPr>
        <w:tc>
          <w:tcPr>
            <w:tcW w:w="1854" w:type="dxa"/>
            <w:tcBorders>
              <w:left w:val="single" w:sz="4" w:space="0" w:color="auto"/>
              <w:bottom w:val="single" w:sz="4" w:space="0" w:color="auto"/>
            </w:tcBorders>
            <w:shd w:val="clear" w:color="auto" w:fill="auto"/>
            <w:noWrap/>
            <w:vAlign w:val="center"/>
            <w:hideMark/>
          </w:tcPr>
          <w:p w14:paraId="5963A0FF" w14:textId="77777777" w:rsidR="00FD0584" w:rsidRPr="0046328D" w:rsidRDefault="00FD0584" w:rsidP="00FD0584">
            <w:pPr>
              <w:spacing w:after="0" w:line="240" w:lineRule="auto"/>
              <w:rPr>
                <w:rFonts w:eastAsia="Times New Roman" w:cs="Times New Roman"/>
                <w:sz w:val="18"/>
                <w:szCs w:val="20"/>
                <w:lang w:bidi="ar-SA"/>
              </w:rPr>
            </w:pPr>
            <w:r w:rsidRPr="0046328D">
              <w:rPr>
                <w:rFonts w:eastAsia="Times New Roman" w:cs="Times New Roman"/>
                <w:sz w:val="18"/>
                <w:szCs w:val="20"/>
                <w:lang w:bidi="ar-SA"/>
              </w:rPr>
              <w:t>Water heating</w:t>
            </w:r>
          </w:p>
        </w:tc>
        <w:tc>
          <w:tcPr>
            <w:tcW w:w="1161" w:type="dxa"/>
            <w:tcBorders>
              <w:bottom w:val="single" w:sz="4" w:space="0" w:color="auto"/>
            </w:tcBorders>
            <w:vAlign w:val="center"/>
          </w:tcPr>
          <w:p w14:paraId="5E24447B"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798.4</w:t>
            </w:r>
          </w:p>
        </w:tc>
        <w:tc>
          <w:tcPr>
            <w:tcW w:w="1089" w:type="dxa"/>
            <w:tcBorders>
              <w:bottom w:val="single" w:sz="4" w:space="0" w:color="auto"/>
            </w:tcBorders>
            <w:shd w:val="clear" w:color="auto" w:fill="auto"/>
            <w:noWrap/>
            <w:vAlign w:val="center"/>
            <w:hideMark/>
          </w:tcPr>
          <w:p w14:paraId="30640777"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- 159.7</w:t>
            </w:r>
          </w:p>
        </w:tc>
        <w:tc>
          <w:tcPr>
            <w:tcW w:w="1089" w:type="dxa"/>
            <w:tcBorders>
              <w:bottom w:val="single" w:sz="4" w:space="0" w:color="auto"/>
            </w:tcBorders>
            <w:shd w:val="clear" w:color="auto" w:fill="auto"/>
            <w:noWrap/>
            <w:vAlign w:val="center"/>
            <w:hideMark/>
          </w:tcPr>
          <w:p w14:paraId="087F1F79"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- 163.7</w:t>
            </w:r>
          </w:p>
        </w:tc>
        <w:tc>
          <w:tcPr>
            <w:tcW w:w="1089" w:type="dxa"/>
            <w:tcBorders>
              <w:bottom w:val="single" w:sz="4" w:space="0" w:color="auto"/>
            </w:tcBorders>
            <w:shd w:val="clear" w:color="auto" w:fill="auto"/>
            <w:noWrap/>
            <w:vAlign w:val="center"/>
            <w:hideMark/>
          </w:tcPr>
          <w:p w14:paraId="0FE72420"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- 167.8</w:t>
            </w:r>
          </w:p>
        </w:tc>
        <w:tc>
          <w:tcPr>
            <w:tcW w:w="1053" w:type="dxa"/>
            <w:tcBorders>
              <w:bottom w:val="single" w:sz="4" w:space="0" w:color="auto"/>
            </w:tcBorders>
            <w:shd w:val="clear" w:color="auto" w:fill="auto"/>
            <w:noWrap/>
            <w:vAlign w:val="center"/>
            <w:hideMark/>
          </w:tcPr>
          <w:p w14:paraId="316197D3"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- 172.0</w:t>
            </w:r>
          </w:p>
        </w:tc>
        <w:tc>
          <w:tcPr>
            <w:tcW w:w="1125" w:type="dxa"/>
            <w:tcBorders>
              <w:bottom w:val="single" w:sz="4" w:space="0" w:color="auto"/>
            </w:tcBorders>
            <w:shd w:val="clear" w:color="auto" w:fill="auto"/>
            <w:noWrap/>
            <w:vAlign w:val="center"/>
            <w:hideMark/>
          </w:tcPr>
          <w:p w14:paraId="080A35F9"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- 918.6</w:t>
            </w:r>
          </w:p>
        </w:tc>
        <w:tc>
          <w:tcPr>
            <w:tcW w:w="1089" w:type="dxa"/>
            <w:tcBorders>
              <w:bottom w:val="single" w:sz="4" w:space="0" w:color="auto"/>
            </w:tcBorders>
            <w:shd w:val="clear" w:color="auto" w:fill="auto"/>
            <w:noWrap/>
            <w:vAlign w:val="center"/>
            <w:hideMark/>
          </w:tcPr>
          <w:p w14:paraId="0AC54D67"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+ 24.2</w:t>
            </w:r>
          </w:p>
        </w:tc>
        <w:tc>
          <w:tcPr>
            <w:tcW w:w="1089" w:type="dxa"/>
            <w:tcBorders>
              <w:bottom w:val="single" w:sz="4" w:space="0" w:color="auto"/>
            </w:tcBorders>
            <w:shd w:val="clear" w:color="auto" w:fill="auto"/>
            <w:noWrap/>
            <w:vAlign w:val="center"/>
            <w:hideMark/>
          </w:tcPr>
          <w:p w14:paraId="4E3727E2"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+ 49.6</w:t>
            </w:r>
          </w:p>
        </w:tc>
        <w:tc>
          <w:tcPr>
            <w:tcW w:w="1089" w:type="dxa"/>
            <w:tcBorders>
              <w:bottom w:val="single" w:sz="4" w:space="0" w:color="auto"/>
            </w:tcBorders>
            <w:shd w:val="clear" w:color="auto" w:fill="auto"/>
            <w:noWrap/>
            <w:vAlign w:val="center"/>
            <w:hideMark/>
          </w:tcPr>
          <w:p w14:paraId="3501DD2C"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+ 76.3</w:t>
            </w:r>
          </w:p>
        </w:tc>
        <w:tc>
          <w:tcPr>
            <w:tcW w:w="1008" w:type="dxa"/>
            <w:tcBorders>
              <w:bottom w:val="single" w:sz="4" w:space="0" w:color="auto"/>
            </w:tcBorders>
            <w:shd w:val="clear" w:color="auto" w:fill="auto"/>
            <w:noWrap/>
            <w:vAlign w:val="center"/>
            <w:hideMark/>
          </w:tcPr>
          <w:p w14:paraId="238EB32F"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+ 104.3</w:t>
            </w:r>
          </w:p>
        </w:tc>
        <w:tc>
          <w:tcPr>
            <w:tcW w:w="1170" w:type="dxa"/>
            <w:tcBorders>
              <w:bottom w:val="single" w:sz="4" w:space="0" w:color="auto"/>
              <w:right w:val="single" w:sz="4" w:space="0" w:color="auto"/>
            </w:tcBorders>
            <w:shd w:val="clear" w:color="auto" w:fill="auto"/>
            <w:noWrap/>
            <w:vAlign w:val="center"/>
            <w:hideMark/>
          </w:tcPr>
          <w:p w14:paraId="347CCF84" w14:textId="77777777" w:rsidR="00FD0584" w:rsidRPr="0046328D" w:rsidRDefault="00FD0584" w:rsidP="00FD0584">
            <w:pPr>
              <w:spacing w:after="0" w:line="240" w:lineRule="auto"/>
              <w:jc w:val="center"/>
              <w:rPr>
                <w:rFonts w:eastAsia="Times New Roman" w:cs="Times New Roman"/>
                <w:iCs/>
                <w:sz w:val="18"/>
                <w:szCs w:val="20"/>
                <w:lang w:bidi="ar-SA"/>
              </w:rPr>
            </w:pPr>
            <w:r w:rsidRPr="0046328D">
              <w:rPr>
                <w:rFonts w:eastAsia="Times New Roman" w:cs="Times New Roman"/>
                <w:iCs/>
                <w:sz w:val="18"/>
                <w:szCs w:val="20"/>
                <w:lang w:bidi="ar-SA"/>
              </w:rPr>
              <w:t>+ 556.7</w:t>
            </w:r>
          </w:p>
        </w:tc>
      </w:tr>
    </w:tbl>
    <w:p w14:paraId="196CC50B" w14:textId="77777777" w:rsidR="00EE00C4" w:rsidRPr="00EE00C4" w:rsidRDefault="00EE00C4" w:rsidP="00380843">
      <w:pPr>
        <w:spacing w:after="0" w:line="240" w:lineRule="auto"/>
        <w:rPr>
          <w:sz w:val="18"/>
        </w:rPr>
      </w:pPr>
      <w:r w:rsidRPr="00EE00C4">
        <w:rPr>
          <w:sz w:val="18"/>
          <w:vertAlign w:val="superscript"/>
        </w:rPr>
        <w:t>i</w:t>
      </w:r>
      <w:r w:rsidRPr="00EE00C4">
        <w:rPr>
          <w:sz w:val="18"/>
        </w:rPr>
        <w:t xml:space="preserve"> Numbers in table assume a 100% conversion rate, and therefore describe maximum impacts.</w:t>
      </w:r>
    </w:p>
    <w:p w14:paraId="7CCFEA52" w14:textId="77777777" w:rsidR="00EE00C4" w:rsidRPr="00EE00C4" w:rsidRDefault="00EE00C4" w:rsidP="00380843">
      <w:pPr>
        <w:spacing w:after="0" w:line="240" w:lineRule="auto"/>
        <w:rPr>
          <w:sz w:val="18"/>
        </w:rPr>
      </w:pPr>
      <w:r w:rsidRPr="00EE00C4">
        <w:rPr>
          <w:sz w:val="18"/>
          <w:vertAlign w:val="superscript"/>
        </w:rPr>
        <w:t>ii</w:t>
      </w:r>
      <w:r w:rsidRPr="00EE00C4">
        <w:rPr>
          <w:sz w:val="18"/>
        </w:rPr>
        <w:t xml:space="preserve"> Fuel switching did not affect the lights &amp; appliances end use.</w:t>
      </w:r>
    </w:p>
    <w:p w14:paraId="4F5D35E3" w14:textId="77777777" w:rsidR="00EE00C4" w:rsidRPr="00EE00C4" w:rsidRDefault="00EE00C4" w:rsidP="00380843">
      <w:pPr>
        <w:spacing w:after="0" w:line="240" w:lineRule="auto"/>
        <w:rPr>
          <w:sz w:val="18"/>
        </w:rPr>
      </w:pPr>
      <w:r w:rsidRPr="00EE00C4">
        <w:rPr>
          <w:sz w:val="18"/>
          <w:vertAlign w:val="superscript"/>
        </w:rPr>
        <w:t>iii</w:t>
      </w:r>
      <w:r w:rsidRPr="00EE00C4">
        <w:rPr>
          <w:sz w:val="18"/>
        </w:rPr>
        <w:t xml:space="preserve"> Total impact over the course of ten years.</w:t>
      </w:r>
    </w:p>
    <w:p w14:paraId="39EFA8F7" w14:textId="2EB11532" w:rsidR="00E4397D" w:rsidRDefault="00EE00C4" w:rsidP="00A02B9C">
      <w:pPr>
        <w:spacing w:after="0" w:line="240" w:lineRule="auto"/>
        <w:rPr>
          <w:sz w:val="18"/>
        </w:rPr>
      </w:pPr>
      <w:r w:rsidRPr="00EE00C4">
        <w:rPr>
          <w:sz w:val="18"/>
          <w:vertAlign w:val="superscript"/>
        </w:rPr>
        <w:t>iv</w:t>
      </w:r>
      <w:r w:rsidRPr="00EE00C4">
        <w:rPr>
          <w:sz w:val="18"/>
        </w:rPr>
        <w:t xml:space="preserve"> End uses may not add up to total because they do not include lights, appliances, or photovoltaics, which are unaffected by fuel switching.</w:t>
      </w:r>
    </w:p>
    <w:p w14:paraId="037AE3AB" w14:textId="77777777" w:rsidR="00E4397D" w:rsidRDefault="00E4397D" w:rsidP="00E4397D">
      <w:pPr>
        <w:spacing w:after="0"/>
        <w:rPr>
          <w:sz w:val="18"/>
        </w:rPr>
        <w:sectPr w:rsidR="00E4397D" w:rsidSect="006B6649">
          <w:footerReference w:type="first" r:id="rId88"/>
          <w:pgSz w:w="15840" w:h="12240" w:orient="landscape"/>
          <w:pgMar w:top="1440" w:right="1440" w:bottom="1872" w:left="1440" w:header="0" w:footer="0" w:gutter="0"/>
          <w:cols w:space="720"/>
          <w:titlePg/>
          <w:docGrid w:linePitch="299"/>
        </w:sectPr>
      </w:pPr>
    </w:p>
    <w:bookmarkStart w:id="524" w:name="_Ref439690304"/>
    <w:bookmarkStart w:id="525" w:name="_Toc439939426"/>
    <w:p w14:paraId="7766557A" w14:textId="6D3B30AE" w:rsidR="00E4397D" w:rsidRDefault="00E4397D" w:rsidP="00E4397D">
      <w:pPr>
        <w:pStyle w:val="ApHeading1"/>
        <w:rPr>
          <w:rFonts w:hint="eastAsia"/>
        </w:rPr>
      </w:pPr>
      <w:r w:rsidRPr="00F6205B">
        <w:rPr>
          <w:rFonts w:hint="eastAsia"/>
          <w:noProof/>
        </w:rPr>
        <w:lastRenderedPageBreak/>
        <mc:AlternateContent>
          <mc:Choice Requires="wps">
            <w:drawing>
              <wp:anchor distT="0" distB="0" distL="114300" distR="114300" simplePos="0" relativeHeight="251689984" behindDoc="0" locked="0" layoutInCell="1" allowOverlap="1" wp14:anchorId="39EF184F" wp14:editId="30BDA244">
                <wp:simplePos x="0" y="0"/>
                <wp:positionH relativeFrom="margin">
                  <wp:align>left</wp:align>
                </wp:positionH>
                <wp:positionV relativeFrom="paragraph">
                  <wp:posOffset>161290</wp:posOffset>
                </wp:positionV>
                <wp:extent cx="1143000" cy="1143000"/>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0377BCA" w14:textId="23AC0546" w:rsidR="009027EC" w:rsidRPr="00691F20" w:rsidRDefault="009027EC" w:rsidP="00E4397D">
                            <w:pPr>
                              <w:spacing w:after="0"/>
                              <w:jc w:val="center"/>
                              <w:rPr>
                                <w:b/>
                                <w:color w:val="FFFFFF" w:themeColor="background1"/>
                                <w:sz w:val="134"/>
                                <w:szCs w:val="134"/>
                              </w:rPr>
                            </w:pPr>
                            <w:r>
                              <w:rPr>
                                <w:b/>
                                <w:color w:val="FFFFFF" w:themeColor="background1"/>
                                <w:sz w:val="134"/>
                                <w:szCs w:val="13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39EF184F" id="Text Box 24" o:spid="_x0000_s1039" type="#_x0000_t202" style="position:absolute;left:0;text-align:left;margin-left:0;margin-top:12.7pt;width:90pt;height:90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yT8yAIAAPAFAAAOAAAAZHJzL2Uyb0RvYy54bWysVFtP2zAUfp+0/2D5vSQp4VaRolDUaVI1&#10;0GDi2XXsNsLx8Wy3DZv233fsJKWwvTDtJbF9vnP7zuXyqm0U2QrratAFzY5SSoTmUNV6VdBvD/PR&#10;OSXOM10xBVoU9Fk4ejX9+OFyZyZiDGtQlbAEjWg32ZmCrr03kyRxfC0a5o7ACI1CCbZhHq92lVSW&#10;7dB6o5Jxmp4mO7CVscCFc/h60wnpNNqXUnB/K6UTnqiCYmw+fm38LsM3mV6yycoys655Hwb7hyga&#10;Vmt0ujd1wzwjG1v/YaqpuQUH0h9xaBKQsuYi5oDZZOmbbO7XzIiYC5LjzJ4m9//M8i/bO0vqqqDj&#10;nBLNGqzRg2g9uYaW4BPyszNugrB7g0Df4jvWOebqzAL4k0NIcoDpFByiAx+ttE34Y6YEFbEEz3va&#10;gxserGX5cZqiiKNsuASrL+rGOv9JQEPCoaAW6xpDYNuF8x10gARvDlRdzWul4sWuljNlyZaFHpif&#10;nh1fh7TQ+iuY0gGsIah14u5FxC7q3LAJxozHgAzRxwr/nJ2cjcuzk4vRaXmSjfIsPR+VZToe3czL&#10;tEzz+ewiv/7Vuxz0I2MdSYE755+VCFaV/iok1iNyFaMPkyD28TPOhfZZby2iA0pi0O9R7PExj5jf&#10;e5Q7RlAjegbt98pNrcF2vfE67OppCFl2+L5n+rwDBb5dtrERs+Oh65ZQPWPTWejG1hk+r7H+C+b8&#10;HbM4p9gzuHv8LX6kgl1BoT9Rsgb742/vAY/jg1JKdjj3BXXfN8wKStRnjYN1keV5WBTxkmNl8WIP&#10;JctDid40M8C2ynDLGR6PAe/VcJQWmkdcUWXwiiKmOfouqB+OM99tI1xxXJRlBOFqMMwv9L3hw6yF&#10;7n5oH5k1/Qh47KQvMGwINnkzCR02FEhDufEg6zgmgeiO1b4AuFbiKPQrMOytw3tEvSzq6W8AAAD/&#10;/wMAUEsDBBQABgAIAAAAIQC8IM/a2gAAAAcBAAAPAAAAZHJzL2Rvd25yZXYueG1sTI/BTsMwDIbv&#10;SLxDZCRuLNk0oCtNJ4Q0EEcGQtsta0xb0Tglybbw9nincfT3W78/V8vsBnHAEHtPGqYTBQKp8ban&#10;VsPH++qmABGTIWsGT6jhFyMs68uLypTWH+kND+vUCi6hWBoNXUpjKWVsOnQmTvyIxNmXD84kHkMr&#10;bTBHLneDnCl1J53piS90ZsSnDpvv9d5pyJnC/bj9eS3mL3IaN4vP1SY9a319lR8fQCTM6bwMJ31W&#10;h5qddn5PNopBAz+SNMxu5yBOaaEY7BgoJrKu5H//+g8AAP//AwBQSwECLQAUAAYACAAAACEAtoM4&#10;kv4AAADhAQAAEwAAAAAAAAAAAAAAAAAAAAAAW0NvbnRlbnRfVHlwZXNdLnhtbFBLAQItABQABgAI&#10;AAAAIQA4/SH/1gAAAJQBAAALAAAAAAAAAAAAAAAAAC8BAABfcmVscy8ucmVsc1BLAQItABQABgAI&#10;AAAAIQDUVyT8yAIAAPAFAAAOAAAAAAAAAAAAAAAAAC4CAABkcnMvZTJvRG9jLnhtbFBLAQItABQA&#10;BgAIAAAAIQC8IM/a2gAAAAcBAAAPAAAAAAAAAAAAAAAAACIFAABkcnMvZG93bnJldi54bWxQSwUG&#10;AAAAAAQABADzAAAAKQYAAAAA&#10;" fillcolor="#0f673b" stroked="f">
                <v:path arrowok="t"/>
                <v:textbox>
                  <w:txbxContent>
                    <w:p w14:paraId="20377BCA" w14:textId="23AC0546" w:rsidR="009027EC" w:rsidRPr="00691F20" w:rsidRDefault="009027EC" w:rsidP="00E4397D">
                      <w:pPr>
                        <w:spacing w:after="0"/>
                        <w:jc w:val="center"/>
                        <w:rPr>
                          <w:b/>
                          <w:color w:val="FFFFFF" w:themeColor="background1"/>
                          <w:sz w:val="134"/>
                          <w:szCs w:val="134"/>
                        </w:rPr>
                      </w:pPr>
                      <w:r>
                        <w:rPr>
                          <w:b/>
                          <w:color w:val="FFFFFF" w:themeColor="background1"/>
                          <w:sz w:val="134"/>
                          <w:szCs w:val="134"/>
                        </w:rPr>
                        <w:t>E</w:t>
                      </w:r>
                    </w:p>
                  </w:txbxContent>
                </v:textbox>
                <w10:wrap type="square" anchorx="margin"/>
              </v:shape>
            </w:pict>
          </mc:Fallback>
        </mc:AlternateContent>
      </w:r>
      <w:r>
        <w:t>Sources of Growth Rates</w:t>
      </w:r>
      <w:bookmarkEnd w:id="524"/>
      <w:bookmarkEnd w:id="525"/>
    </w:p>
    <w:p w14:paraId="11833E87" w14:textId="77777777" w:rsidR="00E4397D" w:rsidRDefault="00E4397D" w:rsidP="00E4397D">
      <w:pPr>
        <w:rPr>
          <w:lang w:bidi="ar-SA"/>
        </w:rPr>
      </w:pPr>
      <w:r>
        <w:rPr>
          <w:lang w:bidi="ar-SA"/>
        </w:rPr>
        <w:t xml:space="preserve">In order to project potential savings out over time, the Team first had to identify growth rates for the various fuel types that are assessed in this report. </w:t>
      </w:r>
    </w:p>
    <w:p w14:paraId="73028A3F" w14:textId="4D874AC2" w:rsidR="00E4397D" w:rsidRDefault="00E4397D" w:rsidP="00A02B9C">
      <w:r w:rsidRPr="00302676">
        <w:rPr>
          <w:b/>
          <w:lang w:bidi="ar-SA"/>
        </w:rPr>
        <w:t>Electricity</w:t>
      </w:r>
      <w:r w:rsidR="00302676" w:rsidRPr="00302676">
        <w:rPr>
          <w:b/>
          <w:lang w:bidi="ar-SA"/>
        </w:rPr>
        <w:t>.</w:t>
      </w:r>
      <w:r w:rsidRPr="00302676">
        <w:rPr>
          <w:b/>
          <w:lang w:bidi="ar-SA"/>
        </w:rPr>
        <w:t xml:space="preserve"> </w:t>
      </w:r>
      <w:r>
        <w:rPr>
          <w:lang w:bidi="ar-SA"/>
        </w:rPr>
        <w:t xml:space="preserve">The growth rates for electricity consumption and peak demand were estimated based on the Connecticut-specific forecasting details of the Capacity, Energy, Loads, and Transmission (CELT) report that is published by ISO-New England. Here is a link to the CELT forecasting details documents: </w:t>
      </w:r>
      <w:hyperlink r:id="rId89" w:history="1">
        <w:r w:rsidRPr="00AB2FA1">
          <w:rPr>
            <w:color w:val="0000FF"/>
            <w:u w:val="single"/>
          </w:rPr>
          <w:t>http://iso-ne.com/trans/celt/fsct_detail/index.html</w:t>
        </w:r>
      </w:hyperlink>
    </w:p>
    <w:p w14:paraId="437E7E7C" w14:textId="57EE91D7" w:rsidR="00E4397D" w:rsidRDefault="00302676" w:rsidP="00E4397D">
      <w:r w:rsidRPr="00302676">
        <w:rPr>
          <w:b/>
        </w:rPr>
        <w:t>Natural g</w:t>
      </w:r>
      <w:r w:rsidR="00E4397D" w:rsidRPr="00302676">
        <w:rPr>
          <w:b/>
        </w:rPr>
        <w:t>as</w:t>
      </w:r>
      <w:r w:rsidRPr="00302676">
        <w:rPr>
          <w:b/>
        </w:rPr>
        <w:t>.</w:t>
      </w:r>
      <w:r w:rsidR="00E4397D" w:rsidRPr="00302676">
        <w:rPr>
          <w:b/>
        </w:rPr>
        <w:t xml:space="preserve"> </w:t>
      </w:r>
      <w:r w:rsidR="00E4397D">
        <w:t xml:space="preserve">The growth rates for natural gas consumption are based on the biennial forecast of natural gas demand and supply submitted by Yankee Gas to the State of Connecticut on October 1, 2012. Here is a link to those documents: </w:t>
      </w:r>
      <w:r w:rsidR="00E4397D">
        <w:tab/>
      </w:r>
      <w:hyperlink r:id="rId90" w:history="1">
        <w:r w:rsidR="00E4397D" w:rsidRPr="004412EC">
          <w:rPr>
            <w:color w:val="0000FF"/>
            <w:u w:val="single"/>
          </w:rPr>
          <w:t>http://www.dpuc.state.ct.us/dockcurr.nsf/8e6fc37a54110e3e852576190052b64d/9a0971f21cbf5a3e85257a8d004be07c?OpenDocument</w:t>
        </w:r>
      </w:hyperlink>
    </w:p>
    <w:p w14:paraId="02534501" w14:textId="2A170103" w:rsidR="00E4397D" w:rsidRDefault="00E4397D" w:rsidP="00302676">
      <w:pPr>
        <w:spacing w:after="0"/>
        <w:rPr>
          <w:lang w:bidi="ar-SA"/>
        </w:rPr>
      </w:pPr>
      <w:r w:rsidRPr="00302676">
        <w:rPr>
          <w:b/>
        </w:rPr>
        <w:t xml:space="preserve">Fuel </w:t>
      </w:r>
      <w:r w:rsidR="00302676" w:rsidRPr="00302676">
        <w:rPr>
          <w:b/>
        </w:rPr>
        <w:t>oil and p</w:t>
      </w:r>
      <w:r w:rsidRPr="00302676">
        <w:rPr>
          <w:b/>
        </w:rPr>
        <w:t>ropane</w:t>
      </w:r>
      <w:r w:rsidR="00302676" w:rsidRPr="00302676">
        <w:rPr>
          <w:b/>
        </w:rPr>
        <w:t>.</w:t>
      </w:r>
      <w:r w:rsidRPr="00302676">
        <w:rPr>
          <w:b/>
        </w:rPr>
        <w:t xml:space="preserve"> </w:t>
      </w:r>
      <w:r>
        <w:t xml:space="preserve">The growth rates for fuel oil and propane are based on the U.S. Energy Information Administration’s Annual Energy Outlook for 2013. Specifically, these growth rates were derived from projected energy consumption estimates for the residential sector in New England. Here is a link to the website where this information can be found: </w:t>
      </w:r>
      <w:r>
        <w:tab/>
      </w:r>
      <w:r>
        <w:tab/>
      </w:r>
      <w:hyperlink r:id="rId91" w:history="1">
        <w:r w:rsidRPr="00D776FB">
          <w:rPr>
            <w:color w:val="0000FF"/>
            <w:u w:val="single"/>
          </w:rPr>
          <w:t>http://www.eia.gov/forecasts/aeo/sector_residential.cfm</w:t>
        </w:r>
      </w:hyperlink>
    </w:p>
    <w:p w14:paraId="1449DCF7" w14:textId="43A4CA71" w:rsidR="00302676" w:rsidRDefault="00302676" w:rsidP="00302676">
      <w:pPr>
        <w:spacing w:after="0"/>
        <w:rPr>
          <w:lang w:bidi="ar-SA"/>
        </w:rPr>
      </w:pPr>
    </w:p>
    <w:p w14:paraId="23F7257F" w14:textId="0776771C" w:rsidR="00302676" w:rsidRDefault="00302676" w:rsidP="00302676">
      <w:pPr>
        <w:spacing w:after="0"/>
        <w:rPr>
          <w:lang w:bidi="ar-SA"/>
        </w:rPr>
      </w:pPr>
    </w:p>
    <w:p w14:paraId="672B9225" w14:textId="77777777" w:rsidR="00302676" w:rsidRDefault="00302676" w:rsidP="00302676">
      <w:pPr>
        <w:spacing w:after="0"/>
        <w:rPr>
          <w:lang w:bidi="ar-SA"/>
        </w:rPr>
        <w:sectPr w:rsidR="00302676" w:rsidSect="00D83BA8">
          <w:headerReference w:type="even" r:id="rId92"/>
          <w:headerReference w:type="default" r:id="rId93"/>
          <w:footerReference w:type="default" r:id="rId94"/>
          <w:headerReference w:type="first" r:id="rId95"/>
          <w:pgSz w:w="12240" w:h="15840"/>
          <w:pgMar w:top="1440" w:right="1440" w:bottom="1440" w:left="1440" w:header="0" w:footer="0" w:gutter="0"/>
          <w:pgNumType w:start="1"/>
          <w:cols w:space="720"/>
          <w:docGrid w:linePitch="360"/>
        </w:sectPr>
      </w:pPr>
    </w:p>
    <w:bookmarkStart w:id="526" w:name="_Ref439934183"/>
    <w:bookmarkStart w:id="527" w:name="_Toc439939427"/>
    <w:p w14:paraId="66C43301" w14:textId="4CD93849" w:rsidR="00302676" w:rsidRDefault="00302676" w:rsidP="00302676">
      <w:pPr>
        <w:pStyle w:val="ApHeading1"/>
        <w:rPr>
          <w:rFonts w:hint="eastAsia"/>
        </w:rPr>
      </w:pPr>
      <w:r w:rsidRPr="00F6205B">
        <w:rPr>
          <w:rFonts w:hint="eastAsia"/>
          <w:noProof/>
        </w:rPr>
        <w:lastRenderedPageBreak/>
        <mc:AlternateContent>
          <mc:Choice Requires="wps">
            <w:drawing>
              <wp:anchor distT="0" distB="0" distL="114300" distR="114300" simplePos="0" relativeHeight="251698176" behindDoc="0" locked="0" layoutInCell="1" allowOverlap="1" wp14:anchorId="773D9C2C" wp14:editId="4574E5AE">
                <wp:simplePos x="0" y="0"/>
                <wp:positionH relativeFrom="margin">
                  <wp:align>left</wp:align>
                </wp:positionH>
                <wp:positionV relativeFrom="paragraph">
                  <wp:posOffset>161290</wp:posOffset>
                </wp:positionV>
                <wp:extent cx="1143000" cy="1143000"/>
                <wp:effectExtent l="0" t="0" r="0" b="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173B4C7" w14:textId="6ED2F2EA" w:rsidR="009027EC" w:rsidRPr="00691F20" w:rsidRDefault="009027EC" w:rsidP="00302676">
                            <w:pPr>
                              <w:spacing w:after="0"/>
                              <w:jc w:val="center"/>
                              <w:rPr>
                                <w:b/>
                                <w:color w:val="FFFFFF" w:themeColor="background1"/>
                                <w:sz w:val="134"/>
                                <w:szCs w:val="134"/>
                              </w:rPr>
                            </w:pPr>
                            <w:r>
                              <w:rPr>
                                <w:b/>
                                <w:color w:val="FFFFFF" w:themeColor="background1"/>
                                <w:sz w:val="134"/>
                                <w:szCs w:val="134"/>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73D9C2C" id="Text Box 27" o:spid="_x0000_s1040" type="#_x0000_t202" style="position:absolute;left:0;text-align:left;margin-left:0;margin-top:12.7pt;width:90pt;height:90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6dyAIAAPAFAAAOAAAAZHJzL2Uyb0RvYy54bWysVFtP2zAUfp+0/2D5vSQpgUJEikJRp0nV&#10;QIOJZ9dx2gjHx7PdNt20/75jJymF7YVpL4nt853bdy5X120jyVYYW4PKaXISUyIUh7JWq5x+e5yP&#10;LiixjqmSSVAip3th6fX044ernc7EGNYgS2EIGlE22+mcrp3TWRRZvhYNsyeghUJhBaZhDq9mFZWG&#10;7dB6I6NxHJ9HOzClNsCFtfh62wnpNNivKsHdXVVZ4YjMKcbmwteE79J/o+kVy1aG6XXN+zDYP0TR&#10;sFqh04OpW+YY2Zj6D1NNzQ1YqNwJhyaCqqq5CDlgNkn8JpuHNdMi5ILkWH2gyf4/s/zL9t6Quszp&#10;eEKJYg3W6FG0jtxAS/AJ+dlpmyHsQSPQtfiOdQ65Wr0A/mwREh1hOgWLaM9HW5nG/zFTgopYgv2B&#10;du+Ge2tJehrHKOIoGy7e6ou6NtZ9EtAQf8ipwbqGENh2YV0HHSDemwVZl/NaynAxq+VMGrJlvgfm&#10;55PTG58WWn8Fk8qDFXi1Tty9iNBFnRuWYcx49Egffajwz9nZZFxMzi5H58VZMkqT+GJUFPF4dDsv&#10;4iJO57PL9OZX73LQD4x1JHnurNtL4a1K9VVUWI/AVYjeT4I4xM84F8olvbWA9qgKg36PYo8PeYT8&#10;3qPcMYIawTMod1BuagWm643XYZfPQ8hVh+97ps/bU+DaZRsaMUmHrltCucemM9CNrdV8XmP9F8y6&#10;e2ZwTrFncPe4O/xUEnY5hf5EyRrMj7+9ezyOD0op2eHc59R+3zAjKJGfFQ7WZZKmflGES4qVxYs5&#10;liyPJWrTzADbKsEtp3k4eryTw7Ey0Dzhiiq8VxQxxdF3Tt1wnLluG+GK46IoAghXg2ZuoR40H2bN&#10;d/dj+8SM7kfAYSd9gWFDsOzNJHRYXyAFxcZBVYcx8UR3rPYFwLUSRqFfgX5vHd8D6mVRT38DAAD/&#10;/wMAUEsDBBQABgAIAAAAIQC8IM/a2gAAAAcBAAAPAAAAZHJzL2Rvd25yZXYueG1sTI/BTsMwDIbv&#10;SLxDZCRuLNk0oCtNJ4Q0EEcGQtsta0xb0Tglybbw9nincfT3W78/V8vsBnHAEHtPGqYTBQKp8ban&#10;VsPH++qmABGTIWsGT6jhFyMs68uLypTWH+kND+vUCi6hWBoNXUpjKWVsOnQmTvyIxNmXD84kHkMr&#10;bTBHLneDnCl1J53piS90ZsSnDpvv9d5pyJnC/bj9eS3mL3IaN4vP1SY9a319lR8fQCTM6bwMJ31W&#10;h5qddn5PNopBAz+SNMxu5yBOaaEY7BgoJrKu5H//+g8AAP//AwBQSwECLQAUAAYACAAAACEAtoM4&#10;kv4AAADhAQAAEwAAAAAAAAAAAAAAAAAAAAAAW0NvbnRlbnRfVHlwZXNdLnhtbFBLAQItABQABgAI&#10;AAAAIQA4/SH/1gAAAJQBAAALAAAAAAAAAAAAAAAAAC8BAABfcmVscy8ucmVsc1BLAQItABQABgAI&#10;AAAAIQDC9/6dyAIAAPAFAAAOAAAAAAAAAAAAAAAAAC4CAABkcnMvZTJvRG9jLnhtbFBLAQItABQA&#10;BgAIAAAAIQC8IM/a2gAAAAcBAAAPAAAAAAAAAAAAAAAAACIFAABkcnMvZG93bnJldi54bWxQSwUG&#10;AAAAAAQABADzAAAAKQYAAAAA&#10;" fillcolor="#0f673b" stroked="f">
                <v:path arrowok="t"/>
                <v:textbox>
                  <w:txbxContent>
                    <w:p w14:paraId="1173B4C7" w14:textId="6ED2F2EA" w:rsidR="009027EC" w:rsidRPr="00691F20" w:rsidRDefault="009027EC" w:rsidP="00302676">
                      <w:pPr>
                        <w:spacing w:after="0"/>
                        <w:jc w:val="center"/>
                        <w:rPr>
                          <w:b/>
                          <w:color w:val="FFFFFF" w:themeColor="background1"/>
                          <w:sz w:val="134"/>
                          <w:szCs w:val="134"/>
                        </w:rPr>
                      </w:pPr>
                      <w:r>
                        <w:rPr>
                          <w:b/>
                          <w:color w:val="FFFFFF" w:themeColor="background1"/>
                          <w:sz w:val="134"/>
                          <w:szCs w:val="134"/>
                        </w:rPr>
                        <w:t>F</w:t>
                      </w:r>
                    </w:p>
                  </w:txbxContent>
                </v:textbox>
                <w10:wrap type="square" anchorx="margin"/>
              </v:shape>
            </w:pict>
          </mc:Fallback>
        </mc:AlternateContent>
      </w:r>
      <w:r>
        <w:t>Achievable Potential</w:t>
      </w:r>
      <w:r w:rsidR="004336BD">
        <w:t xml:space="preserve"> Assumptions</w:t>
      </w:r>
      <w:bookmarkEnd w:id="526"/>
      <w:bookmarkEnd w:id="527"/>
    </w:p>
    <w:p w14:paraId="0295A62C" w14:textId="77777777" w:rsidR="004336BD" w:rsidRDefault="004336BD" w:rsidP="00F52E2F">
      <w:pPr>
        <w:rPr>
          <w:lang w:bidi="ar-SA"/>
        </w:rPr>
      </w:pPr>
      <w:r>
        <w:rPr>
          <w:lang w:bidi="ar-SA"/>
        </w:rPr>
        <w:t>This section includes information on assumptions used in the achievable potential stage of the study.</w:t>
      </w:r>
    </w:p>
    <w:p w14:paraId="309C1463" w14:textId="77777777" w:rsidR="00A02B9C" w:rsidRDefault="00A02B9C" w:rsidP="00F52E2F"/>
    <w:p w14:paraId="42148B86" w14:textId="77777777" w:rsidR="004336BD" w:rsidRPr="004336BD" w:rsidRDefault="004336BD" w:rsidP="00F52E2F">
      <w:pPr>
        <w:pStyle w:val="ApHeading2"/>
        <w:numPr>
          <w:ilvl w:val="0"/>
          <w:numId w:val="0"/>
        </w:numPr>
        <w:rPr>
          <w:rFonts w:hint="eastAsia"/>
        </w:rPr>
      </w:pPr>
      <w:bookmarkStart w:id="528" w:name="_Toc439939428"/>
      <w:r>
        <w:t>Federal Standards</w:t>
      </w:r>
      <w:bookmarkEnd w:id="528"/>
    </w:p>
    <w:p w14:paraId="29396D99" w14:textId="77777777" w:rsidR="004336BD" w:rsidRDefault="004336BD" w:rsidP="004336BD">
      <w:r>
        <w:rPr>
          <w:lang w:bidi="ar-SA"/>
        </w:rPr>
        <w:t xml:space="preserve">The tables below describe the federal standards that were accounted for in the cost-effective potential and achievable potential analyses. Standards and effective dates were taken from the websites of the </w:t>
      </w:r>
      <w:r>
        <w:t>Department of Energy</w:t>
      </w:r>
      <w:r>
        <w:rPr>
          <w:rStyle w:val="FootnoteReference"/>
        </w:rPr>
        <w:footnoteReference w:id="85"/>
      </w:r>
      <w:r>
        <w:t xml:space="preserve"> and the Appliance Standards Awareness Project (ASAP)</w:t>
      </w:r>
      <w:r>
        <w:rPr>
          <w:rStyle w:val="FootnoteReference"/>
        </w:rPr>
        <w:footnoteReference w:id="86"/>
      </w:r>
      <w:r>
        <w:t>.</w:t>
      </w:r>
    </w:p>
    <w:p w14:paraId="1B2E4FDD" w14:textId="77777777" w:rsidR="004336BD" w:rsidRDefault="004336BD" w:rsidP="004336BD">
      <w:r>
        <w:t>All current standards are published, but in many cases, amended standards have not yet been published. Unavailable amended standards were approximated by calculating the percent change between the current standard and the standard that was in effect prior to that, and then increasing the current standard by half that percentage, as shown in the equation below:</w:t>
      </w:r>
    </w:p>
    <w:p w14:paraId="5ABA9D7C" w14:textId="77777777" w:rsidR="004336BD" w:rsidRDefault="004336BD" w:rsidP="004336BD">
      <m:oMathPara>
        <m:oMath>
          <m:r>
            <w:rPr>
              <w:rFonts w:ascii="Cambria Math" w:hAnsi="Cambria Math"/>
            </w:rPr>
            <m:t>Amended=Current*</m:t>
          </m:r>
          <m:d>
            <m:dPr>
              <m:begChr m:val="["/>
              <m:endChr m:val="]"/>
              <m:ctrlPr>
                <w:rPr>
                  <w:rFonts w:ascii="Cambria Math" w:hAnsi="Cambria Math"/>
                  <w:i/>
                </w:rPr>
              </m:ctrlPr>
            </m:dPr>
            <m:e>
              <m:r>
                <w:rPr>
                  <w:rFonts w:ascii="Cambria Math" w:hAnsi="Cambria Math"/>
                </w:rPr>
                <m:t>1+</m:t>
              </m:r>
              <m:d>
                <m:dPr>
                  <m:ctrlPr>
                    <w:rPr>
                      <w:rFonts w:ascii="Cambria Math" w:hAnsi="Cambria Math"/>
                      <w:i/>
                    </w:rPr>
                  </m:ctrlPr>
                </m:dPr>
                <m:e>
                  <m:r>
                    <w:rPr>
                      <w:rFonts w:ascii="Cambria Math" w:hAnsi="Cambria Math"/>
                    </w:rPr>
                    <m:t>0.5*</m:t>
                  </m:r>
                  <m:f>
                    <m:fPr>
                      <m:ctrlPr>
                        <w:rPr>
                          <w:rFonts w:ascii="Cambria Math" w:hAnsi="Cambria Math"/>
                          <w:i/>
                        </w:rPr>
                      </m:ctrlPr>
                    </m:fPr>
                    <m:num>
                      <m:r>
                        <w:rPr>
                          <w:rFonts w:ascii="Cambria Math" w:hAnsi="Cambria Math"/>
                        </w:rPr>
                        <m:t>Current-Prior</m:t>
                      </m:r>
                    </m:num>
                    <m:den>
                      <m:r>
                        <w:rPr>
                          <w:rFonts w:ascii="Cambria Math" w:hAnsi="Cambria Math"/>
                        </w:rPr>
                        <m:t>Prior</m:t>
                      </m:r>
                    </m:den>
                  </m:f>
                </m:e>
              </m:d>
            </m:e>
          </m:d>
        </m:oMath>
      </m:oMathPara>
    </w:p>
    <w:p w14:paraId="443893D6" w14:textId="77777777" w:rsidR="004336BD" w:rsidRDefault="004336BD" w:rsidP="004336BD"/>
    <w:p w14:paraId="498C40E6" w14:textId="77777777" w:rsidR="004336BD" w:rsidRDefault="004336BD" w:rsidP="004336BD">
      <w:r>
        <w:t>Standards that were approximated in this way are marked by blue cell shading in the tables below. Standards that were arrived at after discussion between NMR staff, EEB consultants, and representatives from the Companies are shaded gray.</w:t>
      </w:r>
    </w:p>
    <w:p w14:paraId="24A28E53" w14:textId="77777777" w:rsidR="004336BD" w:rsidRDefault="004336BD" w:rsidP="004336BD">
      <w:pPr>
        <w:pStyle w:val="Caption"/>
        <w:rPr>
          <w:lang w:bidi="ar-SA"/>
        </w:rPr>
      </w:pPr>
      <w:bookmarkStart w:id="529" w:name="_Toc439931882"/>
      <w:r>
        <w:lastRenderedPageBreak/>
        <w:t xml:space="preserve">Table </w:t>
      </w:r>
      <w:fldSimple w:instr=" SEQ Table \* ARABIC ">
        <w:r w:rsidR="00FA26A9">
          <w:rPr>
            <w:noProof/>
          </w:rPr>
          <w:t>51</w:t>
        </w:r>
      </w:fldSimple>
      <w:r>
        <w:t>: Federal Standards for Heating &amp; Cooling Equipment</w:t>
      </w:r>
      <w:bookmarkEnd w:id="529"/>
    </w:p>
    <w:tbl>
      <w:tblPr>
        <w:tblStyle w:val="TableGrid"/>
        <w:tblW w:w="9768"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1104"/>
        <w:gridCol w:w="2265"/>
        <w:gridCol w:w="1203"/>
        <w:gridCol w:w="1299"/>
        <w:gridCol w:w="1299"/>
        <w:gridCol w:w="1299"/>
        <w:gridCol w:w="1299"/>
      </w:tblGrid>
      <w:tr w:rsidR="004336BD" w:rsidRPr="00F6205B" w14:paraId="24FB84C7" w14:textId="77777777" w:rsidTr="00726720">
        <w:trPr>
          <w:trHeight w:val="288"/>
          <w:jc w:val="center"/>
        </w:trPr>
        <w:tc>
          <w:tcPr>
            <w:tcW w:w="1104" w:type="dxa"/>
            <w:vMerge w:val="restart"/>
            <w:tcBorders>
              <w:top w:val="single" w:sz="4" w:space="0" w:color="auto"/>
              <w:left w:val="single" w:sz="4" w:space="0" w:color="auto"/>
              <w:right w:val="single" w:sz="4" w:space="0" w:color="auto"/>
            </w:tcBorders>
            <w:shd w:val="clear" w:color="auto" w:fill="0B4D2C" w:themeFill="background2" w:themeFillShade="BF"/>
            <w:vAlign w:val="center"/>
          </w:tcPr>
          <w:p w14:paraId="0B3AC6AB" w14:textId="77777777" w:rsidR="004336BD" w:rsidRPr="00F6205B" w:rsidRDefault="004336BD" w:rsidP="00726720">
            <w:pPr>
              <w:keepNext/>
              <w:keepLines/>
              <w:spacing w:after="0"/>
              <w:rPr>
                <w:b/>
                <w:sz w:val="20"/>
                <w:szCs w:val="20"/>
              </w:rPr>
            </w:pPr>
            <w:r>
              <w:rPr>
                <w:b/>
                <w:sz w:val="20"/>
                <w:szCs w:val="20"/>
              </w:rPr>
              <w:t>End Use</w:t>
            </w:r>
          </w:p>
        </w:tc>
        <w:tc>
          <w:tcPr>
            <w:tcW w:w="2265" w:type="dxa"/>
            <w:vMerge w:val="restart"/>
            <w:tcBorders>
              <w:top w:val="single" w:sz="4" w:space="0" w:color="auto"/>
              <w:right w:val="single" w:sz="4" w:space="0" w:color="auto"/>
            </w:tcBorders>
            <w:shd w:val="clear" w:color="auto" w:fill="0B4D2C" w:themeFill="background2" w:themeFillShade="BF"/>
            <w:vAlign w:val="center"/>
          </w:tcPr>
          <w:p w14:paraId="68E450A8" w14:textId="77777777" w:rsidR="004336BD" w:rsidRPr="00F6205B" w:rsidRDefault="004336BD" w:rsidP="00726720">
            <w:pPr>
              <w:keepNext/>
              <w:keepLines/>
              <w:spacing w:after="0"/>
              <w:rPr>
                <w:b/>
                <w:sz w:val="20"/>
                <w:szCs w:val="20"/>
              </w:rPr>
            </w:pPr>
            <w:r>
              <w:rPr>
                <w:b/>
                <w:sz w:val="20"/>
                <w:szCs w:val="20"/>
              </w:rPr>
              <w:t>Measure</w:t>
            </w:r>
          </w:p>
        </w:tc>
        <w:tc>
          <w:tcPr>
            <w:tcW w:w="1203" w:type="dxa"/>
            <w:vMerge w:val="restart"/>
            <w:tcBorders>
              <w:top w:val="single" w:sz="4" w:space="0" w:color="auto"/>
              <w:right w:val="single" w:sz="4" w:space="0" w:color="auto"/>
            </w:tcBorders>
            <w:shd w:val="clear" w:color="auto" w:fill="0B4D2C" w:themeFill="background2" w:themeFillShade="BF"/>
            <w:vAlign w:val="center"/>
          </w:tcPr>
          <w:p w14:paraId="19F72243" w14:textId="77777777" w:rsidR="004336BD" w:rsidRPr="00F6205B" w:rsidRDefault="004336BD" w:rsidP="00726720">
            <w:pPr>
              <w:keepNext/>
              <w:keepLines/>
              <w:spacing w:after="0"/>
              <w:jc w:val="center"/>
              <w:rPr>
                <w:b/>
                <w:sz w:val="20"/>
                <w:szCs w:val="20"/>
              </w:rPr>
            </w:pPr>
            <w:r>
              <w:rPr>
                <w:b/>
                <w:sz w:val="20"/>
                <w:szCs w:val="20"/>
              </w:rPr>
              <w:t>Efficiency Unit</w:t>
            </w:r>
          </w:p>
        </w:tc>
        <w:tc>
          <w:tcPr>
            <w:tcW w:w="2598" w:type="dxa"/>
            <w:gridSpan w:val="2"/>
            <w:tcBorders>
              <w:top w:val="single" w:sz="4" w:space="0" w:color="auto"/>
              <w:bottom w:val="single" w:sz="4" w:space="0" w:color="000000" w:themeColor="text1"/>
              <w:right w:val="single" w:sz="4" w:space="0" w:color="auto"/>
            </w:tcBorders>
            <w:shd w:val="clear" w:color="auto" w:fill="0B4D2C" w:themeFill="background2" w:themeFillShade="BF"/>
            <w:vAlign w:val="center"/>
          </w:tcPr>
          <w:p w14:paraId="38EA2707" w14:textId="77777777" w:rsidR="004336BD" w:rsidRDefault="004336BD" w:rsidP="00726720">
            <w:pPr>
              <w:keepNext/>
              <w:keepLines/>
              <w:spacing w:after="0"/>
              <w:jc w:val="center"/>
              <w:rPr>
                <w:b/>
                <w:sz w:val="20"/>
                <w:szCs w:val="20"/>
              </w:rPr>
            </w:pPr>
            <w:r>
              <w:rPr>
                <w:b/>
                <w:sz w:val="20"/>
                <w:szCs w:val="20"/>
              </w:rPr>
              <w:t>Current Standard</w:t>
            </w:r>
          </w:p>
        </w:tc>
        <w:tc>
          <w:tcPr>
            <w:tcW w:w="2598" w:type="dxa"/>
            <w:gridSpan w:val="2"/>
            <w:tcBorders>
              <w:top w:val="single" w:sz="4" w:space="0" w:color="auto"/>
              <w:bottom w:val="single" w:sz="4" w:space="0" w:color="000000" w:themeColor="text1"/>
              <w:right w:val="single" w:sz="4" w:space="0" w:color="auto"/>
            </w:tcBorders>
            <w:shd w:val="clear" w:color="auto" w:fill="0B4D2C" w:themeFill="background2" w:themeFillShade="BF"/>
            <w:vAlign w:val="center"/>
          </w:tcPr>
          <w:p w14:paraId="09E80459" w14:textId="77777777" w:rsidR="004336BD" w:rsidRDefault="004336BD" w:rsidP="00726720">
            <w:pPr>
              <w:keepNext/>
              <w:keepLines/>
              <w:spacing w:after="0"/>
              <w:jc w:val="center"/>
              <w:rPr>
                <w:b/>
                <w:sz w:val="20"/>
                <w:szCs w:val="20"/>
              </w:rPr>
            </w:pPr>
            <w:r>
              <w:rPr>
                <w:b/>
                <w:sz w:val="20"/>
                <w:szCs w:val="20"/>
              </w:rPr>
              <w:t>Amended Standard</w:t>
            </w:r>
          </w:p>
        </w:tc>
      </w:tr>
      <w:tr w:rsidR="004336BD" w:rsidRPr="00F6205B" w14:paraId="5B2308D6" w14:textId="77777777" w:rsidTr="00726720">
        <w:trPr>
          <w:trHeight w:val="288"/>
          <w:jc w:val="center"/>
        </w:trPr>
        <w:tc>
          <w:tcPr>
            <w:tcW w:w="1104" w:type="dxa"/>
            <w:vMerge/>
            <w:tcBorders>
              <w:left w:val="single" w:sz="4" w:space="0" w:color="auto"/>
              <w:bottom w:val="single" w:sz="4" w:space="0" w:color="000000" w:themeColor="text1"/>
              <w:right w:val="single" w:sz="4" w:space="0" w:color="auto"/>
            </w:tcBorders>
            <w:shd w:val="clear" w:color="auto" w:fill="0B4D2C" w:themeFill="background2" w:themeFillShade="BF"/>
            <w:vAlign w:val="center"/>
          </w:tcPr>
          <w:p w14:paraId="602193D8" w14:textId="77777777" w:rsidR="004336BD" w:rsidRDefault="004336BD" w:rsidP="00726720">
            <w:pPr>
              <w:keepNext/>
              <w:keepLines/>
              <w:spacing w:after="0"/>
              <w:rPr>
                <w:b/>
                <w:sz w:val="20"/>
                <w:szCs w:val="20"/>
              </w:rPr>
            </w:pPr>
          </w:p>
        </w:tc>
        <w:tc>
          <w:tcPr>
            <w:tcW w:w="2265" w:type="dxa"/>
            <w:vMerge/>
            <w:tcBorders>
              <w:bottom w:val="single" w:sz="4" w:space="0" w:color="000000" w:themeColor="text1"/>
              <w:right w:val="single" w:sz="4" w:space="0" w:color="auto"/>
            </w:tcBorders>
            <w:shd w:val="clear" w:color="auto" w:fill="0B4D2C" w:themeFill="background2" w:themeFillShade="BF"/>
            <w:vAlign w:val="center"/>
          </w:tcPr>
          <w:p w14:paraId="03319F3D" w14:textId="77777777" w:rsidR="004336BD" w:rsidRDefault="004336BD" w:rsidP="00726720">
            <w:pPr>
              <w:keepNext/>
              <w:keepLines/>
              <w:spacing w:after="0"/>
              <w:rPr>
                <w:b/>
                <w:sz w:val="20"/>
                <w:szCs w:val="20"/>
              </w:rPr>
            </w:pPr>
          </w:p>
        </w:tc>
        <w:tc>
          <w:tcPr>
            <w:tcW w:w="1203" w:type="dxa"/>
            <w:vMerge/>
            <w:tcBorders>
              <w:bottom w:val="single" w:sz="4" w:space="0" w:color="000000" w:themeColor="text1"/>
              <w:right w:val="single" w:sz="4" w:space="0" w:color="auto"/>
            </w:tcBorders>
            <w:shd w:val="clear" w:color="auto" w:fill="0B4D2C" w:themeFill="background2" w:themeFillShade="BF"/>
            <w:vAlign w:val="center"/>
          </w:tcPr>
          <w:p w14:paraId="21B68B81" w14:textId="77777777" w:rsidR="004336BD" w:rsidRDefault="004336BD" w:rsidP="00726720">
            <w:pPr>
              <w:keepNext/>
              <w:keepLines/>
              <w:spacing w:after="0"/>
              <w:jc w:val="center"/>
              <w:rPr>
                <w:b/>
                <w:sz w:val="20"/>
                <w:szCs w:val="20"/>
              </w:rPr>
            </w:pPr>
          </w:p>
        </w:tc>
        <w:tc>
          <w:tcPr>
            <w:tcW w:w="1299" w:type="dxa"/>
            <w:tcBorders>
              <w:top w:val="single" w:sz="4" w:space="0" w:color="auto"/>
              <w:bottom w:val="single" w:sz="4" w:space="0" w:color="000000" w:themeColor="text1"/>
              <w:right w:val="single" w:sz="4" w:space="0" w:color="auto"/>
            </w:tcBorders>
            <w:shd w:val="clear" w:color="auto" w:fill="0B4D2C" w:themeFill="background2" w:themeFillShade="BF"/>
            <w:vAlign w:val="center"/>
          </w:tcPr>
          <w:p w14:paraId="73128B03" w14:textId="77777777" w:rsidR="004336BD" w:rsidRDefault="004336BD" w:rsidP="00726720">
            <w:pPr>
              <w:keepNext/>
              <w:keepLines/>
              <w:spacing w:after="0"/>
              <w:jc w:val="center"/>
              <w:rPr>
                <w:b/>
                <w:sz w:val="20"/>
                <w:szCs w:val="20"/>
              </w:rPr>
            </w:pPr>
            <w:r>
              <w:rPr>
                <w:b/>
                <w:sz w:val="20"/>
                <w:szCs w:val="20"/>
              </w:rPr>
              <w:t>Standard</w:t>
            </w:r>
          </w:p>
        </w:tc>
        <w:tc>
          <w:tcPr>
            <w:tcW w:w="1299" w:type="dxa"/>
            <w:tcBorders>
              <w:top w:val="single" w:sz="4" w:space="0" w:color="auto"/>
              <w:bottom w:val="single" w:sz="4" w:space="0" w:color="000000" w:themeColor="text1"/>
              <w:right w:val="single" w:sz="4" w:space="0" w:color="auto"/>
            </w:tcBorders>
            <w:shd w:val="clear" w:color="auto" w:fill="0B4D2C" w:themeFill="background2" w:themeFillShade="BF"/>
            <w:vAlign w:val="center"/>
          </w:tcPr>
          <w:p w14:paraId="296BD6F2" w14:textId="77777777" w:rsidR="004336BD" w:rsidRDefault="004336BD" w:rsidP="00726720">
            <w:pPr>
              <w:keepNext/>
              <w:keepLines/>
              <w:spacing w:after="0"/>
              <w:jc w:val="center"/>
              <w:rPr>
                <w:b/>
                <w:sz w:val="20"/>
                <w:szCs w:val="20"/>
              </w:rPr>
            </w:pPr>
            <w:r>
              <w:rPr>
                <w:b/>
                <w:sz w:val="20"/>
                <w:szCs w:val="20"/>
              </w:rPr>
              <w:t>Effective</w:t>
            </w:r>
          </w:p>
        </w:tc>
        <w:tc>
          <w:tcPr>
            <w:tcW w:w="1299" w:type="dxa"/>
            <w:tcBorders>
              <w:top w:val="single" w:sz="4" w:space="0" w:color="auto"/>
              <w:bottom w:val="single" w:sz="4" w:space="0" w:color="000000" w:themeColor="text1"/>
              <w:right w:val="single" w:sz="4" w:space="0" w:color="auto"/>
            </w:tcBorders>
            <w:shd w:val="clear" w:color="auto" w:fill="0B4D2C" w:themeFill="background2" w:themeFillShade="BF"/>
            <w:vAlign w:val="center"/>
          </w:tcPr>
          <w:p w14:paraId="2921C846" w14:textId="77777777" w:rsidR="004336BD" w:rsidRDefault="004336BD" w:rsidP="00726720">
            <w:pPr>
              <w:keepNext/>
              <w:keepLines/>
              <w:spacing w:after="0"/>
              <w:jc w:val="center"/>
              <w:rPr>
                <w:b/>
                <w:sz w:val="20"/>
                <w:szCs w:val="20"/>
              </w:rPr>
            </w:pPr>
            <w:r>
              <w:rPr>
                <w:b/>
                <w:sz w:val="20"/>
                <w:szCs w:val="20"/>
              </w:rPr>
              <w:t>Standard</w:t>
            </w:r>
          </w:p>
        </w:tc>
        <w:tc>
          <w:tcPr>
            <w:tcW w:w="1299" w:type="dxa"/>
            <w:tcBorders>
              <w:top w:val="single" w:sz="4" w:space="0" w:color="auto"/>
              <w:bottom w:val="single" w:sz="4" w:space="0" w:color="000000" w:themeColor="text1"/>
              <w:right w:val="single" w:sz="4" w:space="0" w:color="auto"/>
            </w:tcBorders>
            <w:shd w:val="clear" w:color="auto" w:fill="0B4D2C" w:themeFill="background2" w:themeFillShade="BF"/>
            <w:vAlign w:val="center"/>
          </w:tcPr>
          <w:p w14:paraId="100CEE6A" w14:textId="77777777" w:rsidR="004336BD" w:rsidRDefault="004336BD" w:rsidP="00726720">
            <w:pPr>
              <w:keepNext/>
              <w:keepLines/>
              <w:spacing w:after="0"/>
              <w:jc w:val="center"/>
              <w:rPr>
                <w:b/>
                <w:sz w:val="20"/>
                <w:szCs w:val="20"/>
              </w:rPr>
            </w:pPr>
            <w:r>
              <w:rPr>
                <w:b/>
                <w:sz w:val="20"/>
                <w:szCs w:val="20"/>
              </w:rPr>
              <w:t>Effective</w:t>
            </w:r>
          </w:p>
        </w:tc>
      </w:tr>
      <w:tr w:rsidR="004336BD" w:rsidRPr="00F6205B" w14:paraId="00903A67" w14:textId="77777777" w:rsidTr="00F52E2F">
        <w:trPr>
          <w:trHeight w:val="288"/>
          <w:jc w:val="center"/>
        </w:trPr>
        <w:tc>
          <w:tcPr>
            <w:tcW w:w="1104" w:type="dxa"/>
            <w:vMerge w:val="restart"/>
            <w:tcBorders>
              <w:top w:val="single" w:sz="4" w:space="0" w:color="auto"/>
              <w:left w:val="single" w:sz="4" w:space="0" w:color="auto"/>
              <w:right w:val="single" w:sz="4" w:space="0" w:color="000000" w:themeColor="text1"/>
            </w:tcBorders>
            <w:vAlign w:val="center"/>
          </w:tcPr>
          <w:p w14:paraId="6A16D9A6" w14:textId="77777777" w:rsidR="004336BD" w:rsidRPr="00F6205B" w:rsidRDefault="004336BD" w:rsidP="00726720">
            <w:pPr>
              <w:keepNext/>
              <w:keepLines/>
              <w:spacing w:after="0"/>
              <w:rPr>
                <w:sz w:val="20"/>
                <w:szCs w:val="20"/>
              </w:rPr>
            </w:pPr>
            <w:r>
              <w:rPr>
                <w:sz w:val="20"/>
                <w:szCs w:val="20"/>
              </w:rPr>
              <w:t>Heating</w:t>
            </w:r>
          </w:p>
        </w:tc>
        <w:tc>
          <w:tcPr>
            <w:tcW w:w="2265" w:type="dxa"/>
            <w:tcBorders>
              <w:top w:val="single" w:sz="4" w:space="0" w:color="auto"/>
              <w:bottom w:val="single" w:sz="4" w:space="0" w:color="000000" w:themeColor="text1"/>
            </w:tcBorders>
            <w:vAlign w:val="center"/>
          </w:tcPr>
          <w:p w14:paraId="09A8A254" w14:textId="77777777" w:rsidR="004336BD" w:rsidRPr="00F6205B" w:rsidRDefault="004336BD" w:rsidP="00726720">
            <w:pPr>
              <w:keepNext/>
              <w:keepLines/>
              <w:spacing w:after="0"/>
              <w:rPr>
                <w:sz w:val="20"/>
                <w:szCs w:val="20"/>
              </w:rPr>
            </w:pPr>
            <w:r>
              <w:rPr>
                <w:sz w:val="20"/>
                <w:szCs w:val="20"/>
              </w:rPr>
              <w:t>Oil hydronic boiler</w:t>
            </w:r>
          </w:p>
        </w:tc>
        <w:tc>
          <w:tcPr>
            <w:tcW w:w="1203" w:type="dxa"/>
            <w:vMerge w:val="restart"/>
            <w:tcBorders>
              <w:top w:val="single" w:sz="4" w:space="0" w:color="000000" w:themeColor="text1"/>
              <w:left w:val="single" w:sz="4" w:space="0" w:color="000000" w:themeColor="text1"/>
              <w:right w:val="single" w:sz="4" w:space="0" w:color="auto"/>
            </w:tcBorders>
            <w:vAlign w:val="center"/>
          </w:tcPr>
          <w:p w14:paraId="25682F02" w14:textId="77777777" w:rsidR="004336BD" w:rsidRPr="00F6205B" w:rsidRDefault="004336BD" w:rsidP="00726720">
            <w:pPr>
              <w:keepNext/>
              <w:keepLines/>
              <w:spacing w:after="0"/>
              <w:rPr>
                <w:sz w:val="20"/>
                <w:szCs w:val="20"/>
              </w:rPr>
            </w:pPr>
            <w:r>
              <w:rPr>
                <w:sz w:val="20"/>
                <w:szCs w:val="20"/>
              </w:rPr>
              <w:t>AFUE</w:t>
            </w:r>
          </w:p>
        </w:tc>
        <w:tc>
          <w:tcPr>
            <w:tcW w:w="129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8E025F0" w14:textId="77777777" w:rsidR="004336BD" w:rsidRPr="00F6205B" w:rsidRDefault="004336BD" w:rsidP="00726720">
            <w:pPr>
              <w:keepNext/>
              <w:keepLines/>
              <w:spacing w:after="0"/>
              <w:ind w:left="212" w:right="41"/>
              <w:rPr>
                <w:sz w:val="20"/>
                <w:szCs w:val="20"/>
              </w:rPr>
            </w:pPr>
            <w:r>
              <w:rPr>
                <w:sz w:val="20"/>
                <w:szCs w:val="20"/>
              </w:rPr>
              <w:t>84%</w:t>
            </w:r>
          </w:p>
        </w:tc>
        <w:tc>
          <w:tcPr>
            <w:tcW w:w="129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A1C233B" w14:textId="77777777" w:rsidR="004336BD" w:rsidRPr="00F6205B" w:rsidRDefault="004336BD" w:rsidP="00726720">
            <w:pPr>
              <w:keepNext/>
              <w:keepLines/>
              <w:spacing w:after="0"/>
              <w:ind w:left="266"/>
              <w:rPr>
                <w:sz w:val="20"/>
                <w:szCs w:val="20"/>
              </w:rPr>
            </w:pPr>
            <w:r>
              <w:rPr>
                <w:sz w:val="20"/>
                <w:szCs w:val="20"/>
              </w:rPr>
              <w:t>2012</w:t>
            </w:r>
          </w:p>
        </w:tc>
        <w:tc>
          <w:tcPr>
            <w:tcW w:w="129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64806D5E" w14:textId="77777777" w:rsidR="004336BD" w:rsidRPr="00F6205B" w:rsidRDefault="004336BD" w:rsidP="00726720">
            <w:pPr>
              <w:keepNext/>
              <w:keepLines/>
              <w:spacing w:after="0"/>
              <w:ind w:left="266"/>
              <w:rPr>
                <w:sz w:val="20"/>
                <w:szCs w:val="20"/>
              </w:rPr>
            </w:pPr>
            <w:r>
              <w:rPr>
                <w:sz w:val="20"/>
                <w:szCs w:val="20"/>
              </w:rPr>
              <w:t>86%</w:t>
            </w:r>
          </w:p>
        </w:tc>
        <w:tc>
          <w:tcPr>
            <w:tcW w:w="129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2DF08E4F" w14:textId="77777777" w:rsidR="004336BD" w:rsidRPr="00F6205B" w:rsidRDefault="004336BD" w:rsidP="00726720">
            <w:pPr>
              <w:keepNext/>
              <w:keepLines/>
              <w:spacing w:after="0"/>
              <w:ind w:left="242"/>
              <w:rPr>
                <w:sz w:val="20"/>
                <w:szCs w:val="20"/>
              </w:rPr>
            </w:pPr>
            <w:r>
              <w:rPr>
                <w:sz w:val="20"/>
                <w:szCs w:val="20"/>
              </w:rPr>
              <w:t>2021</w:t>
            </w:r>
          </w:p>
        </w:tc>
      </w:tr>
      <w:tr w:rsidR="004336BD" w:rsidRPr="00F6205B" w14:paraId="08E08C8B" w14:textId="77777777" w:rsidTr="00F52E2F">
        <w:trPr>
          <w:trHeight w:val="288"/>
          <w:jc w:val="center"/>
        </w:trPr>
        <w:tc>
          <w:tcPr>
            <w:tcW w:w="1104" w:type="dxa"/>
            <w:vMerge/>
            <w:tcBorders>
              <w:left w:val="single" w:sz="4" w:space="0" w:color="auto"/>
              <w:right w:val="single" w:sz="4" w:space="0" w:color="000000" w:themeColor="text1"/>
            </w:tcBorders>
            <w:vAlign w:val="center"/>
          </w:tcPr>
          <w:p w14:paraId="381D42C2" w14:textId="77777777" w:rsidR="004336BD" w:rsidRPr="00F6205B" w:rsidRDefault="004336BD" w:rsidP="00726720">
            <w:pPr>
              <w:keepNext/>
              <w:keepLines/>
              <w:spacing w:after="0"/>
              <w:rPr>
                <w:sz w:val="20"/>
                <w:szCs w:val="20"/>
              </w:rPr>
            </w:pPr>
          </w:p>
        </w:tc>
        <w:tc>
          <w:tcPr>
            <w:tcW w:w="2265" w:type="dxa"/>
            <w:tcBorders>
              <w:top w:val="single" w:sz="4" w:space="0" w:color="auto"/>
              <w:bottom w:val="single" w:sz="4" w:space="0" w:color="000000" w:themeColor="text1"/>
            </w:tcBorders>
            <w:vAlign w:val="center"/>
          </w:tcPr>
          <w:p w14:paraId="5596CEF0" w14:textId="77777777" w:rsidR="004336BD" w:rsidRPr="00F6205B" w:rsidRDefault="004336BD" w:rsidP="00726720">
            <w:pPr>
              <w:keepNext/>
              <w:keepLines/>
              <w:spacing w:after="0"/>
              <w:rPr>
                <w:sz w:val="20"/>
                <w:szCs w:val="20"/>
              </w:rPr>
            </w:pPr>
            <w:r>
              <w:rPr>
                <w:sz w:val="20"/>
                <w:szCs w:val="20"/>
              </w:rPr>
              <w:t>Oil steam boiler</w:t>
            </w:r>
          </w:p>
        </w:tc>
        <w:tc>
          <w:tcPr>
            <w:tcW w:w="1203" w:type="dxa"/>
            <w:vMerge/>
            <w:tcBorders>
              <w:left w:val="single" w:sz="4" w:space="0" w:color="000000" w:themeColor="text1"/>
              <w:right w:val="single" w:sz="4" w:space="0" w:color="auto"/>
            </w:tcBorders>
            <w:vAlign w:val="center"/>
          </w:tcPr>
          <w:p w14:paraId="158DB6EA" w14:textId="77777777" w:rsidR="004336BD" w:rsidRPr="00F6205B" w:rsidRDefault="004336BD" w:rsidP="00726720">
            <w:pPr>
              <w:keepNext/>
              <w:keepLines/>
              <w:spacing w:after="0"/>
              <w:rPr>
                <w:sz w:val="20"/>
                <w:szCs w:val="20"/>
              </w:rPr>
            </w:pPr>
          </w:p>
        </w:tc>
        <w:tc>
          <w:tcPr>
            <w:tcW w:w="129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8AEEDCB" w14:textId="77777777" w:rsidR="004336BD" w:rsidRPr="00F6205B" w:rsidRDefault="004336BD" w:rsidP="00726720">
            <w:pPr>
              <w:keepNext/>
              <w:keepLines/>
              <w:spacing w:after="0"/>
              <w:ind w:left="212" w:right="41"/>
              <w:rPr>
                <w:sz w:val="20"/>
                <w:szCs w:val="20"/>
              </w:rPr>
            </w:pPr>
            <w:r>
              <w:rPr>
                <w:sz w:val="20"/>
                <w:szCs w:val="20"/>
              </w:rPr>
              <w:t>82%</w:t>
            </w:r>
          </w:p>
        </w:tc>
        <w:tc>
          <w:tcPr>
            <w:tcW w:w="129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9E58D30" w14:textId="77777777" w:rsidR="004336BD" w:rsidRPr="00F6205B" w:rsidRDefault="004336BD" w:rsidP="00726720">
            <w:pPr>
              <w:keepNext/>
              <w:keepLines/>
              <w:spacing w:after="0"/>
              <w:ind w:left="266"/>
              <w:rPr>
                <w:sz w:val="20"/>
                <w:szCs w:val="20"/>
              </w:rPr>
            </w:pPr>
            <w:r>
              <w:rPr>
                <w:sz w:val="20"/>
                <w:szCs w:val="20"/>
              </w:rPr>
              <w:t>2012</w:t>
            </w:r>
          </w:p>
        </w:tc>
        <w:tc>
          <w:tcPr>
            <w:tcW w:w="129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266661CD" w14:textId="77777777" w:rsidR="004336BD" w:rsidRPr="00F6205B" w:rsidRDefault="004336BD" w:rsidP="00726720">
            <w:pPr>
              <w:keepNext/>
              <w:keepLines/>
              <w:spacing w:after="0"/>
              <w:ind w:left="266"/>
              <w:rPr>
                <w:sz w:val="20"/>
                <w:szCs w:val="20"/>
              </w:rPr>
            </w:pPr>
            <w:r>
              <w:rPr>
                <w:sz w:val="20"/>
                <w:szCs w:val="20"/>
              </w:rPr>
              <w:t>85%</w:t>
            </w:r>
          </w:p>
        </w:tc>
        <w:tc>
          <w:tcPr>
            <w:tcW w:w="129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40C2B683" w14:textId="77777777" w:rsidR="004336BD" w:rsidRPr="00F6205B" w:rsidRDefault="004336BD" w:rsidP="00726720">
            <w:pPr>
              <w:keepNext/>
              <w:keepLines/>
              <w:spacing w:after="0"/>
              <w:ind w:left="242"/>
              <w:rPr>
                <w:sz w:val="20"/>
                <w:szCs w:val="20"/>
              </w:rPr>
            </w:pPr>
            <w:r>
              <w:rPr>
                <w:sz w:val="20"/>
                <w:szCs w:val="20"/>
              </w:rPr>
              <w:t>2021</w:t>
            </w:r>
          </w:p>
        </w:tc>
      </w:tr>
      <w:tr w:rsidR="004336BD" w:rsidRPr="00F6205B" w14:paraId="2C208129" w14:textId="77777777" w:rsidTr="00F52E2F">
        <w:trPr>
          <w:trHeight w:val="288"/>
          <w:jc w:val="center"/>
        </w:trPr>
        <w:tc>
          <w:tcPr>
            <w:tcW w:w="1104" w:type="dxa"/>
            <w:vMerge/>
            <w:tcBorders>
              <w:left w:val="single" w:sz="4" w:space="0" w:color="auto"/>
              <w:right w:val="single" w:sz="4" w:space="0" w:color="000000" w:themeColor="text1"/>
            </w:tcBorders>
            <w:vAlign w:val="center"/>
          </w:tcPr>
          <w:p w14:paraId="297C78E1" w14:textId="77777777" w:rsidR="004336BD" w:rsidRPr="00F6205B" w:rsidRDefault="004336BD" w:rsidP="00726720">
            <w:pPr>
              <w:keepNext/>
              <w:keepLines/>
              <w:spacing w:after="0"/>
              <w:rPr>
                <w:sz w:val="20"/>
                <w:szCs w:val="20"/>
              </w:rPr>
            </w:pPr>
          </w:p>
        </w:tc>
        <w:tc>
          <w:tcPr>
            <w:tcW w:w="2265" w:type="dxa"/>
            <w:tcBorders>
              <w:top w:val="single" w:sz="4" w:space="0" w:color="auto"/>
              <w:bottom w:val="single" w:sz="4" w:space="0" w:color="000000" w:themeColor="text1"/>
            </w:tcBorders>
            <w:vAlign w:val="center"/>
          </w:tcPr>
          <w:p w14:paraId="2736150C" w14:textId="77777777" w:rsidR="004336BD" w:rsidRPr="00F6205B" w:rsidRDefault="004336BD" w:rsidP="00726720">
            <w:pPr>
              <w:keepNext/>
              <w:keepLines/>
              <w:spacing w:after="0"/>
              <w:rPr>
                <w:sz w:val="20"/>
                <w:szCs w:val="20"/>
              </w:rPr>
            </w:pPr>
            <w:r>
              <w:rPr>
                <w:sz w:val="20"/>
                <w:szCs w:val="20"/>
              </w:rPr>
              <w:t>Gas hydronic boiler</w:t>
            </w:r>
          </w:p>
        </w:tc>
        <w:tc>
          <w:tcPr>
            <w:tcW w:w="1203" w:type="dxa"/>
            <w:vMerge/>
            <w:tcBorders>
              <w:left w:val="single" w:sz="4" w:space="0" w:color="000000" w:themeColor="text1"/>
              <w:right w:val="single" w:sz="4" w:space="0" w:color="auto"/>
            </w:tcBorders>
            <w:vAlign w:val="center"/>
          </w:tcPr>
          <w:p w14:paraId="60D247DF" w14:textId="77777777" w:rsidR="004336BD" w:rsidRPr="00F6205B" w:rsidRDefault="004336BD" w:rsidP="00726720">
            <w:pPr>
              <w:keepNext/>
              <w:keepLines/>
              <w:spacing w:after="0"/>
              <w:rPr>
                <w:sz w:val="20"/>
                <w:szCs w:val="20"/>
              </w:rPr>
            </w:pPr>
          </w:p>
        </w:tc>
        <w:tc>
          <w:tcPr>
            <w:tcW w:w="129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E1C2008" w14:textId="77777777" w:rsidR="004336BD" w:rsidRPr="00F6205B" w:rsidRDefault="004336BD" w:rsidP="00726720">
            <w:pPr>
              <w:keepNext/>
              <w:keepLines/>
              <w:spacing w:after="0"/>
              <w:ind w:left="212" w:right="41"/>
              <w:rPr>
                <w:sz w:val="20"/>
                <w:szCs w:val="20"/>
              </w:rPr>
            </w:pPr>
            <w:r>
              <w:rPr>
                <w:sz w:val="20"/>
                <w:szCs w:val="20"/>
              </w:rPr>
              <w:t>82%</w:t>
            </w:r>
          </w:p>
        </w:tc>
        <w:tc>
          <w:tcPr>
            <w:tcW w:w="129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805D3EF" w14:textId="77777777" w:rsidR="004336BD" w:rsidRPr="00F6205B" w:rsidRDefault="004336BD" w:rsidP="00726720">
            <w:pPr>
              <w:keepNext/>
              <w:keepLines/>
              <w:spacing w:after="0"/>
              <w:ind w:left="266"/>
              <w:rPr>
                <w:sz w:val="20"/>
                <w:szCs w:val="20"/>
              </w:rPr>
            </w:pPr>
            <w:r>
              <w:rPr>
                <w:sz w:val="20"/>
                <w:szCs w:val="20"/>
              </w:rPr>
              <w:t>2012</w:t>
            </w:r>
          </w:p>
        </w:tc>
        <w:tc>
          <w:tcPr>
            <w:tcW w:w="129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32A04992" w14:textId="77777777" w:rsidR="004336BD" w:rsidRPr="00F6205B" w:rsidRDefault="004336BD" w:rsidP="00726720">
            <w:pPr>
              <w:keepNext/>
              <w:keepLines/>
              <w:spacing w:after="0"/>
              <w:ind w:left="266"/>
              <w:rPr>
                <w:sz w:val="20"/>
                <w:szCs w:val="20"/>
              </w:rPr>
            </w:pPr>
            <w:r>
              <w:rPr>
                <w:sz w:val="20"/>
                <w:szCs w:val="20"/>
              </w:rPr>
              <w:t>85%</w:t>
            </w:r>
          </w:p>
        </w:tc>
        <w:tc>
          <w:tcPr>
            <w:tcW w:w="129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4A334666" w14:textId="77777777" w:rsidR="004336BD" w:rsidRPr="00F6205B" w:rsidRDefault="004336BD" w:rsidP="00726720">
            <w:pPr>
              <w:keepNext/>
              <w:keepLines/>
              <w:spacing w:after="0"/>
              <w:ind w:left="242"/>
              <w:rPr>
                <w:sz w:val="20"/>
                <w:szCs w:val="20"/>
              </w:rPr>
            </w:pPr>
            <w:r>
              <w:rPr>
                <w:sz w:val="20"/>
                <w:szCs w:val="20"/>
              </w:rPr>
              <w:t>2021</w:t>
            </w:r>
          </w:p>
        </w:tc>
      </w:tr>
      <w:tr w:rsidR="004336BD" w:rsidRPr="00F6205B" w14:paraId="0F95DDCF" w14:textId="77777777" w:rsidTr="00F52E2F">
        <w:trPr>
          <w:trHeight w:val="288"/>
          <w:jc w:val="center"/>
        </w:trPr>
        <w:tc>
          <w:tcPr>
            <w:tcW w:w="1104" w:type="dxa"/>
            <w:vMerge/>
            <w:tcBorders>
              <w:left w:val="single" w:sz="4" w:space="0" w:color="auto"/>
              <w:right w:val="single" w:sz="4" w:space="0" w:color="000000" w:themeColor="text1"/>
            </w:tcBorders>
            <w:vAlign w:val="center"/>
          </w:tcPr>
          <w:p w14:paraId="7607CE05" w14:textId="77777777" w:rsidR="004336BD" w:rsidRPr="00F6205B" w:rsidRDefault="004336BD" w:rsidP="00726720">
            <w:pPr>
              <w:keepNext/>
              <w:keepLines/>
              <w:spacing w:after="0"/>
              <w:rPr>
                <w:sz w:val="20"/>
                <w:szCs w:val="20"/>
              </w:rPr>
            </w:pPr>
          </w:p>
        </w:tc>
        <w:tc>
          <w:tcPr>
            <w:tcW w:w="2265" w:type="dxa"/>
            <w:tcBorders>
              <w:top w:val="single" w:sz="4" w:space="0" w:color="000000" w:themeColor="text1"/>
              <w:bottom w:val="single" w:sz="4" w:space="0" w:color="000000" w:themeColor="text1"/>
            </w:tcBorders>
            <w:vAlign w:val="center"/>
          </w:tcPr>
          <w:p w14:paraId="247784A3" w14:textId="77777777" w:rsidR="004336BD" w:rsidRPr="00F6205B" w:rsidRDefault="004336BD" w:rsidP="00726720">
            <w:pPr>
              <w:keepNext/>
              <w:keepLines/>
              <w:spacing w:after="0"/>
              <w:rPr>
                <w:sz w:val="20"/>
                <w:szCs w:val="20"/>
              </w:rPr>
            </w:pPr>
            <w:r>
              <w:rPr>
                <w:sz w:val="20"/>
                <w:szCs w:val="20"/>
              </w:rPr>
              <w:t>Gas steam boiler</w:t>
            </w:r>
          </w:p>
        </w:tc>
        <w:tc>
          <w:tcPr>
            <w:tcW w:w="1203" w:type="dxa"/>
            <w:vMerge/>
            <w:tcBorders>
              <w:left w:val="single" w:sz="4" w:space="0" w:color="000000" w:themeColor="text1"/>
              <w:right w:val="single" w:sz="4" w:space="0" w:color="auto"/>
            </w:tcBorders>
            <w:vAlign w:val="center"/>
          </w:tcPr>
          <w:p w14:paraId="18282D92" w14:textId="77777777" w:rsidR="004336BD" w:rsidRPr="00F6205B" w:rsidRDefault="004336BD" w:rsidP="00726720">
            <w:pPr>
              <w:keepNext/>
              <w:keepLines/>
              <w:spacing w:after="0"/>
              <w:rPr>
                <w:sz w:val="20"/>
                <w:szCs w:val="20"/>
              </w:rPr>
            </w:pPr>
          </w:p>
        </w:tc>
        <w:tc>
          <w:tcPr>
            <w:tcW w:w="129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868F109" w14:textId="77777777" w:rsidR="004336BD" w:rsidRPr="00F6205B" w:rsidRDefault="004336BD" w:rsidP="00726720">
            <w:pPr>
              <w:keepNext/>
              <w:keepLines/>
              <w:spacing w:after="0"/>
              <w:ind w:left="212" w:right="41"/>
              <w:rPr>
                <w:sz w:val="20"/>
                <w:szCs w:val="20"/>
              </w:rPr>
            </w:pPr>
            <w:r>
              <w:rPr>
                <w:sz w:val="20"/>
                <w:szCs w:val="20"/>
              </w:rPr>
              <w:t>80%</w:t>
            </w:r>
          </w:p>
        </w:tc>
        <w:tc>
          <w:tcPr>
            <w:tcW w:w="129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CF3CC8C" w14:textId="77777777" w:rsidR="004336BD" w:rsidRPr="00F6205B" w:rsidRDefault="004336BD" w:rsidP="00726720">
            <w:pPr>
              <w:keepNext/>
              <w:keepLines/>
              <w:spacing w:after="0"/>
              <w:ind w:left="266"/>
              <w:rPr>
                <w:sz w:val="20"/>
                <w:szCs w:val="20"/>
              </w:rPr>
            </w:pPr>
            <w:r>
              <w:rPr>
                <w:sz w:val="20"/>
                <w:szCs w:val="20"/>
              </w:rPr>
              <w:t>2012</w:t>
            </w:r>
          </w:p>
        </w:tc>
        <w:tc>
          <w:tcPr>
            <w:tcW w:w="129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3FFAEE60" w14:textId="77777777" w:rsidR="004336BD" w:rsidRPr="00F6205B" w:rsidRDefault="004336BD" w:rsidP="00726720">
            <w:pPr>
              <w:keepNext/>
              <w:keepLines/>
              <w:spacing w:after="0"/>
              <w:ind w:left="266"/>
              <w:rPr>
                <w:sz w:val="20"/>
                <w:szCs w:val="20"/>
              </w:rPr>
            </w:pPr>
            <w:r>
              <w:rPr>
                <w:sz w:val="20"/>
                <w:szCs w:val="20"/>
              </w:rPr>
              <w:t>85%</w:t>
            </w:r>
          </w:p>
        </w:tc>
        <w:tc>
          <w:tcPr>
            <w:tcW w:w="129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1897B8B6" w14:textId="77777777" w:rsidR="004336BD" w:rsidRPr="00F6205B" w:rsidRDefault="004336BD" w:rsidP="00726720">
            <w:pPr>
              <w:keepNext/>
              <w:keepLines/>
              <w:spacing w:after="0"/>
              <w:ind w:left="242"/>
              <w:rPr>
                <w:sz w:val="20"/>
                <w:szCs w:val="20"/>
              </w:rPr>
            </w:pPr>
            <w:r>
              <w:rPr>
                <w:sz w:val="20"/>
                <w:szCs w:val="20"/>
              </w:rPr>
              <w:t>2021</w:t>
            </w:r>
          </w:p>
        </w:tc>
      </w:tr>
      <w:tr w:rsidR="004336BD" w:rsidRPr="00F6205B" w14:paraId="6D1A2610" w14:textId="77777777" w:rsidTr="00F52E2F">
        <w:trPr>
          <w:trHeight w:val="288"/>
          <w:jc w:val="center"/>
        </w:trPr>
        <w:tc>
          <w:tcPr>
            <w:tcW w:w="1104" w:type="dxa"/>
            <w:vMerge/>
            <w:tcBorders>
              <w:left w:val="single" w:sz="4" w:space="0" w:color="auto"/>
              <w:right w:val="single" w:sz="4" w:space="0" w:color="000000" w:themeColor="text1"/>
            </w:tcBorders>
            <w:vAlign w:val="center"/>
          </w:tcPr>
          <w:p w14:paraId="036B10D1" w14:textId="77777777" w:rsidR="004336BD" w:rsidRPr="00F6205B" w:rsidRDefault="004336BD" w:rsidP="00726720">
            <w:pPr>
              <w:keepNext/>
              <w:keepLines/>
              <w:spacing w:after="0"/>
              <w:rPr>
                <w:sz w:val="20"/>
                <w:szCs w:val="20"/>
              </w:rPr>
            </w:pPr>
          </w:p>
        </w:tc>
        <w:tc>
          <w:tcPr>
            <w:tcW w:w="2265" w:type="dxa"/>
            <w:tcBorders>
              <w:top w:val="single" w:sz="4" w:space="0" w:color="000000" w:themeColor="text1"/>
              <w:bottom w:val="single" w:sz="4" w:space="0" w:color="000000" w:themeColor="text1"/>
            </w:tcBorders>
            <w:vAlign w:val="center"/>
          </w:tcPr>
          <w:p w14:paraId="3D70C165" w14:textId="77777777" w:rsidR="004336BD" w:rsidRPr="00F6205B" w:rsidRDefault="004336BD" w:rsidP="00726720">
            <w:pPr>
              <w:keepNext/>
              <w:keepLines/>
              <w:spacing w:after="0"/>
              <w:rPr>
                <w:sz w:val="20"/>
                <w:szCs w:val="20"/>
              </w:rPr>
            </w:pPr>
            <w:r>
              <w:rPr>
                <w:sz w:val="20"/>
                <w:szCs w:val="20"/>
              </w:rPr>
              <w:t>LP hydronic boiler</w:t>
            </w:r>
          </w:p>
        </w:tc>
        <w:tc>
          <w:tcPr>
            <w:tcW w:w="1203" w:type="dxa"/>
            <w:vMerge/>
            <w:tcBorders>
              <w:left w:val="single" w:sz="4" w:space="0" w:color="000000" w:themeColor="text1"/>
              <w:right w:val="single" w:sz="4" w:space="0" w:color="auto"/>
            </w:tcBorders>
            <w:vAlign w:val="center"/>
          </w:tcPr>
          <w:p w14:paraId="29B8249F" w14:textId="77777777" w:rsidR="004336BD" w:rsidRPr="00F6205B" w:rsidRDefault="004336BD" w:rsidP="00726720">
            <w:pPr>
              <w:keepNext/>
              <w:keepLines/>
              <w:spacing w:after="0"/>
              <w:rPr>
                <w:sz w:val="20"/>
                <w:szCs w:val="20"/>
              </w:rPr>
            </w:pPr>
          </w:p>
        </w:tc>
        <w:tc>
          <w:tcPr>
            <w:tcW w:w="129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861B4F1" w14:textId="77777777" w:rsidR="004336BD" w:rsidRPr="00F6205B" w:rsidRDefault="004336BD" w:rsidP="00726720">
            <w:pPr>
              <w:keepNext/>
              <w:keepLines/>
              <w:spacing w:after="0"/>
              <w:ind w:left="212" w:right="41"/>
              <w:rPr>
                <w:sz w:val="20"/>
                <w:szCs w:val="20"/>
              </w:rPr>
            </w:pPr>
            <w:r>
              <w:rPr>
                <w:sz w:val="20"/>
                <w:szCs w:val="20"/>
              </w:rPr>
              <w:t>82%</w:t>
            </w:r>
          </w:p>
        </w:tc>
        <w:tc>
          <w:tcPr>
            <w:tcW w:w="129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7673878" w14:textId="77777777" w:rsidR="004336BD" w:rsidRPr="00F6205B" w:rsidRDefault="004336BD" w:rsidP="00726720">
            <w:pPr>
              <w:keepNext/>
              <w:keepLines/>
              <w:spacing w:after="0"/>
              <w:ind w:left="266"/>
              <w:rPr>
                <w:sz w:val="20"/>
                <w:szCs w:val="20"/>
              </w:rPr>
            </w:pPr>
            <w:r>
              <w:rPr>
                <w:sz w:val="20"/>
                <w:szCs w:val="20"/>
              </w:rPr>
              <w:t>2012</w:t>
            </w:r>
          </w:p>
        </w:tc>
        <w:tc>
          <w:tcPr>
            <w:tcW w:w="129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4DEE5944" w14:textId="77777777" w:rsidR="004336BD" w:rsidRPr="00F6205B" w:rsidRDefault="004336BD" w:rsidP="00726720">
            <w:pPr>
              <w:keepNext/>
              <w:keepLines/>
              <w:spacing w:after="0"/>
              <w:ind w:left="266"/>
              <w:rPr>
                <w:sz w:val="20"/>
                <w:szCs w:val="20"/>
              </w:rPr>
            </w:pPr>
            <w:r>
              <w:rPr>
                <w:sz w:val="20"/>
                <w:szCs w:val="20"/>
              </w:rPr>
              <w:t>85%</w:t>
            </w:r>
          </w:p>
        </w:tc>
        <w:tc>
          <w:tcPr>
            <w:tcW w:w="129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4BE36157" w14:textId="77777777" w:rsidR="004336BD" w:rsidRPr="00F6205B" w:rsidRDefault="004336BD" w:rsidP="00726720">
            <w:pPr>
              <w:keepNext/>
              <w:keepLines/>
              <w:spacing w:after="0"/>
              <w:ind w:left="242"/>
              <w:rPr>
                <w:sz w:val="20"/>
                <w:szCs w:val="20"/>
              </w:rPr>
            </w:pPr>
            <w:r>
              <w:rPr>
                <w:sz w:val="20"/>
                <w:szCs w:val="20"/>
              </w:rPr>
              <w:t>2021</w:t>
            </w:r>
          </w:p>
        </w:tc>
      </w:tr>
      <w:tr w:rsidR="004336BD" w:rsidRPr="00F6205B" w14:paraId="4E13BF50" w14:textId="77777777" w:rsidTr="00F52E2F">
        <w:trPr>
          <w:trHeight w:val="288"/>
          <w:jc w:val="center"/>
        </w:trPr>
        <w:tc>
          <w:tcPr>
            <w:tcW w:w="1104" w:type="dxa"/>
            <w:vMerge/>
            <w:tcBorders>
              <w:left w:val="single" w:sz="4" w:space="0" w:color="auto"/>
              <w:right w:val="single" w:sz="4" w:space="0" w:color="000000" w:themeColor="text1"/>
            </w:tcBorders>
            <w:vAlign w:val="center"/>
          </w:tcPr>
          <w:p w14:paraId="1F331D64" w14:textId="77777777" w:rsidR="004336BD" w:rsidRPr="00F6205B" w:rsidRDefault="004336BD" w:rsidP="00726720">
            <w:pPr>
              <w:keepNext/>
              <w:keepLines/>
              <w:spacing w:after="0"/>
              <w:rPr>
                <w:sz w:val="20"/>
                <w:szCs w:val="20"/>
              </w:rPr>
            </w:pPr>
          </w:p>
        </w:tc>
        <w:tc>
          <w:tcPr>
            <w:tcW w:w="2265" w:type="dxa"/>
            <w:tcBorders>
              <w:top w:val="single" w:sz="4" w:space="0" w:color="000000" w:themeColor="text1"/>
              <w:bottom w:val="single" w:sz="4" w:space="0" w:color="auto"/>
            </w:tcBorders>
            <w:vAlign w:val="center"/>
          </w:tcPr>
          <w:p w14:paraId="06FB3643" w14:textId="77777777" w:rsidR="004336BD" w:rsidRPr="00F6205B" w:rsidRDefault="004336BD" w:rsidP="00726720">
            <w:pPr>
              <w:keepNext/>
              <w:keepLines/>
              <w:spacing w:after="0"/>
              <w:rPr>
                <w:sz w:val="20"/>
                <w:szCs w:val="20"/>
              </w:rPr>
            </w:pPr>
            <w:r>
              <w:rPr>
                <w:sz w:val="20"/>
                <w:szCs w:val="20"/>
              </w:rPr>
              <w:t>LP steam boiler</w:t>
            </w:r>
          </w:p>
        </w:tc>
        <w:tc>
          <w:tcPr>
            <w:tcW w:w="1203" w:type="dxa"/>
            <w:vMerge/>
            <w:tcBorders>
              <w:left w:val="single" w:sz="4" w:space="0" w:color="000000" w:themeColor="text1"/>
              <w:right w:val="single" w:sz="4" w:space="0" w:color="auto"/>
            </w:tcBorders>
            <w:vAlign w:val="center"/>
          </w:tcPr>
          <w:p w14:paraId="6E5D4CE7" w14:textId="77777777" w:rsidR="004336BD" w:rsidRPr="00F6205B" w:rsidRDefault="004336BD" w:rsidP="00726720">
            <w:pPr>
              <w:keepNext/>
              <w:keepLines/>
              <w:spacing w:after="0"/>
              <w:rPr>
                <w:sz w:val="20"/>
                <w:szCs w:val="20"/>
              </w:rPr>
            </w:pPr>
          </w:p>
        </w:tc>
        <w:tc>
          <w:tcPr>
            <w:tcW w:w="129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C5C2C56" w14:textId="77777777" w:rsidR="004336BD" w:rsidRPr="00F6205B" w:rsidRDefault="004336BD" w:rsidP="00726720">
            <w:pPr>
              <w:keepNext/>
              <w:keepLines/>
              <w:spacing w:after="0"/>
              <w:ind w:left="212" w:right="41"/>
              <w:rPr>
                <w:sz w:val="20"/>
                <w:szCs w:val="20"/>
              </w:rPr>
            </w:pPr>
            <w:r>
              <w:rPr>
                <w:sz w:val="20"/>
                <w:szCs w:val="20"/>
              </w:rPr>
              <w:t>80%</w:t>
            </w:r>
          </w:p>
        </w:tc>
        <w:tc>
          <w:tcPr>
            <w:tcW w:w="129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71DA0CE" w14:textId="77777777" w:rsidR="004336BD" w:rsidRPr="00F6205B" w:rsidRDefault="004336BD" w:rsidP="00726720">
            <w:pPr>
              <w:keepNext/>
              <w:keepLines/>
              <w:spacing w:after="0"/>
              <w:ind w:left="266"/>
              <w:rPr>
                <w:sz w:val="20"/>
                <w:szCs w:val="20"/>
              </w:rPr>
            </w:pPr>
            <w:r>
              <w:rPr>
                <w:sz w:val="20"/>
                <w:szCs w:val="20"/>
              </w:rPr>
              <w:t>2012</w:t>
            </w:r>
          </w:p>
        </w:tc>
        <w:tc>
          <w:tcPr>
            <w:tcW w:w="129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56AED634" w14:textId="77777777" w:rsidR="004336BD" w:rsidRPr="00F6205B" w:rsidRDefault="004336BD" w:rsidP="00726720">
            <w:pPr>
              <w:keepNext/>
              <w:keepLines/>
              <w:spacing w:after="0"/>
              <w:ind w:left="266"/>
              <w:rPr>
                <w:sz w:val="20"/>
                <w:szCs w:val="20"/>
              </w:rPr>
            </w:pPr>
            <w:r>
              <w:rPr>
                <w:sz w:val="20"/>
                <w:szCs w:val="20"/>
              </w:rPr>
              <w:t>85%</w:t>
            </w:r>
          </w:p>
        </w:tc>
        <w:tc>
          <w:tcPr>
            <w:tcW w:w="129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0C5C5ACA" w14:textId="77777777" w:rsidR="004336BD" w:rsidRPr="00F6205B" w:rsidRDefault="004336BD" w:rsidP="00726720">
            <w:pPr>
              <w:keepNext/>
              <w:keepLines/>
              <w:spacing w:after="0"/>
              <w:ind w:left="242"/>
              <w:rPr>
                <w:sz w:val="20"/>
                <w:szCs w:val="20"/>
              </w:rPr>
            </w:pPr>
            <w:r>
              <w:rPr>
                <w:sz w:val="20"/>
                <w:szCs w:val="20"/>
              </w:rPr>
              <w:t>2021</w:t>
            </w:r>
          </w:p>
        </w:tc>
      </w:tr>
      <w:tr w:rsidR="004336BD" w:rsidRPr="00F6205B" w14:paraId="261FE798" w14:textId="77777777" w:rsidTr="00F52E2F">
        <w:trPr>
          <w:trHeight w:val="288"/>
          <w:jc w:val="center"/>
        </w:trPr>
        <w:tc>
          <w:tcPr>
            <w:tcW w:w="1104" w:type="dxa"/>
            <w:vMerge/>
            <w:tcBorders>
              <w:left w:val="single" w:sz="4" w:space="0" w:color="auto"/>
              <w:right w:val="single" w:sz="4" w:space="0" w:color="000000" w:themeColor="text1"/>
            </w:tcBorders>
            <w:vAlign w:val="center"/>
          </w:tcPr>
          <w:p w14:paraId="669F4849" w14:textId="77777777" w:rsidR="004336BD" w:rsidRPr="00F6205B" w:rsidRDefault="004336BD" w:rsidP="00726720">
            <w:pPr>
              <w:keepNext/>
              <w:keepLines/>
              <w:spacing w:after="0"/>
              <w:rPr>
                <w:sz w:val="20"/>
                <w:szCs w:val="20"/>
              </w:rPr>
            </w:pPr>
          </w:p>
        </w:tc>
        <w:tc>
          <w:tcPr>
            <w:tcW w:w="2265" w:type="dxa"/>
            <w:tcBorders>
              <w:top w:val="single" w:sz="4" w:space="0" w:color="000000" w:themeColor="text1"/>
              <w:bottom w:val="single" w:sz="4" w:space="0" w:color="auto"/>
            </w:tcBorders>
            <w:vAlign w:val="center"/>
          </w:tcPr>
          <w:p w14:paraId="07A50BC3" w14:textId="77777777" w:rsidR="004336BD" w:rsidRDefault="004336BD" w:rsidP="00726720">
            <w:pPr>
              <w:keepNext/>
              <w:keepLines/>
              <w:spacing w:after="0"/>
              <w:rPr>
                <w:sz w:val="20"/>
                <w:szCs w:val="20"/>
              </w:rPr>
            </w:pPr>
            <w:r>
              <w:rPr>
                <w:sz w:val="20"/>
                <w:szCs w:val="20"/>
              </w:rPr>
              <w:t>Oil furnace</w:t>
            </w:r>
          </w:p>
        </w:tc>
        <w:tc>
          <w:tcPr>
            <w:tcW w:w="1203" w:type="dxa"/>
            <w:vMerge/>
            <w:tcBorders>
              <w:left w:val="single" w:sz="4" w:space="0" w:color="000000" w:themeColor="text1"/>
              <w:right w:val="single" w:sz="4" w:space="0" w:color="auto"/>
            </w:tcBorders>
            <w:vAlign w:val="center"/>
          </w:tcPr>
          <w:p w14:paraId="61C0F940" w14:textId="77777777" w:rsidR="004336BD" w:rsidRPr="00F6205B" w:rsidRDefault="004336BD" w:rsidP="00726720">
            <w:pPr>
              <w:keepNext/>
              <w:keepLines/>
              <w:spacing w:after="0"/>
              <w:rPr>
                <w:sz w:val="20"/>
                <w:szCs w:val="20"/>
              </w:rPr>
            </w:pPr>
          </w:p>
        </w:tc>
        <w:tc>
          <w:tcPr>
            <w:tcW w:w="129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326FC0B" w14:textId="77777777" w:rsidR="004336BD" w:rsidRPr="00F6205B" w:rsidRDefault="004336BD" w:rsidP="00726720">
            <w:pPr>
              <w:keepNext/>
              <w:keepLines/>
              <w:spacing w:after="0"/>
              <w:ind w:left="212" w:right="41"/>
              <w:rPr>
                <w:sz w:val="20"/>
                <w:szCs w:val="20"/>
              </w:rPr>
            </w:pPr>
            <w:r>
              <w:rPr>
                <w:sz w:val="20"/>
                <w:szCs w:val="20"/>
              </w:rPr>
              <w:t>83%</w:t>
            </w:r>
          </w:p>
        </w:tc>
        <w:tc>
          <w:tcPr>
            <w:tcW w:w="129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9A00C22" w14:textId="77777777" w:rsidR="004336BD" w:rsidRPr="00F6205B" w:rsidRDefault="004336BD" w:rsidP="00726720">
            <w:pPr>
              <w:keepNext/>
              <w:keepLines/>
              <w:spacing w:after="0"/>
              <w:ind w:left="266"/>
              <w:rPr>
                <w:sz w:val="20"/>
                <w:szCs w:val="20"/>
              </w:rPr>
            </w:pPr>
            <w:r>
              <w:rPr>
                <w:sz w:val="20"/>
                <w:szCs w:val="20"/>
              </w:rPr>
              <w:t>2015</w:t>
            </w:r>
          </w:p>
        </w:tc>
        <w:tc>
          <w:tcPr>
            <w:tcW w:w="129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1BFE61E6" w14:textId="77777777" w:rsidR="004336BD" w:rsidRPr="00F6205B" w:rsidRDefault="004336BD" w:rsidP="00726720">
            <w:pPr>
              <w:keepNext/>
              <w:keepLines/>
              <w:spacing w:after="0"/>
              <w:ind w:left="266"/>
              <w:rPr>
                <w:sz w:val="20"/>
                <w:szCs w:val="20"/>
              </w:rPr>
            </w:pPr>
            <w:r>
              <w:rPr>
                <w:sz w:val="20"/>
                <w:szCs w:val="20"/>
              </w:rPr>
              <w:t>85%</w:t>
            </w:r>
          </w:p>
        </w:tc>
        <w:tc>
          <w:tcPr>
            <w:tcW w:w="129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08FE7D77" w14:textId="77777777" w:rsidR="004336BD" w:rsidRPr="00F6205B" w:rsidRDefault="004336BD" w:rsidP="00726720">
            <w:pPr>
              <w:keepNext/>
              <w:keepLines/>
              <w:spacing w:after="0"/>
              <w:ind w:left="242"/>
              <w:rPr>
                <w:sz w:val="20"/>
                <w:szCs w:val="20"/>
              </w:rPr>
            </w:pPr>
            <w:r>
              <w:rPr>
                <w:sz w:val="20"/>
                <w:szCs w:val="20"/>
              </w:rPr>
              <w:t>2021</w:t>
            </w:r>
          </w:p>
        </w:tc>
      </w:tr>
      <w:tr w:rsidR="004336BD" w:rsidRPr="00F6205B" w14:paraId="153ACECF" w14:textId="77777777" w:rsidTr="00F52E2F">
        <w:trPr>
          <w:trHeight w:val="288"/>
          <w:jc w:val="center"/>
        </w:trPr>
        <w:tc>
          <w:tcPr>
            <w:tcW w:w="1104" w:type="dxa"/>
            <w:vMerge/>
            <w:tcBorders>
              <w:left w:val="single" w:sz="4" w:space="0" w:color="auto"/>
              <w:right w:val="single" w:sz="4" w:space="0" w:color="000000" w:themeColor="text1"/>
            </w:tcBorders>
            <w:vAlign w:val="center"/>
          </w:tcPr>
          <w:p w14:paraId="31046FE3" w14:textId="77777777" w:rsidR="004336BD" w:rsidRPr="00F6205B" w:rsidRDefault="004336BD" w:rsidP="00726720">
            <w:pPr>
              <w:keepNext/>
              <w:keepLines/>
              <w:spacing w:after="0"/>
              <w:rPr>
                <w:sz w:val="20"/>
                <w:szCs w:val="20"/>
              </w:rPr>
            </w:pPr>
          </w:p>
        </w:tc>
        <w:tc>
          <w:tcPr>
            <w:tcW w:w="2265" w:type="dxa"/>
            <w:tcBorders>
              <w:top w:val="single" w:sz="4" w:space="0" w:color="000000" w:themeColor="text1"/>
              <w:bottom w:val="single" w:sz="4" w:space="0" w:color="auto"/>
            </w:tcBorders>
            <w:vAlign w:val="center"/>
          </w:tcPr>
          <w:p w14:paraId="12451DC0" w14:textId="77777777" w:rsidR="004336BD" w:rsidRDefault="004336BD" w:rsidP="00726720">
            <w:pPr>
              <w:keepNext/>
              <w:keepLines/>
              <w:spacing w:after="0"/>
              <w:rPr>
                <w:sz w:val="20"/>
                <w:szCs w:val="20"/>
              </w:rPr>
            </w:pPr>
            <w:r>
              <w:rPr>
                <w:sz w:val="20"/>
                <w:szCs w:val="20"/>
              </w:rPr>
              <w:t>Gas furnace</w:t>
            </w:r>
          </w:p>
        </w:tc>
        <w:tc>
          <w:tcPr>
            <w:tcW w:w="1203" w:type="dxa"/>
            <w:vMerge/>
            <w:tcBorders>
              <w:left w:val="single" w:sz="4" w:space="0" w:color="000000" w:themeColor="text1"/>
              <w:right w:val="single" w:sz="4" w:space="0" w:color="auto"/>
            </w:tcBorders>
            <w:vAlign w:val="center"/>
          </w:tcPr>
          <w:p w14:paraId="009310C4" w14:textId="77777777" w:rsidR="004336BD" w:rsidRPr="00F6205B" w:rsidRDefault="004336BD" w:rsidP="00726720">
            <w:pPr>
              <w:keepNext/>
              <w:keepLines/>
              <w:spacing w:after="0"/>
              <w:rPr>
                <w:sz w:val="20"/>
                <w:szCs w:val="20"/>
              </w:rPr>
            </w:pPr>
          </w:p>
        </w:tc>
        <w:tc>
          <w:tcPr>
            <w:tcW w:w="129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4F6E3A8" w14:textId="77777777" w:rsidR="004336BD" w:rsidRPr="00F6205B" w:rsidRDefault="004336BD" w:rsidP="00726720">
            <w:pPr>
              <w:keepNext/>
              <w:keepLines/>
              <w:spacing w:after="0"/>
              <w:ind w:left="212" w:right="41"/>
              <w:rPr>
                <w:sz w:val="20"/>
                <w:szCs w:val="20"/>
              </w:rPr>
            </w:pPr>
            <w:r>
              <w:rPr>
                <w:sz w:val="20"/>
                <w:szCs w:val="20"/>
              </w:rPr>
              <w:t>80%</w:t>
            </w:r>
          </w:p>
        </w:tc>
        <w:tc>
          <w:tcPr>
            <w:tcW w:w="129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E885D34" w14:textId="77777777" w:rsidR="004336BD" w:rsidRPr="00F6205B" w:rsidRDefault="004336BD" w:rsidP="00726720">
            <w:pPr>
              <w:keepNext/>
              <w:keepLines/>
              <w:spacing w:after="0"/>
              <w:ind w:left="266"/>
              <w:rPr>
                <w:sz w:val="20"/>
                <w:szCs w:val="20"/>
              </w:rPr>
            </w:pPr>
            <w:r>
              <w:rPr>
                <w:sz w:val="20"/>
                <w:szCs w:val="20"/>
              </w:rPr>
              <w:t>2015</w:t>
            </w:r>
          </w:p>
        </w:tc>
        <w:tc>
          <w:tcPr>
            <w:tcW w:w="129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406C6992" w14:textId="77777777" w:rsidR="004336BD" w:rsidRPr="00F6205B" w:rsidRDefault="004336BD" w:rsidP="00726720">
            <w:pPr>
              <w:keepNext/>
              <w:keepLines/>
              <w:spacing w:after="0"/>
              <w:ind w:left="266"/>
              <w:rPr>
                <w:sz w:val="20"/>
                <w:szCs w:val="20"/>
              </w:rPr>
            </w:pPr>
            <w:r>
              <w:rPr>
                <w:sz w:val="20"/>
                <w:szCs w:val="20"/>
              </w:rPr>
              <w:t>92%</w:t>
            </w:r>
          </w:p>
        </w:tc>
        <w:tc>
          <w:tcPr>
            <w:tcW w:w="129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1A1AE7C9" w14:textId="77777777" w:rsidR="004336BD" w:rsidRPr="00F6205B" w:rsidRDefault="004336BD" w:rsidP="00726720">
            <w:pPr>
              <w:keepNext/>
              <w:keepLines/>
              <w:spacing w:after="0"/>
              <w:ind w:left="242"/>
              <w:rPr>
                <w:sz w:val="20"/>
                <w:szCs w:val="20"/>
              </w:rPr>
            </w:pPr>
            <w:r>
              <w:rPr>
                <w:sz w:val="20"/>
                <w:szCs w:val="20"/>
              </w:rPr>
              <w:t>2021</w:t>
            </w:r>
          </w:p>
        </w:tc>
      </w:tr>
      <w:tr w:rsidR="004336BD" w:rsidRPr="00F6205B" w14:paraId="15D97499" w14:textId="77777777" w:rsidTr="00F52E2F">
        <w:trPr>
          <w:trHeight w:val="288"/>
          <w:jc w:val="center"/>
        </w:trPr>
        <w:tc>
          <w:tcPr>
            <w:tcW w:w="1104" w:type="dxa"/>
            <w:vMerge/>
            <w:tcBorders>
              <w:left w:val="single" w:sz="4" w:space="0" w:color="auto"/>
              <w:right w:val="single" w:sz="4" w:space="0" w:color="000000" w:themeColor="text1"/>
            </w:tcBorders>
            <w:vAlign w:val="center"/>
          </w:tcPr>
          <w:p w14:paraId="0C1C84F0" w14:textId="77777777" w:rsidR="004336BD" w:rsidRPr="00F6205B" w:rsidRDefault="004336BD" w:rsidP="00726720">
            <w:pPr>
              <w:keepNext/>
              <w:keepLines/>
              <w:spacing w:after="0"/>
              <w:rPr>
                <w:sz w:val="20"/>
                <w:szCs w:val="20"/>
              </w:rPr>
            </w:pPr>
          </w:p>
        </w:tc>
        <w:tc>
          <w:tcPr>
            <w:tcW w:w="2265" w:type="dxa"/>
            <w:tcBorders>
              <w:top w:val="single" w:sz="4" w:space="0" w:color="auto"/>
              <w:bottom w:val="single" w:sz="4" w:space="0" w:color="auto"/>
            </w:tcBorders>
            <w:vAlign w:val="center"/>
          </w:tcPr>
          <w:p w14:paraId="3D24A555" w14:textId="77777777" w:rsidR="004336BD" w:rsidRPr="00F6205B" w:rsidRDefault="004336BD" w:rsidP="00726720">
            <w:pPr>
              <w:keepNext/>
              <w:keepLines/>
              <w:spacing w:after="0"/>
              <w:rPr>
                <w:sz w:val="20"/>
                <w:szCs w:val="20"/>
              </w:rPr>
            </w:pPr>
            <w:r>
              <w:rPr>
                <w:sz w:val="20"/>
                <w:szCs w:val="20"/>
              </w:rPr>
              <w:t>LP furnace</w:t>
            </w:r>
          </w:p>
        </w:tc>
        <w:tc>
          <w:tcPr>
            <w:tcW w:w="1203" w:type="dxa"/>
            <w:vMerge/>
            <w:tcBorders>
              <w:left w:val="single" w:sz="4" w:space="0" w:color="000000" w:themeColor="text1"/>
              <w:right w:val="single" w:sz="4" w:space="0" w:color="auto"/>
            </w:tcBorders>
            <w:vAlign w:val="center"/>
          </w:tcPr>
          <w:p w14:paraId="41E785EB" w14:textId="77777777" w:rsidR="004336BD" w:rsidRPr="00F6205B" w:rsidRDefault="004336BD" w:rsidP="00726720">
            <w:pPr>
              <w:keepNext/>
              <w:keepLines/>
              <w:spacing w:after="0"/>
              <w:rPr>
                <w:sz w:val="20"/>
                <w:szCs w:val="20"/>
              </w:rPr>
            </w:pPr>
          </w:p>
        </w:tc>
        <w:tc>
          <w:tcPr>
            <w:tcW w:w="129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A09729E" w14:textId="77777777" w:rsidR="004336BD" w:rsidRPr="00F6205B" w:rsidRDefault="004336BD" w:rsidP="00726720">
            <w:pPr>
              <w:keepNext/>
              <w:keepLines/>
              <w:spacing w:after="0"/>
              <w:ind w:left="212" w:right="41"/>
              <w:rPr>
                <w:sz w:val="20"/>
                <w:szCs w:val="20"/>
              </w:rPr>
            </w:pPr>
            <w:r>
              <w:rPr>
                <w:sz w:val="20"/>
                <w:szCs w:val="20"/>
              </w:rPr>
              <w:t>80%</w:t>
            </w:r>
          </w:p>
        </w:tc>
        <w:tc>
          <w:tcPr>
            <w:tcW w:w="129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77F06F8" w14:textId="77777777" w:rsidR="004336BD" w:rsidRPr="00F6205B" w:rsidRDefault="004336BD" w:rsidP="00726720">
            <w:pPr>
              <w:keepNext/>
              <w:keepLines/>
              <w:spacing w:after="0"/>
              <w:ind w:left="266"/>
              <w:rPr>
                <w:sz w:val="20"/>
                <w:szCs w:val="20"/>
              </w:rPr>
            </w:pPr>
            <w:r>
              <w:rPr>
                <w:sz w:val="20"/>
                <w:szCs w:val="20"/>
              </w:rPr>
              <w:t>2015</w:t>
            </w:r>
          </w:p>
        </w:tc>
        <w:tc>
          <w:tcPr>
            <w:tcW w:w="129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2F3B1D54" w14:textId="77777777" w:rsidR="004336BD" w:rsidRPr="00F6205B" w:rsidRDefault="004336BD" w:rsidP="00726720">
            <w:pPr>
              <w:keepNext/>
              <w:keepLines/>
              <w:spacing w:after="0"/>
              <w:ind w:left="266"/>
              <w:rPr>
                <w:sz w:val="20"/>
                <w:szCs w:val="20"/>
              </w:rPr>
            </w:pPr>
            <w:r>
              <w:rPr>
                <w:sz w:val="20"/>
                <w:szCs w:val="20"/>
              </w:rPr>
              <w:t>92%</w:t>
            </w:r>
          </w:p>
        </w:tc>
        <w:tc>
          <w:tcPr>
            <w:tcW w:w="129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09E0F310" w14:textId="77777777" w:rsidR="004336BD" w:rsidRPr="00F6205B" w:rsidRDefault="004336BD" w:rsidP="00726720">
            <w:pPr>
              <w:keepNext/>
              <w:keepLines/>
              <w:spacing w:after="0"/>
              <w:ind w:left="242"/>
              <w:rPr>
                <w:sz w:val="20"/>
                <w:szCs w:val="20"/>
              </w:rPr>
            </w:pPr>
            <w:r>
              <w:rPr>
                <w:sz w:val="20"/>
                <w:szCs w:val="20"/>
              </w:rPr>
              <w:t>2021</w:t>
            </w:r>
          </w:p>
        </w:tc>
      </w:tr>
      <w:tr w:rsidR="004336BD" w:rsidRPr="00F6205B" w14:paraId="55B0DD8B" w14:textId="77777777" w:rsidTr="00726720">
        <w:trPr>
          <w:trHeight w:val="288"/>
          <w:jc w:val="center"/>
        </w:trPr>
        <w:tc>
          <w:tcPr>
            <w:tcW w:w="1104" w:type="dxa"/>
            <w:vMerge w:val="restart"/>
            <w:tcBorders>
              <w:left w:val="single" w:sz="4" w:space="0" w:color="auto"/>
              <w:right w:val="single" w:sz="4" w:space="0" w:color="000000" w:themeColor="text1"/>
            </w:tcBorders>
            <w:vAlign w:val="center"/>
          </w:tcPr>
          <w:p w14:paraId="525AC582" w14:textId="77777777" w:rsidR="004336BD" w:rsidRPr="00A939AE" w:rsidRDefault="004336BD" w:rsidP="00726720">
            <w:pPr>
              <w:keepNext/>
              <w:keepLines/>
              <w:spacing w:after="0"/>
              <w:rPr>
                <w:sz w:val="20"/>
                <w:szCs w:val="20"/>
              </w:rPr>
            </w:pPr>
            <w:r>
              <w:rPr>
                <w:sz w:val="20"/>
                <w:szCs w:val="20"/>
              </w:rPr>
              <w:t>Cooling</w:t>
            </w:r>
          </w:p>
        </w:tc>
        <w:tc>
          <w:tcPr>
            <w:tcW w:w="2265" w:type="dxa"/>
            <w:tcBorders>
              <w:top w:val="single" w:sz="4" w:space="0" w:color="auto"/>
              <w:bottom w:val="single" w:sz="4" w:space="0" w:color="000000" w:themeColor="text1"/>
            </w:tcBorders>
            <w:vAlign w:val="center"/>
          </w:tcPr>
          <w:p w14:paraId="7F57E157" w14:textId="77777777" w:rsidR="004336BD" w:rsidRDefault="004336BD" w:rsidP="00726720">
            <w:pPr>
              <w:keepNext/>
              <w:keepLines/>
              <w:spacing w:after="0"/>
              <w:rPr>
                <w:sz w:val="20"/>
                <w:szCs w:val="20"/>
              </w:rPr>
            </w:pPr>
            <w:r>
              <w:rPr>
                <w:sz w:val="20"/>
                <w:szCs w:val="20"/>
              </w:rPr>
              <w:t>Central air conditioner</w:t>
            </w:r>
          </w:p>
        </w:tc>
        <w:tc>
          <w:tcPr>
            <w:tcW w:w="1203" w:type="dxa"/>
            <w:tcBorders>
              <w:left w:val="single" w:sz="4" w:space="0" w:color="000000" w:themeColor="text1"/>
              <w:bottom w:val="single" w:sz="4" w:space="0" w:color="000000" w:themeColor="text1"/>
              <w:right w:val="single" w:sz="4" w:space="0" w:color="auto"/>
            </w:tcBorders>
            <w:vAlign w:val="center"/>
          </w:tcPr>
          <w:p w14:paraId="696CD3FE" w14:textId="77777777" w:rsidR="004336BD" w:rsidRPr="00F6205B" w:rsidRDefault="004336BD" w:rsidP="00726720">
            <w:pPr>
              <w:keepNext/>
              <w:keepLines/>
              <w:spacing w:after="0"/>
              <w:rPr>
                <w:sz w:val="20"/>
                <w:szCs w:val="20"/>
              </w:rPr>
            </w:pPr>
            <w:r>
              <w:rPr>
                <w:sz w:val="20"/>
                <w:szCs w:val="20"/>
              </w:rPr>
              <w:t>SEER</w:t>
            </w:r>
          </w:p>
        </w:tc>
        <w:tc>
          <w:tcPr>
            <w:tcW w:w="129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F0DAE30" w14:textId="77777777" w:rsidR="004336BD" w:rsidRDefault="004336BD" w:rsidP="00726720">
            <w:pPr>
              <w:keepNext/>
              <w:keepLines/>
              <w:spacing w:after="0"/>
              <w:ind w:left="212" w:right="41"/>
              <w:rPr>
                <w:sz w:val="20"/>
                <w:szCs w:val="20"/>
              </w:rPr>
            </w:pPr>
            <w:r>
              <w:rPr>
                <w:sz w:val="20"/>
                <w:szCs w:val="20"/>
              </w:rPr>
              <w:t>13.0</w:t>
            </w:r>
          </w:p>
        </w:tc>
        <w:tc>
          <w:tcPr>
            <w:tcW w:w="129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AE02508" w14:textId="77777777" w:rsidR="004336BD" w:rsidRDefault="004336BD" w:rsidP="00726720">
            <w:pPr>
              <w:keepNext/>
              <w:keepLines/>
              <w:spacing w:after="0"/>
              <w:ind w:left="266"/>
              <w:rPr>
                <w:sz w:val="20"/>
                <w:szCs w:val="20"/>
              </w:rPr>
            </w:pPr>
            <w:r>
              <w:rPr>
                <w:sz w:val="20"/>
                <w:szCs w:val="20"/>
              </w:rPr>
              <w:t>2015</w:t>
            </w:r>
          </w:p>
        </w:tc>
        <w:tc>
          <w:tcPr>
            <w:tcW w:w="129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3F96339" w14:textId="77777777" w:rsidR="004336BD" w:rsidRDefault="004336BD" w:rsidP="00726720">
            <w:pPr>
              <w:keepNext/>
              <w:keepLines/>
              <w:spacing w:after="0"/>
              <w:ind w:left="266"/>
              <w:rPr>
                <w:sz w:val="20"/>
                <w:szCs w:val="20"/>
              </w:rPr>
            </w:pPr>
            <w:r>
              <w:rPr>
                <w:sz w:val="20"/>
                <w:szCs w:val="20"/>
              </w:rPr>
              <w:t>14.0</w:t>
            </w:r>
          </w:p>
        </w:tc>
        <w:tc>
          <w:tcPr>
            <w:tcW w:w="129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16047D7" w14:textId="77777777" w:rsidR="004336BD" w:rsidRDefault="004336BD" w:rsidP="00726720">
            <w:pPr>
              <w:keepNext/>
              <w:keepLines/>
              <w:spacing w:after="0"/>
              <w:ind w:left="242"/>
              <w:rPr>
                <w:sz w:val="20"/>
                <w:szCs w:val="20"/>
              </w:rPr>
            </w:pPr>
            <w:r>
              <w:rPr>
                <w:sz w:val="20"/>
                <w:szCs w:val="20"/>
              </w:rPr>
              <w:t>2022</w:t>
            </w:r>
          </w:p>
        </w:tc>
      </w:tr>
      <w:tr w:rsidR="004336BD" w:rsidRPr="00F6205B" w14:paraId="362159E9" w14:textId="77777777" w:rsidTr="00F52E2F">
        <w:trPr>
          <w:trHeight w:val="288"/>
          <w:jc w:val="center"/>
        </w:trPr>
        <w:tc>
          <w:tcPr>
            <w:tcW w:w="1104" w:type="dxa"/>
            <w:vMerge/>
            <w:tcBorders>
              <w:left w:val="single" w:sz="4" w:space="0" w:color="auto"/>
              <w:bottom w:val="single" w:sz="4" w:space="0" w:color="000000" w:themeColor="text1"/>
              <w:right w:val="single" w:sz="4" w:space="0" w:color="000000" w:themeColor="text1"/>
            </w:tcBorders>
            <w:vAlign w:val="center"/>
          </w:tcPr>
          <w:p w14:paraId="7D30008C" w14:textId="77777777" w:rsidR="004336BD" w:rsidRPr="00F6205B" w:rsidRDefault="004336BD" w:rsidP="00726720">
            <w:pPr>
              <w:keepNext/>
              <w:keepLines/>
              <w:spacing w:after="0"/>
              <w:rPr>
                <w:sz w:val="20"/>
                <w:szCs w:val="20"/>
              </w:rPr>
            </w:pPr>
          </w:p>
        </w:tc>
        <w:tc>
          <w:tcPr>
            <w:tcW w:w="2265" w:type="dxa"/>
            <w:tcBorders>
              <w:top w:val="single" w:sz="4" w:space="0" w:color="auto"/>
              <w:bottom w:val="single" w:sz="4" w:space="0" w:color="000000" w:themeColor="text1"/>
            </w:tcBorders>
            <w:vAlign w:val="center"/>
          </w:tcPr>
          <w:p w14:paraId="35920002" w14:textId="77777777" w:rsidR="004336BD" w:rsidRDefault="004336BD" w:rsidP="00726720">
            <w:pPr>
              <w:keepNext/>
              <w:keepLines/>
              <w:spacing w:after="0"/>
              <w:rPr>
                <w:sz w:val="20"/>
                <w:szCs w:val="20"/>
              </w:rPr>
            </w:pPr>
            <w:r>
              <w:rPr>
                <w:sz w:val="20"/>
                <w:szCs w:val="20"/>
              </w:rPr>
              <w:t>Room air conditioner</w:t>
            </w:r>
          </w:p>
        </w:tc>
        <w:tc>
          <w:tcPr>
            <w:tcW w:w="1203" w:type="dxa"/>
            <w:tcBorders>
              <w:left w:val="single" w:sz="4" w:space="0" w:color="000000" w:themeColor="text1"/>
              <w:bottom w:val="single" w:sz="4" w:space="0" w:color="000000" w:themeColor="text1"/>
              <w:right w:val="single" w:sz="4" w:space="0" w:color="auto"/>
            </w:tcBorders>
            <w:vAlign w:val="center"/>
          </w:tcPr>
          <w:p w14:paraId="3D171E06" w14:textId="77777777" w:rsidR="004336BD" w:rsidRPr="00F6205B" w:rsidRDefault="004336BD" w:rsidP="00726720">
            <w:pPr>
              <w:keepNext/>
              <w:keepLines/>
              <w:spacing w:after="0"/>
              <w:rPr>
                <w:sz w:val="20"/>
                <w:szCs w:val="20"/>
              </w:rPr>
            </w:pPr>
            <w:r>
              <w:rPr>
                <w:sz w:val="20"/>
                <w:szCs w:val="20"/>
              </w:rPr>
              <w:t>EER</w:t>
            </w:r>
          </w:p>
        </w:tc>
        <w:tc>
          <w:tcPr>
            <w:tcW w:w="129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AE7A917" w14:textId="77777777" w:rsidR="004336BD" w:rsidRDefault="004336BD" w:rsidP="00726720">
            <w:pPr>
              <w:keepNext/>
              <w:keepLines/>
              <w:spacing w:after="0"/>
              <w:ind w:left="212" w:right="41"/>
              <w:rPr>
                <w:sz w:val="20"/>
                <w:szCs w:val="20"/>
              </w:rPr>
            </w:pPr>
            <w:r>
              <w:rPr>
                <w:sz w:val="20"/>
                <w:szCs w:val="20"/>
              </w:rPr>
              <w:t>10.6</w:t>
            </w:r>
          </w:p>
        </w:tc>
        <w:tc>
          <w:tcPr>
            <w:tcW w:w="129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44EBA2F" w14:textId="77777777" w:rsidR="004336BD" w:rsidRDefault="004336BD" w:rsidP="00726720">
            <w:pPr>
              <w:keepNext/>
              <w:keepLines/>
              <w:spacing w:after="0"/>
              <w:ind w:left="266"/>
              <w:rPr>
                <w:sz w:val="20"/>
                <w:szCs w:val="20"/>
              </w:rPr>
            </w:pPr>
            <w:r>
              <w:rPr>
                <w:sz w:val="20"/>
                <w:szCs w:val="20"/>
              </w:rPr>
              <w:t>2014</w:t>
            </w:r>
          </w:p>
        </w:tc>
        <w:tc>
          <w:tcPr>
            <w:tcW w:w="129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1F8FE" w:themeFill="accent4" w:themeFillTint="33"/>
            <w:vAlign w:val="center"/>
          </w:tcPr>
          <w:p w14:paraId="3B498D51" w14:textId="77777777" w:rsidR="004336BD" w:rsidRDefault="004336BD" w:rsidP="00726720">
            <w:pPr>
              <w:keepNext/>
              <w:keepLines/>
              <w:spacing w:after="0"/>
              <w:ind w:left="266"/>
              <w:rPr>
                <w:sz w:val="20"/>
                <w:szCs w:val="20"/>
              </w:rPr>
            </w:pPr>
            <w:r>
              <w:rPr>
                <w:sz w:val="20"/>
                <w:szCs w:val="20"/>
              </w:rPr>
              <w:t>11.9</w:t>
            </w:r>
          </w:p>
        </w:tc>
        <w:tc>
          <w:tcPr>
            <w:tcW w:w="129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1F8FE" w:themeFill="accent4" w:themeFillTint="33"/>
            <w:vAlign w:val="center"/>
          </w:tcPr>
          <w:p w14:paraId="0FBF3A04" w14:textId="77777777" w:rsidR="004336BD" w:rsidRDefault="004336BD" w:rsidP="00726720">
            <w:pPr>
              <w:keepNext/>
              <w:keepLines/>
              <w:spacing w:after="0"/>
              <w:ind w:left="242"/>
              <w:rPr>
                <w:sz w:val="20"/>
                <w:szCs w:val="20"/>
              </w:rPr>
            </w:pPr>
            <w:r>
              <w:rPr>
                <w:sz w:val="20"/>
                <w:szCs w:val="20"/>
              </w:rPr>
              <w:t>2020</w:t>
            </w:r>
          </w:p>
        </w:tc>
      </w:tr>
    </w:tbl>
    <w:p w14:paraId="38830ACC" w14:textId="77777777" w:rsidR="004336BD" w:rsidRDefault="004336BD" w:rsidP="004336BD">
      <w:pPr>
        <w:rPr>
          <w:lang w:bidi="ar-SA"/>
        </w:rPr>
      </w:pPr>
    </w:p>
    <w:p w14:paraId="16421512" w14:textId="77777777" w:rsidR="004336BD" w:rsidRDefault="004336BD" w:rsidP="004336BD">
      <w:pPr>
        <w:pStyle w:val="Caption"/>
      </w:pPr>
      <w:bookmarkStart w:id="530" w:name="_Toc439931883"/>
      <w:r>
        <w:t xml:space="preserve">Table </w:t>
      </w:r>
      <w:fldSimple w:instr=" SEQ Table \* ARABIC ">
        <w:r w:rsidR="00FA26A9">
          <w:rPr>
            <w:noProof/>
          </w:rPr>
          <w:t>52</w:t>
        </w:r>
      </w:fldSimple>
      <w:r>
        <w:t>: Federal Standards for Water Heating Equipment</w:t>
      </w:r>
      <w:bookmarkEnd w:id="530"/>
    </w:p>
    <w:tbl>
      <w:tblPr>
        <w:tblStyle w:val="TableGrid"/>
        <w:tblW w:w="9047"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1620"/>
        <w:gridCol w:w="1080"/>
        <w:gridCol w:w="1851"/>
        <w:gridCol w:w="2029"/>
        <w:gridCol w:w="2467"/>
      </w:tblGrid>
      <w:tr w:rsidR="004336BD" w:rsidRPr="00F6205B" w14:paraId="48634E66" w14:textId="77777777" w:rsidTr="00726720">
        <w:trPr>
          <w:trHeight w:val="827"/>
          <w:jc w:val="center"/>
        </w:trPr>
        <w:tc>
          <w:tcPr>
            <w:tcW w:w="1620" w:type="dxa"/>
            <w:tcBorders>
              <w:top w:val="single" w:sz="4" w:space="0" w:color="auto"/>
              <w:left w:val="single" w:sz="4" w:space="0" w:color="auto"/>
              <w:right w:val="single" w:sz="4" w:space="0" w:color="auto"/>
            </w:tcBorders>
            <w:shd w:val="clear" w:color="auto" w:fill="0B4D2C" w:themeFill="background2" w:themeFillShade="BF"/>
            <w:vAlign w:val="center"/>
          </w:tcPr>
          <w:p w14:paraId="002F08AB" w14:textId="77777777" w:rsidR="004336BD" w:rsidRPr="00F6205B" w:rsidRDefault="004336BD" w:rsidP="00726720">
            <w:pPr>
              <w:keepNext/>
              <w:keepLines/>
              <w:spacing w:after="0"/>
              <w:rPr>
                <w:b/>
                <w:sz w:val="20"/>
                <w:szCs w:val="20"/>
              </w:rPr>
            </w:pPr>
            <w:r>
              <w:rPr>
                <w:b/>
                <w:sz w:val="20"/>
                <w:szCs w:val="20"/>
              </w:rPr>
              <w:t>Type</w:t>
            </w:r>
          </w:p>
        </w:tc>
        <w:tc>
          <w:tcPr>
            <w:tcW w:w="1080" w:type="dxa"/>
            <w:tcBorders>
              <w:top w:val="single" w:sz="4" w:space="0" w:color="auto"/>
              <w:right w:val="single" w:sz="4" w:space="0" w:color="auto"/>
            </w:tcBorders>
            <w:shd w:val="clear" w:color="auto" w:fill="0B4D2C" w:themeFill="background2" w:themeFillShade="BF"/>
            <w:vAlign w:val="center"/>
          </w:tcPr>
          <w:p w14:paraId="276C3348" w14:textId="77777777" w:rsidR="004336BD" w:rsidRPr="00F6205B" w:rsidRDefault="004336BD" w:rsidP="00726720">
            <w:pPr>
              <w:keepNext/>
              <w:keepLines/>
              <w:spacing w:after="0"/>
              <w:rPr>
                <w:b/>
                <w:sz w:val="20"/>
                <w:szCs w:val="20"/>
              </w:rPr>
            </w:pPr>
            <w:r>
              <w:rPr>
                <w:b/>
                <w:sz w:val="20"/>
                <w:szCs w:val="20"/>
              </w:rPr>
              <w:t>Fuel</w:t>
            </w:r>
          </w:p>
        </w:tc>
        <w:tc>
          <w:tcPr>
            <w:tcW w:w="1851" w:type="dxa"/>
            <w:tcBorders>
              <w:top w:val="single" w:sz="4" w:space="0" w:color="auto"/>
              <w:right w:val="single" w:sz="4" w:space="0" w:color="auto"/>
            </w:tcBorders>
            <w:shd w:val="clear" w:color="auto" w:fill="0B4D2C" w:themeFill="background2" w:themeFillShade="BF"/>
            <w:vAlign w:val="center"/>
          </w:tcPr>
          <w:p w14:paraId="7CF81C9B" w14:textId="77777777" w:rsidR="004336BD" w:rsidRPr="00F6205B" w:rsidRDefault="004336BD" w:rsidP="00726720">
            <w:pPr>
              <w:keepNext/>
              <w:keepLines/>
              <w:spacing w:after="0"/>
              <w:jc w:val="center"/>
              <w:rPr>
                <w:b/>
                <w:sz w:val="20"/>
                <w:szCs w:val="20"/>
              </w:rPr>
            </w:pPr>
            <w:r>
              <w:rPr>
                <w:b/>
                <w:sz w:val="20"/>
                <w:szCs w:val="20"/>
              </w:rPr>
              <w:t>Storage Volume (gallons)</w:t>
            </w:r>
          </w:p>
        </w:tc>
        <w:tc>
          <w:tcPr>
            <w:tcW w:w="2029" w:type="dxa"/>
            <w:tcBorders>
              <w:top w:val="single" w:sz="4" w:space="0" w:color="auto"/>
              <w:right w:val="single" w:sz="4" w:space="0" w:color="auto"/>
            </w:tcBorders>
            <w:shd w:val="clear" w:color="auto" w:fill="0B4D2C" w:themeFill="background2" w:themeFillShade="BF"/>
            <w:vAlign w:val="center"/>
          </w:tcPr>
          <w:p w14:paraId="556E7186" w14:textId="77777777" w:rsidR="004336BD" w:rsidRDefault="004336BD" w:rsidP="00726720">
            <w:pPr>
              <w:keepNext/>
              <w:keepLines/>
              <w:spacing w:after="0"/>
              <w:jc w:val="center"/>
              <w:rPr>
                <w:b/>
                <w:sz w:val="20"/>
                <w:szCs w:val="20"/>
              </w:rPr>
            </w:pPr>
            <w:r>
              <w:rPr>
                <w:b/>
                <w:sz w:val="20"/>
                <w:szCs w:val="20"/>
              </w:rPr>
              <w:t>Current Standard (2015)</w:t>
            </w:r>
          </w:p>
        </w:tc>
        <w:tc>
          <w:tcPr>
            <w:tcW w:w="2467" w:type="dxa"/>
            <w:tcBorders>
              <w:top w:val="single" w:sz="4" w:space="0" w:color="auto"/>
              <w:right w:val="single" w:sz="4" w:space="0" w:color="auto"/>
            </w:tcBorders>
            <w:shd w:val="clear" w:color="auto" w:fill="0B4D2C" w:themeFill="background2" w:themeFillShade="BF"/>
            <w:vAlign w:val="center"/>
          </w:tcPr>
          <w:p w14:paraId="09060E68" w14:textId="77777777" w:rsidR="004336BD" w:rsidRDefault="004336BD" w:rsidP="00726720">
            <w:pPr>
              <w:keepNext/>
              <w:keepLines/>
              <w:spacing w:after="0"/>
              <w:jc w:val="center"/>
              <w:rPr>
                <w:b/>
                <w:sz w:val="20"/>
                <w:szCs w:val="20"/>
              </w:rPr>
            </w:pPr>
            <w:r>
              <w:rPr>
                <w:b/>
                <w:sz w:val="20"/>
                <w:szCs w:val="20"/>
              </w:rPr>
              <w:t>Amended Standard (2021)</w:t>
            </w:r>
          </w:p>
        </w:tc>
      </w:tr>
      <w:tr w:rsidR="004336BD" w:rsidRPr="00F6205B" w14:paraId="51407CD4" w14:textId="77777777" w:rsidTr="00F52E2F">
        <w:trPr>
          <w:trHeight w:val="288"/>
          <w:jc w:val="center"/>
        </w:trPr>
        <w:tc>
          <w:tcPr>
            <w:tcW w:w="1620" w:type="dxa"/>
            <w:vMerge w:val="restart"/>
            <w:tcBorders>
              <w:top w:val="single" w:sz="4" w:space="0" w:color="auto"/>
              <w:left w:val="single" w:sz="4" w:space="0" w:color="auto"/>
              <w:right w:val="single" w:sz="4" w:space="0" w:color="000000" w:themeColor="text1"/>
            </w:tcBorders>
            <w:vAlign w:val="center"/>
          </w:tcPr>
          <w:p w14:paraId="24C375C0" w14:textId="77777777" w:rsidR="004336BD" w:rsidRPr="00F6205B" w:rsidRDefault="004336BD" w:rsidP="00726720">
            <w:pPr>
              <w:keepNext/>
              <w:keepLines/>
              <w:spacing w:after="0"/>
              <w:rPr>
                <w:sz w:val="20"/>
                <w:szCs w:val="20"/>
              </w:rPr>
            </w:pPr>
            <w:r>
              <w:rPr>
                <w:sz w:val="20"/>
                <w:szCs w:val="20"/>
              </w:rPr>
              <w:t>Conventional storage</w:t>
            </w:r>
          </w:p>
        </w:tc>
        <w:tc>
          <w:tcPr>
            <w:tcW w:w="1080" w:type="dxa"/>
            <w:vMerge w:val="restart"/>
            <w:tcBorders>
              <w:top w:val="single" w:sz="4" w:space="0" w:color="auto"/>
            </w:tcBorders>
            <w:vAlign w:val="center"/>
          </w:tcPr>
          <w:p w14:paraId="7989004B" w14:textId="77777777" w:rsidR="004336BD" w:rsidRPr="00F6205B" w:rsidRDefault="004336BD" w:rsidP="00726720">
            <w:pPr>
              <w:keepNext/>
              <w:keepLines/>
              <w:spacing w:after="0"/>
              <w:rPr>
                <w:sz w:val="20"/>
                <w:szCs w:val="20"/>
              </w:rPr>
            </w:pPr>
            <w:r>
              <w:rPr>
                <w:sz w:val="20"/>
                <w:szCs w:val="20"/>
              </w:rPr>
              <w:t>Gas</w:t>
            </w:r>
          </w:p>
        </w:tc>
        <w:tc>
          <w:tcPr>
            <w:tcW w:w="1851" w:type="dxa"/>
            <w:tcBorders>
              <w:top w:val="single" w:sz="4" w:space="0" w:color="auto"/>
              <w:bottom w:val="single" w:sz="4" w:space="0" w:color="000000" w:themeColor="text1"/>
            </w:tcBorders>
            <w:vAlign w:val="center"/>
          </w:tcPr>
          <w:p w14:paraId="17DD2A45" w14:textId="77777777" w:rsidR="004336BD" w:rsidRPr="00F6205B" w:rsidRDefault="004336BD" w:rsidP="00726720">
            <w:pPr>
              <w:keepNext/>
              <w:keepLines/>
              <w:spacing w:after="0"/>
              <w:rPr>
                <w:sz w:val="20"/>
                <w:szCs w:val="20"/>
              </w:rPr>
            </w:pPr>
            <w:r>
              <w:rPr>
                <w:sz w:val="20"/>
                <w:szCs w:val="20"/>
              </w:rPr>
              <w:t>≥ 20 and ≤ 100</w:t>
            </w:r>
          </w:p>
        </w:tc>
        <w:tc>
          <w:tcPr>
            <w:tcW w:w="202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AAB57A2" w14:textId="77777777" w:rsidR="004336BD" w:rsidRPr="00F6205B" w:rsidRDefault="004336BD" w:rsidP="00726720">
            <w:pPr>
              <w:keepNext/>
              <w:keepLines/>
              <w:spacing w:after="0"/>
              <w:ind w:left="31" w:right="41"/>
              <w:rPr>
                <w:sz w:val="20"/>
                <w:szCs w:val="20"/>
              </w:rPr>
            </w:pPr>
            <w:r>
              <w:rPr>
                <w:sz w:val="20"/>
                <w:szCs w:val="20"/>
              </w:rPr>
              <w:t>0.675 - 0.0015V</w:t>
            </w:r>
          </w:p>
        </w:tc>
        <w:tc>
          <w:tcPr>
            <w:tcW w:w="2467" w:type="dxa"/>
            <w:vMerge w:val="restart"/>
            <w:tcBorders>
              <w:top w:val="single" w:sz="4" w:space="0" w:color="000000" w:themeColor="text1"/>
              <w:left w:val="single" w:sz="4" w:space="0" w:color="000000" w:themeColor="text1"/>
              <w:right w:val="single" w:sz="4" w:space="0" w:color="auto"/>
            </w:tcBorders>
            <w:shd w:val="clear" w:color="auto" w:fill="B1F8FE" w:themeFill="accent4" w:themeFillTint="33"/>
            <w:vAlign w:val="center"/>
          </w:tcPr>
          <w:p w14:paraId="3A4DAF07" w14:textId="77777777" w:rsidR="004336BD" w:rsidRPr="00F6205B" w:rsidRDefault="004336BD" w:rsidP="00726720">
            <w:pPr>
              <w:keepNext/>
              <w:keepLines/>
              <w:spacing w:after="0"/>
              <w:ind w:left="16"/>
              <w:rPr>
                <w:sz w:val="20"/>
                <w:szCs w:val="20"/>
              </w:rPr>
            </w:pPr>
            <w:r>
              <w:rPr>
                <w:sz w:val="20"/>
                <w:szCs w:val="20"/>
              </w:rPr>
              <w:t>104% of 2015 standard</w:t>
            </w:r>
          </w:p>
        </w:tc>
      </w:tr>
      <w:tr w:rsidR="004336BD" w:rsidRPr="00F6205B" w14:paraId="436309EC" w14:textId="77777777" w:rsidTr="00F52E2F">
        <w:trPr>
          <w:trHeight w:val="288"/>
          <w:jc w:val="center"/>
        </w:trPr>
        <w:tc>
          <w:tcPr>
            <w:tcW w:w="1620" w:type="dxa"/>
            <w:vMerge/>
            <w:tcBorders>
              <w:left w:val="single" w:sz="4" w:space="0" w:color="auto"/>
              <w:right w:val="single" w:sz="4" w:space="0" w:color="000000" w:themeColor="text1"/>
            </w:tcBorders>
            <w:vAlign w:val="center"/>
          </w:tcPr>
          <w:p w14:paraId="3201B053" w14:textId="77777777" w:rsidR="004336BD" w:rsidRPr="00F6205B" w:rsidRDefault="004336BD" w:rsidP="00726720">
            <w:pPr>
              <w:keepNext/>
              <w:keepLines/>
              <w:spacing w:after="0"/>
              <w:rPr>
                <w:sz w:val="20"/>
                <w:szCs w:val="20"/>
              </w:rPr>
            </w:pPr>
          </w:p>
        </w:tc>
        <w:tc>
          <w:tcPr>
            <w:tcW w:w="1080" w:type="dxa"/>
            <w:vMerge/>
            <w:tcBorders>
              <w:bottom w:val="single" w:sz="4" w:space="0" w:color="000000" w:themeColor="text1"/>
            </w:tcBorders>
            <w:vAlign w:val="center"/>
          </w:tcPr>
          <w:p w14:paraId="05D63BCB" w14:textId="77777777" w:rsidR="004336BD" w:rsidRPr="00F6205B" w:rsidRDefault="004336BD" w:rsidP="00726720">
            <w:pPr>
              <w:keepNext/>
              <w:keepLines/>
              <w:spacing w:after="0"/>
              <w:rPr>
                <w:sz w:val="20"/>
                <w:szCs w:val="20"/>
              </w:rPr>
            </w:pPr>
          </w:p>
        </w:tc>
        <w:tc>
          <w:tcPr>
            <w:tcW w:w="1851" w:type="dxa"/>
            <w:tcBorders>
              <w:top w:val="single" w:sz="4" w:space="0" w:color="000000" w:themeColor="text1"/>
              <w:bottom w:val="single" w:sz="4" w:space="0" w:color="000000" w:themeColor="text1"/>
            </w:tcBorders>
            <w:vAlign w:val="center"/>
          </w:tcPr>
          <w:p w14:paraId="06C093D8" w14:textId="77777777" w:rsidR="004336BD" w:rsidRPr="00F6205B" w:rsidRDefault="004336BD" w:rsidP="00726720">
            <w:pPr>
              <w:keepNext/>
              <w:keepLines/>
              <w:spacing w:after="0"/>
              <w:rPr>
                <w:sz w:val="20"/>
                <w:szCs w:val="20"/>
              </w:rPr>
            </w:pPr>
            <w:r>
              <w:rPr>
                <w:sz w:val="20"/>
                <w:szCs w:val="20"/>
              </w:rPr>
              <w:t>&gt; 55 and ≤ 100</w:t>
            </w:r>
          </w:p>
        </w:tc>
        <w:tc>
          <w:tcPr>
            <w:tcW w:w="202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4F488AE" w14:textId="77777777" w:rsidR="004336BD" w:rsidRPr="00F6205B" w:rsidRDefault="004336BD" w:rsidP="00726720">
            <w:pPr>
              <w:keepNext/>
              <w:keepLines/>
              <w:spacing w:after="0"/>
              <w:ind w:left="31" w:right="41"/>
              <w:rPr>
                <w:sz w:val="20"/>
                <w:szCs w:val="20"/>
              </w:rPr>
            </w:pPr>
            <w:r>
              <w:rPr>
                <w:sz w:val="20"/>
                <w:szCs w:val="20"/>
              </w:rPr>
              <w:t>0.8012 - 0.00078V</w:t>
            </w:r>
          </w:p>
        </w:tc>
        <w:tc>
          <w:tcPr>
            <w:tcW w:w="2467" w:type="dxa"/>
            <w:vMerge/>
            <w:tcBorders>
              <w:left w:val="single" w:sz="4" w:space="0" w:color="000000" w:themeColor="text1"/>
              <w:bottom w:val="single" w:sz="4" w:space="0" w:color="000000" w:themeColor="text1"/>
              <w:right w:val="single" w:sz="4" w:space="0" w:color="auto"/>
            </w:tcBorders>
            <w:shd w:val="clear" w:color="auto" w:fill="B1F8FE" w:themeFill="accent4" w:themeFillTint="33"/>
            <w:vAlign w:val="center"/>
          </w:tcPr>
          <w:p w14:paraId="542C526D" w14:textId="77777777" w:rsidR="004336BD" w:rsidRPr="00F6205B" w:rsidRDefault="004336BD" w:rsidP="00726720">
            <w:pPr>
              <w:keepNext/>
              <w:keepLines/>
              <w:spacing w:after="0"/>
              <w:ind w:left="16"/>
              <w:rPr>
                <w:sz w:val="20"/>
                <w:szCs w:val="20"/>
              </w:rPr>
            </w:pPr>
          </w:p>
        </w:tc>
      </w:tr>
      <w:tr w:rsidR="004336BD" w:rsidRPr="00F6205B" w14:paraId="482D862A" w14:textId="77777777" w:rsidTr="00F52E2F">
        <w:trPr>
          <w:trHeight w:val="288"/>
          <w:jc w:val="center"/>
        </w:trPr>
        <w:tc>
          <w:tcPr>
            <w:tcW w:w="1620" w:type="dxa"/>
            <w:vMerge/>
            <w:tcBorders>
              <w:left w:val="single" w:sz="4" w:space="0" w:color="auto"/>
              <w:right w:val="single" w:sz="4" w:space="0" w:color="000000" w:themeColor="text1"/>
            </w:tcBorders>
            <w:vAlign w:val="center"/>
          </w:tcPr>
          <w:p w14:paraId="498072E8" w14:textId="77777777" w:rsidR="004336BD" w:rsidRPr="00F6205B" w:rsidRDefault="004336BD" w:rsidP="00726720">
            <w:pPr>
              <w:keepNext/>
              <w:keepLines/>
              <w:spacing w:after="0"/>
              <w:rPr>
                <w:sz w:val="20"/>
                <w:szCs w:val="20"/>
              </w:rPr>
            </w:pPr>
          </w:p>
        </w:tc>
        <w:tc>
          <w:tcPr>
            <w:tcW w:w="1080" w:type="dxa"/>
            <w:tcBorders>
              <w:top w:val="single" w:sz="4" w:space="0" w:color="auto"/>
              <w:bottom w:val="single" w:sz="4" w:space="0" w:color="000000" w:themeColor="text1"/>
            </w:tcBorders>
            <w:vAlign w:val="center"/>
          </w:tcPr>
          <w:p w14:paraId="5FC515C1" w14:textId="77777777" w:rsidR="004336BD" w:rsidRPr="00F6205B" w:rsidRDefault="004336BD" w:rsidP="00726720">
            <w:pPr>
              <w:keepNext/>
              <w:keepLines/>
              <w:spacing w:after="0"/>
              <w:rPr>
                <w:sz w:val="20"/>
                <w:szCs w:val="20"/>
              </w:rPr>
            </w:pPr>
            <w:r>
              <w:rPr>
                <w:sz w:val="20"/>
                <w:szCs w:val="20"/>
              </w:rPr>
              <w:t>Oil</w:t>
            </w:r>
          </w:p>
        </w:tc>
        <w:tc>
          <w:tcPr>
            <w:tcW w:w="1851" w:type="dxa"/>
            <w:tcBorders>
              <w:top w:val="single" w:sz="4" w:space="0" w:color="000000" w:themeColor="text1"/>
              <w:bottom w:val="single" w:sz="4" w:space="0" w:color="000000" w:themeColor="text1"/>
            </w:tcBorders>
            <w:vAlign w:val="center"/>
          </w:tcPr>
          <w:p w14:paraId="26E08766" w14:textId="77777777" w:rsidR="004336BD" w:rsidRPr="00F6205B" w:rsidRDefault="004336BD" w:rsidP="00726720">
            <w:pPr>
              <w:keepNext/>
              <w:keepLines/>
              <w:spacing w:after="0"/>
              <w:rPr>
                <w:sz w:val="20"/>
                <w:szCs w:val="20"/>
              </w:rPr>
            </w:pPr>
            <w:r>
              <w:rPr>
                <w:sz w:val="20"/>
                <w:szCs w:val="20"/>
              </w:rPr>
              <w:t>≤ 50</w:t>
            </w:r>
          </w:p>
        </w:tc>
        <w:tc>
          <w:tcPr>
            <w:tcW w:w="202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EB71851" w14:textId="77777777" w:rsidR="004336BD" w:rsidRPr="00F6205B" w:rsidRDefault="004336BD" w:rsidP="00726720">
            <w:pPr>
              <w:keepNext/>
              <w:keepLines/>
              <w:spacing w:after="0"/>
              <w:ind w:left="31" w:right="41"/>
              <w:rPr>
                <w:sz w:val="20"/>
                <w:szCs w:val="20"/>
              </w:rPr>
            </w:pPr>
            <w:r>
              <w:rPr>
                <w:sz w:val="20"/>
                <w:szCs w:val="20"/>
              </w:rPr>
              <w:t>0.67 - 0.0019V</w:t>
            </w:r>
          </w:p>
        </w:tc>
        <w:tc>
          <w:tcPr>
            <w:tcW w:w="246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1F8FE" w:themeFill="accent4" w:themeFillTint="33"/>
            <w:vAlign w:val="center"/>
          </w:tcPr>
          <w:p w14:paraId="212CA11C" w14:textId="77777777" w:rsidR="004336BD" w:rsidRPr="00F6205B" w:rsidRDefault="004336BD" w:rsidP="00726720">
            <w:pPr>
              <w:keepNext/>
              <w:keepLines/>
              <w:spacing w:after="0"/>
              <w:ind w:left="16"/>
              <w:rPr>
                <w:sz w:val="20"/>
                <w:szCs w:val="20"/>
              </w:rPr>
            </w:pPr>
            <w:r>
              <w:rPr>
                <w:sz w:val="20"/>
                <w:szCs w:val="20"/>
              </w:rPr>
              <w:t>118% of 2015 standard</w:t>
            </w:r>
          </w:p>
        </w:tc>
      </w:tr>
      <w:tr w:rsidR="004336BD" w:rsidRPr="00F6205B" w14:paraId="051253AC" w14:textId="77777777" w:rsidTr="00F52E2F">
        <w:trPr>
          <w:trHeight w:val="288"/>
          <w:jc w:val="center"/>
        </w:trPr>
        <w:tc>
          <w:tcPr>
            <w:tcW w:w="1620" w:type="dxa"/>
            <w:vMerge/>
            <w:tcBorders>
              <w:left w:val="single" w:sz="4" w:space="0" w:color="auto"/>
              <w:right w:val="single" w:sz="4" w:space="0" w:color="000000" w:themeColor="text1"/>
            </w:tcBorders>
            <w:vAlign w:val="center"/>
          </w:tcPr>
          <w:p w14:paraId="1580CEAE" w14:textId="77777777" w:rsidR="004336BD" w:rsidRPr="00F6205B" w:rsidRDefault="004336BD" w:rsidP="00726720">
            <w:pPr>
              <w:keepNext/>
              <w:keepLines/>
              <w:spacing w:after="0"/>
              <w:rPr>
                <w:sz w:val="20"/>
                <w:szCs w:val="20"/>
              </w:rPr>
            </w:pPr>
          </w:p>
        </w:tc>
        <w:tc>
          <w:tcPr>
            <w:tcW w:w="1080" w:type="dxa"/>
            <w:vMerge w:val="restart"/>
            <w:tcBorders>
              <w:top w:val="single" w:sz="4" w:space="0" w:color="000000" w:themeColor="text1"/>
            </w:tcBorders>
            <w:vAlign w:val="center"/>
          </w:tcPr>
          <w:p w14:paraId="09859F63" w14:textId="77777777" w:rsidR="004336BD" w:rsidRPr="00F6205B" w:rsidRDefault="004336BD" w:rsidP="00726720">
            <w:pPr>
              <w:keepNext/>
              <w:keepLines/>
              <w:spacing w:after="0"/>
              <w:rPr>
                <w:sz w:val="20"/>
                <w:szCs w:val="20"/>
              </w:rPr>
            </w:pPr>
            <w:r>
              <w:rPr>
                <w:sz w:val="20"/>
                <w:szCs w:val="20"/>
              </w:rPr>
              <w:t>Electric</w:t>
            </w:r>
          </w:p>
        </w:tc>
        <w:tc>
          <w:tcPr>
            <w:tcW w:w="1851" w:type="dxa"/>
            <w:tcBorders>
              <w:top w:val="single" w:sz="4" w:space="0" w:color="000000" w:themeColor="text1"/>
              <w:bottom w:val="single" w:sz="4" w:space="0" w:color="000000" w:themeColor="text1"/>
            </w:tcBorders>
            <w:vAlign w:val="center"/>
          </w:tcPr>
          <w:p w14:paraId="664058F4" w14:textId="77777777" w:rsidR="004336BD" w:rsidRPr="00F6205B" w:rsidRDefault="004336BD" w:rsidP="00726720">
            <w:pPr>
              <w:keepNext/>
              <w:keepLines/>
              <w:spacing w:after="0"/>
              <w:rPr>
                <w:sz w:val="20"/>
                <w:szCs w:val="20"/>
              </w:rPr>
            </w:pPr>
            <w:r>
              <w:rPr>
                <w:sz w:val="20"/>
                <w:szCs w:val="20"/>
              </w:rPr>
              <w:t>≥ 20 and ≤ 120</w:t>
            </w:r>
          </w:p>
        </w:tc>
        <w:tc>
          <w:tcPr>
            <w:tcW w:w="202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DA16720" w14:textId="77777777" w:rsidR="004336BD" w:rsidRPr="00F6205B" w:rsidRDefault="004336BD" w:rsidP="00726720">
            <w:pPr>
              <w:keepNext/>
              <w:keepLines/>
              <w:spacing w:after="0"/>
              <w:ind w:left="31" w:right="41"/>
              <w:rPr>
                <w:sz w:val="20"/>
                <w:szCs w:val="20"/>
              </w:rPr>
            </w:pPr>
            <w:r>
              <w:rPr>
                <w:sz w:val="20"/>
                <w:szCs w:val="20"/>
              </w:rPr>
              <w:t>0.96 - 0.0003V</w:t>
            </w:r>
          </w:p>
        </w:tc>
        <w:tc>
          <w:tcPr>
            <w:tcW w:w="2467" w:type="dxa"/>
            <w:vMerge w:val="restart"/>
            <w:tcBorders>
              <w:top w:val="single" w:sz="4" w:space="0" w:color="000000" w:themeColor="text1"/>
              <w:left w:val="single" w:sz="4" w:space="0" w:color="000000" w:themeColor="text1"/>
              <w:right w:val="single" w:sz="4" w:space="0" w:color="auto"/>
            </w:tcBorders>
            <w:shd w:val="clear" w:color="auto" w:fill="B1F8FE" w:themeFill="accent4" w:themeFillTint="33"/>
            <w:vAlign w:val="center"/>
          </w:tcPr>
          <w:p w14:paraId="43FE1256" w14:textId="77777777" w:rsidR="004336BD" w:rsidRPr="00F6205B" w:rsidRDefault="004336BD" w:rsidP="00726720">
            <w:pPr>
              <w:keepNext/>
              <w:keepLines/>
              <w:spacing w:after="0"/>
              <w:ind w:left="16"/>
              <w:rPr>
                <w:sz w:val="20"/>
                <w:szCs w:val="20"/>
              </w:rPr>
            </w:pPr>
            <w:r>
              <w:rPr>
                <w:sz w:val="20"/>
                <w:szCs w:val="20"/>
              </w:rPr>
              <w:t>102% of 2015 standard</w:t>
            </w:r>
          </w:p>
        </w:tc>
      </w:tr>
      <w:tr w:rsidR="004336BD" w:rsidRPr="00F6205B" w14:paraId="73E7031D" w14:textId="77777777" w:rsidTr="00F52E2F">
        <w:trPr>
          <w:trHeight w:val="288"/>
          <w:jc w:val="center"/>
        </w:trPr>
        <w:tc>
          <w:tcPr>
            <w:tcW w:w="1620" w:type="dxa"/>
            <w:vMerge/>
            <w:tcBorders>
              <w:left w:val="single" w:sz="4" w:space="0" w:color="auto"/>
              <w:right w:val="single" w:sz="4" w:space="0" w:color="000000" w:themeColor="text1"/>
            </w:tcBorders>
            <w:vAlign w:val="center"/>
          </w:tcPr>
          <w:p w14:paraId="2B20AC93" w14:textId="77777777" w:rsidR="004336BD" w:rsidRPr="00F6205B" w:rsidRDefault="004336BD" w:rsidP="00726720">
            <w:pPr>
              <w:keepNext/>
              <w:keepLines/>
              <w:spacing w:after="0"/>
              <w:rPr>
                <w:sz w:val="20"/>
                <w:szCs w:val="20"/>
              </w:rPr>
            </w:pPr>
          </w:p>
        </w:tc>
        <w:tc>
          <w:tcPr>
            <w:tcW w:w="1080" w:type="dxa"/>
            <w:vMerge/>
            <w:tcBorders>
              <w:bottom w:val="single" w:sz="4" w:space="0" w:color="000000" w:themeColor="text1"/>
            </w:tcBorders>
            <w:vAlign w:val="center"/>
          </w:tcPr>
          <w:p w14:paraId="1F895AFF" w14:textId="77777777" w:rsidR="004336BD" w:rsidRPr="00F6205B" w:rsidRDefault="004336BD" w:rsidP="00726720">
            <w:pPr>
              <w:keepNext/>
              <w:keepLines/>
              <w:spacing w:after="0"/>
              <w:rPr>
                <w:sz w:val="20"/>
                <w:szCs w:val="20"/>
              </w:rPr>
            </w:pPr>
          </w:p>
        </w:tc>
        <w:tc>
          <w:tcPr>
            <w:tcW w:w="1851" w:type="dxa"/>
            <w:tcBorders>
              <w:top w:val="single" w:sz="4" w:space="0" w:color="000000" w:themeColor="text1"/>
              <w:bottom w:val="single" w:sz="4" w:space="0" w:color="000000" w:themeColor="text1"/>
            </w:tcBorders>
            <w:vAlign w:val="center"/>
          </w:tcPr>
          <w:p w14:paraId="7374A912" w14:textId="77777777" w:rsidR="004336BD" w:rsidRPr="00F6205B" w:rsidRDefault="004336BD" w:rsidP="00726720">
            <w:pPr>
              <w:keepNext/>
              <w:keepLines/>
              <w:spacing w:after="0"/>
              <w:rPr>
                <w:sz w:val="20"/>
                <w:szCs w:val="20"/>
              </w:rPr>
            </w:pPr>
            <w:r>
              <w:rPr>
                <w:sz w:val="20"/>
                <w:szCs w:val="20"/>
              </w:rPr>
              <w:t>&gt; 55 and ≤ 120</w:t>
            </w:r>
          </w:p>
        </w:tc>
        <w:tc>
          <w:tcPr>
            <w:tcW w:w="202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D871FD5" w14:textId="77777777" w:rsidR="004336BD" w:rsidRPr="00F6205B" w:rsidRDefault="004336BD" w:rsidP="00726720">
            <w:pPr>
              <w:keepNext/>
              <w:keepLines/>
              <w:spacing w:after="0"/>
              <w:ind w:left="31" w:right="41"/>
              <w:rPr>
                <w:sz w:val="20"/>
                <w:szCs w:val="20"/>
              </w:rPr>
            </w:pPr>
            <w:r>
              <w:rPr>
                <w:sz w:val="20"/>
                <w:szCs w:val="20"/>
              </w:rPr>
              <w:t>2.057 - 0.00113V</w:t>
            </w:r>
          </w:p>
        </w:tc>
        <w:tc>
          <w:tcPr>
            <w:tcW w:w="2467" w:type="dxa"/>
            <w:vMerge/>
            <w:tcBorders>
              <w:left w:val="single" w:sz="4" w:space="0" w:color="000000" w:themeColor="text1"/>
              <w:bottom w:val="single" w:sz="4" w:space="0" w:color="000000" w:themeColor="text1"/>
              <w:right w:val="single" w:sz="4" w:space="0" w:color="auto"/>
            </w:tcBorders>
            <w:shd w:val="clear" w:color="auto" w:fill="B1F8FE" w:themeFill="accent4" w:themeFillTint="33"/>
            <w:vAlign w:val="center"/>
          </w:tcPr>
          <w:p w14:paraId="23DD17CE" w14:textId="77777777" w:rsidR="004336BD" w:rsidRPr="00F6205B" w:rsidRDefault="004336BD" w:rsidP="00726720">
            <w:pPr>
              <w:keepNext/>
              <w:keepLines/>
              <w:spacing w:after="0"/>
              <w:ind w:left="16"/>
              <w:rPr>
                <w:sz w:val="20"/>
                <w:szCs w:val="20"/>
              </w:rPr>
            </w:pPr>
          </w:p>
        </w:tc>
      </w:tr>
      <w:tr w:rsidR="004336BD" w:rsidRPr="00F6205B" w14:paraId="000DC2BA" w14:textId="77777777" w:rsidTr="00F52E2F">
        <w:trPr>
          <w:trHeight w:val="288"/>
          <w:jc w:val="center"/>
        </w:trPr>
        <w:tc>
          <w:tcPr>
            <w:tcW w:w="1620" w:type="dxa"/>
            <w:vMerge w:val="restart"/>
            <w:tcBorders>
              <w:left w:val="single" w:sz="4" w:space="0" w:color="auto"/>
              <w:right w:val="single" w:sz="4" w:space="0" w:color="000000" w:themeColor="text1"/>
            </w:tcBorders>
            <w:vAlign w:val="center"/>
          </w:tcPr>
          <w:p w14:paraId="006F621B" w14:textId="77777777" w:rsidR="004336BD" w:rsidRPr="00F6205B" w:rsidRDefault="004336BD" w:rsidP="00726720">
            <w:pPr>
              <w:keepNext/>
              <w:keepLines/>
              <w:spacing w:after="0"/>
              <w:rPr>
                <w:sz w:val="20"/>
                <w:szCs w:val="20"/>
              </w:rPr>
            </w:pPr>
            <w:r>
              <w:rPr>
                <w:sz w:val="20"/>
                <w:szCs w:val="20"/>
              </w:rPr>
              <w:t>Instantaneous</w:t>
            </w:r>
          </w:p>
        </w:tc>
        <w:tc>
          <w:tcPr>
            <w:tcW w:w="1080" w:type="dxa"/>
            <w:tcBorders>
              <w:top w:val="single" w:sz="4" w:space="0" w:color="000000" w:themeColor="text1"/>
              <w:bottom w:val="single" w:sz="4" w:space="0" w:color="auto"/>
            </w:tcBorders>
            <w:vAlign w:val="center"/>
          </w:tcPr>
          <w:p w14:paraId="4C134EF2" w14:textId="77777777" w:rsidR="004336BD" w:rsidRPr="00F6205B" w:rsidRDefault="004336BD" w:rsidP="00726720">
            <w:pPr>
              <w:keepNext/>
              <w:keepLines/>
              <w:spacing w:after="0"/>
              <w:rPr>
                <w:sz w:val="20"/>
                <w:szCs w:val="20"/>
              </w:rPr>
            </w:pPr>
            <w:r>
              <w:rPr>
                <w:sz w:val="20"/>
                <w:szCs w:val="20"/>
              </w:rPr>
              <w:t>Gas</w:t>
            </w:r>
          </w:p>
        </w:tc>
        <w:tc>
          <w:tcPr>
            <w:tcW w:w="1851" w:type="dxa"/>
            <w:tcBorders>
              <w:top w:val="single" w:sz="4" w:space="0" w:color="000000" w:themeColor="text1"/>
              <w:bottom w:val="single" w:sz="4" w:space="0" w:color="000000" w:themeColor="text1"/>
            </w:tcBorders>
            <w:vAlign w:val="center"/>
          </w:tcPr>
          <w:p w14:paraId="1BC8690B" w14:textId="77777777" w:rsidR="004336BD" w:rsidRPr="00F6205B" w:rsidRDefault="004336BD" w:rsidP="00726720">
            <w:pPr>
              <w:keepNext/>
              <w:keepLines/>
              <w:spacing w:after="0"/>
              <w:rPr>
                <w:sz w:val="20"/>
                <w:szCs w:val="20"/>
              </w:rPr>
            </w:pPr>
            <w:r>
              <w:rPr>
                <w:sz w:val="20"/>
                <w:szCs w:val="20"/>
              </w:rPr>
              <w:t xml:space="preserve">&lt; </w:t>
            </w:r>
          </w:p>
        </w:tc>
        <w:tc>
          <w:tcPr>
            <w:tcW w:w="202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27282BD" w14:textId="77777777" w:rsidR="004336BD" w:rsidRPr="00F6205B" w:rsidRDefault="004336BD" w:rsidP="00726720">
            <w:pPr>
              <w:keepNext/>
              <w:keepLines/>
              <w:spacing w:after="0"/>
              <w:ind w:left="31" w:right="41"/>
              <w:rPr>
                <w:sz w:val="20"/>
                <w:szCs w:val="20"/>
              </w:rPr>
            </w:pPr>
            <w:r>
              <w:rPr>
                <w:sz w:val="20"/>
                <w:szCs w:val="20"/>
              </w:rPr>
              <w:t>0.82 - 0.0019V</w:t>
            </w:r>
          </w:p>
        </w:tc>
        <w:tc>
          <w:tcPr>
            <w:tcW w:w="246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1F8FE" w:themeFill="accent4" w:themeFillTint="33"/>
            <w:vAlign w:val="center"/>
          </w:tcPr>
          <w:p w14:paraId="2E0E9242" w14:textId="77777777" w:rsidR="004336BD" w:rsidRPr="00F6205B" w:rsidRDefault="004336BD" w:rsidP="00726720">
            <w:pPr>
              <w:keepNext/>
              <w:keepLines/>
              <w:spacing w:after="0"/>
              <w:ind w:left="16"/>
              <w:rPr>
                <w:sz w:val="20"/>
                <w:szCs w:val="20"/>
              </w:rPr>
            </w:pPr>
            <w:r>
              <w:rPr>
                <w:sz w:val="20"/>
                <w:szCs w:val="20"/>
              </w:rPr>
              <w:t>104% of 2015 standard</w:t>
            </w:r>
          </w:p>
        </w:tc>
      </w:tr>
      <w:tr w:rsidR="004336BD" w:rsidRPr="00F6205B" w14:paraId="3E6529FD" w14:textId="77777777" w:rsidTr="00F52E2F">
        <w:trPr>
          <w:trHeight w:val="288"/>
          <w:jc w:val="center"/>
        </w:trPr>
        <w:tc>
          <w:tcPr>
            <w:tcW w:w="1620" w:type="dxa"/>
            <w:vMerge/>
            <w:tcBorders>
              <w:left w:val="single" w:sz="4" w:space="0" w:color="auto"/>
              <w:bottom w:val="single" w:sz="4" w:space="0" w:color="auto"/>
              <w:right w:val="single" w:sz="4" w:space="0" w:color="000000" w:themeColor="text1"/>
            </w:tcBorders>
            <w:vAlign w:val="center"/>
          </w:tcPr>
          <w:p w14:paraId="2AF3F765" w14:textId="77777777" w:rsidR="004336BD" w:rsidRPr="00F6205B" w:rsidRDefault="004336BD" w:rsidP="00726720">
            <w:pPr>
              <w:keepNext/>
              <w:keepLines/>
              <w:spacing w:after="0"/>
              <w:rPr>
                <w:sz w:val="20"/>
                <w:szCs w:val="20"/>
              </w:rPr>
            </w:pPr>
          </w:p>
        </w:tc>
        <w:tc>
          <w:tcPr>
            <w:tcW w:w="1080" w:type="dxa"/>
            <w:tcBorders>
              <w:top w:val="single" w:sz="4" w:space="0" w:color="000000" w:themeColor="text1"/>
              <w:bottom w:val="single" w:sz="4" w:space="0" w:color="auto"/>
            </w:tcBorders>
            <w:vAlign w:val="center"/>
          </w:tcPr>
          <w:p w14:paraId="6C669C68" w14:textId="77777777" w:rsidR="004336BD" w:rsidRDefault="004336BD" w:rsidP="00726720">
            <w:pPr>
              <w:keepNext/>
              <w:keepLines/>
              <w:spacing w:after="0"/>
              <w:rPr>
                <w:sz w:val="20"/>
                <w:szCs w:val="20"/>
              </w:rPr>
            </w:pPr>
            <w:r>
              <w:rPr>
                <w:sz w:val="20"/>
                <w:szCs w:val="20"/>
              </w:rPr>
              <w:t>Electric</w:t>
            </w:r>
          </w:p>
        </w:tc>
        <w:tc>
          <w:tcPr>
            <w:tcW w:w="1851" w:type="dxa"/>
            <w:tcBorders>
              <w:top w:val="single" w:sz="4" w:space="0" w:color="000000" w:themeColor="text1"/>
              <w:bottom w:val="single" w:sz="4" w:space="0" w:color="auto"/>
            </w:tcBorders>
            <w:vAlign w:val="center"/>
          </w:tcPr>
          <w:p w14:paraId="378B2A88" w14:textId="77777777" w:rsidR="004336BD" w:rsidRPr="00F6205B" w:rsidRDefault="004336BD" w:rsidP="00726720">
            <w:pPr>
              <w:keepNext/>
              <w:keepLines/>
              <w:spacing w:after="0"/>
              <w:rPr>
                <w:sz w:val="20"/>
                <w:szCs w:val="20"/>
              </w:rPr>
            </w:pPr>
            <w:r>
              <w:rPr>
                <w:sz w:val="20"/>
                <w:szCs w:val="20"/>
              </w:rPr>
              <w:t xml:space="preserve">&lt; 2 </w:t>
            </w:r>
          </w:p>
        </w:tc>
        <w:tc>
          <w:tcPr>
            <w:tcW w:w="202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0EB7AD8" w14:textId="77777777" w:rsidR="004336BD" w:rsidRPr="00F6205B" w:rsidRDefault="004336BD" w:rsidP="00726720">
            <w:pPr>
              <w:keepNext/>
              <w:keepLines/>
              <w:spacing w:after="0"/>
              <w:ind w:left="31" w:right="41"/>
              <w:rPr>
                <w:sz w:val="20"/>
                <w:szCs w:val="20"/>
              </w:rPr>
            </w:pPr>
            <w:r>
              <w:rPr>
                <w:sz w:val="20"/>
                <w:szCs w:val="20"/>
              </w:rPr>
              <w:t>0.93 - 0.00132V</w:t>
            </w:r>
          </w:p>
        </w:tc>
        <w:tc>
          <w:tcPr>
            <w:tcW w:w="246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1F8FE" w:themeFill="accent4" w:themeFillTint="33"/>
            <w:vAlign w:val="center"/>
          </w:tcPr>
          <w:p w14:paraId="14D4AFB3" w14:textId="77777777" w:rsidR="004336BD" w:rsidRPr="00F6205B" w:rsidRDefault="004336BD" w:rsidP="00726720">
            <w:pPr>
              <w:keepNext/>
              <w:keepLines/>
              <w:spacing w:after="0"/>
              <w:ind w:left="16"/>
              <w:rPr>
                <w:sz w:val="20"/>
                <w:szCs w:val="20"/>
              </w:rPr>
            </w:pPr>
            <w:r>
              <w:rPr>
                <w:sz w:val="20"/>
                <w:szCs w:val="20"/>
              </w:rPr>
              <w:t>102% of 2015 standard</w:t>
            </w:r>
          </w:p>
        </w:tc>
      </w:tr>
    </w:tbl>
    <w:p w14:paraId="4A089F15" w14:textId="77777777" w:rsidR="004336BD" w:rsidRDefault="004336BD" w:rsidP="004336BD"/>
    <w:p w14:paraId="47CBD01B" w14:textId="77777777" w:rsidR="004336BD" w:rsidRDefault="004336BD" w:rsidP="004336BD">
      <w:pPr>
        <w:pStyle w:val="Caption"/>
      </w:pPr>
      <w:bookmarkStart w:id="531" w:name="_Toc439931884"/>
      <w:r>
        <w:t xml:space="preserve">Table </w:t>
      </w:r>
      <w:fldSimple w:instr=" SEQ Table \* ARABIC ">
        <w:r w:rsidR="00FA26A9">
          <w:rPr>
            <w:noProof/>
          </w:rPr>
          <w:t>53</w:t>
        </w:r>
      </w:fldSimple>
      <w:r>
        <w:t>: Federal Standards for Appliances</w:t>
      </w:r>
      <w:bookmarkEnd w:id="531"/>
    </w:p>
    <w:tbl>
      <w:tblPr>
        <w:tblStyle w:val="TableGrid"/>
        <w:tblW w:w="11195"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1475"/>
        <w:gridCol w:w="1620"/>
        <w:gridCol w:w="1440"/>
        <w:gridCol w:w="1898"/>
        <w:gridCol w:w="1299"/>
        <w:gridCol w:w="2350"/>
        <w:gridCol w:w="1113"/>
      </w:tblGrid>
      <w:tr w:rsidR="004336BD" w:rsidRPr="00F6205B" w14:paraId="5765DC2B" w14:textId="77777777" w:rsidTr="00726720">
        <w:trPr>
          <w:trHeight w:val="288"/>
          <w:jc w:val="center"/>
        </w:trPr>
        <w:tc>
          <w:tcPr>
            <w:tcW w:w="1475" w:type="dxa"/>
            <w:vMerge w:val="restart"/>
            <w:tcBorders>
              <w:top w:val="single" w:sz="4" w:space="0" w:color="auto"/>
              <w:left w:val="single" w:sz="4" w:space="0" w:color="auto"/>
              <w:right w:val="single" w:sz="4" w:space="0" w:color="auto"/>
            </w:tcBorders>
            <w:shd w:val="clear" w:color="auto" w:fill="0B4D2C" w:themeFill="background2" w:themeFillShade="BF"/>
            <w:vAlign w:val="center"/>
          </w:tcPr>
          <w:p w14:paraId="70FB6FBA" w14:textId="77777777" w:rsidR="004336BD" w:rsidRPr="00F6205B" w:rsidRDefault="004336BD" w:rsidP="00726720">
            <w:pPr>
              <w:keepNext/>
              <w:keepLines/>
              <w:spacing w:after="0"/>
              <w:rPr>
                <w:b/>
                <w:sz w:val="20"/>
                <w:szCs w:val="20"/>
              </w:rPr>
            </w:pPr>
            <w:r>
              <w:rPr>
                <w:b/>
                <w:sz w:val="20"/>
                <w:szCs w:val="20"/>
              </w:rPr>
              <w:t>Appliance</w:t>
            </w:r>
          </w:p>
        </w:tc>
        <w:tc>
          <w:tcPr>
            <w:tcW w:w="1620" w:type="dxa"/>
            <w:vMerge w:val="restart"/>
            <w:tcBorders>
              <w:top w:val="single" w:sz="4" w:space="0" w:color="auto"/>
              <w:right w:val="single" w:sz="4" w:space="0" w:color="auto"/>
            </w:tcBorders>
            <w:shd w:val="clear" w:color="auto" w:fill="0B4D2C" w:themeFill="background2" w:themeFillShade="BF"/>
            <w:vAlign w:val="center"/>
          </w:tcPr>
          <w:p w14:paraId="78FA1D31" w14:textId="77777777" w:rsidR="004336BD" w:rsidRPr="00F6205B" w:rsidRDefault="004336BD" w:rsidP="00726720">
            <w:pPr>
              <w:keepNext/>
              <w:keepLines/>
              <w:spacing w:after="0"/>
              <w:rPr>
                <w:b/>
                <w:sz w:val="20"/>
                <w:szCs w:val="20"/>
              </w:rPr>
            </w:pPr>
            <w:r>
              <w:rPr>
                <w:b/>
                <w:sz w:val="20"/>
                <w:szCs w:val="20"/>
              </w:rPr>
              <w:t>Type</w:t>
            </w:r>
          </w:p>
        </w:tc>
        <w:tc>
          <w:tcPr>
            <w:tcW w:w="1440" w:type="dxa"/>
            <w:vMerge w:val="restart"/>
            <w:tcBorders>
              <w:top w:val="single" w:sz="4" w:space="0" w:color="auto"/>
              <w:right w:val="single" w:sz="4" w:space="0" w:color="auto"/>
            </w:tcBorders>
            <w:shd w:val="clear" w:color="auto" w:fill="0B4D2C" w:themeFill="background2" w:themeFillShade="BF"/>
            <w:vAlign w:val="center"/>
          </w:tcPr>
          <w:p w14:paraId="2E3ECCEC" w14:textId="77777777" w:rsidR="004336BD" w:rsidRPr="00F6205B" w:rsidRDefault="004336BD" w:rsidP="00726720">
            <w:pPr>
              <w:keepNext/>
              <w:keepLines/>
              <w:spacing w:after="0"/>
              <w:jc w:val="center"/>
              <w:rPr>
                <w:b/>
                <w:sz w:val="20"/>
                <w:szCs w:val="20"/>
              </w:rPr>
            </w:pPr>
            <w:r>
              <w:rPr>
                <w:b/>
                <w:sz w:val="20"/>
                <w:szCs w:val="20"/>
              </w:rPr>
              <w:t>Efficiency Unit</w:t>
            </w:r>
          </w:p>
        </w:tc>
        <w:tc>
          <w:tcPr>
            <w:tcW w:w="3197" w:type="dxa"/>
            <w:gridSpan w:val="2"/>
            <w:tcBorders>
              <w:top w:val="single" w:sz="4" w:space="0" w:color="auto"/>
              <w:bottom w:val="single" w:sz="4" w:space="0" w:color="000000" w:themeColor="text1"/>
              <w:right w:val="single" w:sz="4" w:space="0" w:color="auto"/>
            </w:tcBorders>
            <w:shd w:val="clear" w:color="auto" w:fill="0B4D2C" w:themeFill="background2" w:themeFillShade="BF"/>
            <w:vAlign w:val="center"/>
          </w:tcPr>
          <w:p w14:paraId="3A4857C5" w14:textId="77777777" w:rsidR="004336BD" w:rsidRDefault="004336BD" w:rsidP="00726720">
            <w:pPr>
              <w:keepNext/>
              <w:keepLines/>
              <w:spacing w:after="0"/>
              <w:jc w:val="center"/>
              <w:rPr>
                <w:b/>
                <w:sz w:val="20"/>
                <w:szCs w:val="20"/>
              </w:rPr>
            </w:pPr>
            <w:r>
              <w:rPr>
                <w:b/>
                <w:sz w:val="20"/>
                <w:szCs w:val="20"/>
              </w:rPr>
              <w:t>Current Standard</w:t>
            </w:r>
          </w:p>
        </w:tc>
        <w:tc>
          <w:tcPr>
            <w:tcW w:w="3463" w:type="dxa"/>
            <w:gridSpan w:val="2"/>
            <w:tcBorders>
              <w:top w:val="single" w:sz="4" w:space="0" w:color="auto"/>
              <w:bottom w:val="single" w:sz="4" w:space="0" w:color="000000" w:themeColor="text1"/>
              <w:right w:val="single" w:sz="4" w:space="0" w:color="auto"/>
            </w:tcBorders>
            <w:shd w:val="clear" w:color="auto" w:fill="0B4D2C" w:themeFill="background2" w:themeFillShade="BF"/>
            <w:vAlign w:val="center"/>
          </w:tcPr>
          <w:p w14:paraId="045BF8D6" w14:textId="77777777" w:rsidR="004336BD" w:rsidRDefault="004336BD" w:rsidP="00726720">
            <w:pPr>
              <w:keepNext/>
              <w:keepLines/>
              <w:spacing w:after="0"/>
              <w:jc w:val="center"/>
              <w:rPr>
                <w:b/>
                <w:sz w:val="20"/>
                <w:szCs w:val="20"/>
              </w:rPr>
            </w:pPr>
            <w:r>
              <w:rPr>
                <w:b/>
                <w:sz w:val="20"/>
                <w:szCs w:val="20"/>
              </w:rPr>
              <w:t>Amended Standard</w:t>
            </w:r>
          </w:p>
        </w:tc>
      </w:tr>
      <w:tr w:rsidR="004336BD" w:rsidRPr="00F6205B" w14:paraId="7B8BD660" w14:textId="77777777" w:rsidTr="00726720">
        <w:trPr>
          <w:trHeight w:val="288"/>
          <w:jc w:val="center"/>
        </w:trPr>
        <w:tc>
          <w:tcPr>
            <w:tcW w:w="1475" w:type="dxa"/>
            <w:vMerge/>
            <w:tcBorders>
              <w:left w:val="single" w:sz="4" w:space="0" w:color="auto"/>
              <w:bottom w:val="single" w:sz="4" w:space="0" w:color="000000" w:themeColor="text1"/>
              <w:right w:val="single" w:sz="4" w:space="0" w:color="auto"/>
            </w:tcBorders>
            <w:shd w:val="clear" w:color="auto" w:fill="0B4D2C" w:themeFill="background2" w:themeFillShade="BF"/>
            <w:vAlign w:val="center"/>
          </w:tcPr>
          <w:p w14:paraId="79BC40D3" w14:textId="77777777" w:rsidR="004336BD" w:rsidRDefault="004336BD" w:rsidP="00726720">
            <w:pPr>
              <w:keepNext/>
              <w:keepLines/>
              <w:spacing w:after="0"/>
              <w:rPr>
                <w:b/>
                <w:sz w:val="20"/>
                <w:szCs w:val="20"/>
              </w:rPr>
            </w:pPr>
          </w:p>
        </w:tc>
        <w:tc>
          <w:tcPr>
            <w:tcW w:w="1620" w:type="dxa"/>
            <w:vMerge/>
            <w:tcBorders>
              <w:bottom w:val="single" w:sz="4" w:space="0" w:color="000000" w:themeColor="text1"/>
              <w:right w:val="single" w:sz="4" w:space="0" w:color="auto"/>
            </w:tcBorders>
            <w:shd w:val="clear" w:color="auto" w:fill="0B4D2C" w:themeFill="background2" w:themeFillShade="BF"/>
            <w:vAlign w:val="center"/>
          </w:tcPr>
          <w:p w14:paraId="460FCB60" w14:textId="77777777" w:rsidR="004336BD" w:rsidRDefault="004336BD" w:rsidP="00726720">
            <w:pPr>
              <w:keepNext/>
              <w:keepLines/>
              <w:spacing w:after="0"/>
              <w:rPr>
                <w:b/>
                <w:sz w:val="20"/>
                <w:szCs w:val="20"/>
              </w:rPr>
            </w:pPr>
          </w:p>
        </w:tc>
        <w:tc>
          <w:tcPr>
            <w:tcW w:w="1440" w:type="dxa"/>
            <w:vMerge/>
            <w:tcBorders>
              <w:bottom w:val="single" w:sz="4" w:space="0" w:color="000000" w:themeColor="text1"/>
              <w:right w:val="single" w:sz="4" w:space="0" w:color="auto"/>
            </w:tcBorders>
            <w:shd w:val="clear" w:color="auto" w:fill="0B4D2C" w:themeFill="background2" w:themeFillShade="BF"/>
            <w:vAlign w:val="center"/>
          </w:tcPr>
          <w:p w14:paraId="66F9EAEE" w14:textId="77777777" w:rsidR="004336BD" w:rsidRDefault="004336BD" w:rsidP="00726720">
            <w:pPr>
              <w:keepNext/>
              <w:keepLines/>
              <w:spacing w:after="0"/>
              <w:jc w:val="center"/>
              <w:rPr>
                <w:b/>
                <w:sz w:val="20"/>
                <w:szCs w:val="20"/>
              </w:rPr>
            </w:pPr>
          </w:p>
        </w:tc>
        <w:tc>
          <w:tcPr>
            <w:tcW w:w="1898" w:type="dxa"/>
            <w:tcBorders>
              <w:top w:val="single" w:sz="4" w:space="0" w:color="auto"/>
              <w:bottom w:val="single" w:sz="4" w:space="0" w:color="auto"/>
              <w:right w:val="single" w:sz="4" w:space="0" w:color="auto"/>
            </w:tcBorders>
            <w:shd w:val="clear" w:color="auto" w:fill="0B4D2C" w:themeFill="background2" w:themeFillShade="BF"/>
            <w:vAlign w:val="center"/>
          </w:tcPr>
          <w:p w14:paraId="1CB68A20" w14:textId="77777777" w:rsidR="004336BD" w:rsidRDefault="004336BD" w:rsidP="00726720">
            <w:pPr>
              <w:keepNext/>
              <w:keepLines/>
              <w:spacing w:after="0"/>
              <w:jc w:val="center"/>
              <w:rPr>
                <w:b/>
                <w:sz w:val="20"/>
                <w:szCs w:val="20"/>
              </w:rPr>
            </w:pPr>
            <w:r>
              <w:rPr>
                <w:b/>
                <w:sz w:val="20"/>
                <w:szCs w:val="20"/>
              </w:rPr>
              <w:t>Standard</w:t>
            </w:r>
          </w:p>
        </w:tc>
        <w:tc>
          <w:tcPr>
            <w:tcW w:w="1299" w:type="dxa"/>
            <w:tcBorders>
              <w:top w:val="single" w:sz="4" w:space="0" w:color="auto"/>
              <w:bottom w:val="single" w:sz="4" w:space="0" w:color="000000" w:themeColor="text1"/>
              <w:right w:val="single" w:sz="4" w:space="0" w:color="auto"/>
            </w:tcBorders>
            <w:shd w:val="clear" w:color="auto" w:fill="0B4D2C" w:themeFill="background2" w:themeFillShade="BF"/>
            <w:vAlign w:val="center"/>
          </w:tcPr>
          <w:p w14:paraId="21DDA30D" w14:textId="77777777" w:rsidR="004336BD" w:rsidRDefault="004336BD" w:rsidP="00726720">
            <w:pPr>
              <w:keepNext/>
              <w:keepLines/>
              <w:spacing w:after="0"/>
              <w:jc w:val="center"/>
              <w:rPr>
                <w:b/>
                <w:sz w:val="20"/>
                <w:szCs w:val="20"/>
              </w:rPr>
            </w:pPr>
            <w:r>
              <w:rPr>
                <w:b/>
                <w:sz w:val="20"/>
                <w:szCs w:val="20"/>
              </w:rPr>
              <w:t>Effective</w:t>
            </w:r>
          </w:p>
        </w:tc>
        <w:tc>
          <w:tcPr>
            <w:tcW w:w="2350" w:type="dxa"/>
            <w:tcBorders>
              <w:top w:val="single" w:sz="4" w:space="0" w:color="auto"/>
              <w:bottom w:val="single" w:sz="4" w:space="0" w:color="000000" w:themeColor="text1"/>
              <w:right w:val="single" w:sz="4" w:space="0" w:color="auto"/>
            </w:tcBorders>
            <w:shd w:val="clear" w:color="auto" w:fill="0B4D2C" w:themeFill="background2" w:themeFillShade="BF"/>
            <w:vAlign w:val="center"/>
          </w:tcPr>
          <w:p w14:paraId="4EC4F0C1" w14:textId="77777777" w:rsidR="004336BD" w:rsidRDefault="004336BD" w:rsidP="00726720">
            <w:pPr>
              <w:keepNext/>
              <w:keepLines/>
              <w:spacing w:after="0"/>
              <w:jc w:val="center"/>
              <w:rPr>
                <w:b/>
                <w:sz w:val="20"/>
                <w:szCs w:val="20"/>
              </w:rPr>
            </w:pPr>
            <w:r>
              <w:rPr>
                <w:b/>
                <w:sz w:val="20"/>
                <w:szCs w:val="20"/>
              </w:rPr>
              <w:t>Standard</w:t>
            </w:r>
          </w:p>
        </w:tc>
        <w:tc>
          <w:tcPr>
            <w:tcW w:w="1113" w:type="dxa"/>
            <w:tcBorders>
              <w:top w:val="single" w:sz="4" w:space="0" w:color="auto"/>
              <w:bottom w:val="single" w:sz="4" w:space="0" w:color="000000" w:themeColor="text1"/>
              <w:right w:val="single" w:sz="4" w:space="0" w:color="auto"/>
            </w:tcBorders>
            <w:shd w:val="clear" w:color="auto" w:fill="0B4D2C" w:themeFill="background2" w:themeFillShade="BF"/>
            <w:vAlign w:val="center"/>
          </w:tcPr>
          <w:p w14:paraId="7454FD71" w14:textId="77777777" w:rsidR="004336BD" w:rsidRDefault="004336BD" w:rsidP="00726720">
            <w:pPr>
              <w:keepNext/>
              <w:keepLines/>
              <w:spacing w:after="0"/>
              <w:jc w:val="center"/>
              <w:rPr>
                <w:b/>
                <w:sz w:val="20"/>
                <w:szCs w:val="20"/>
              </w:rPr>
            </w:pPr>
            <w:r>
              <w:rPr>
                <w:b/>
                <w:sz w:val="20"/>
                <w:szCs w:val="20"/>
              </w:rPr>
              <w:t>Effective</w:t>
            </w:r>
          </w:p>
        </w:tc>
      </w:tr>
      <w:tr w:rsidR="004336BD" w:rsidRPr="00F6205B" w14:paraId="6A73D50A" w14:textId="77777777" w:rsidTr="00726720">
        <w:trPr>
          <w:trHeight w:val="288"/>
          <w:jc w:val="center"/>
        </w:trPr>
        <w:tc>
          <w:tcPr>
            <w:tcW w:w="1475" w:type="dxa"/>
            <w:vMerge w:val="restart"/>
            <w:tcBorders>
              <w:top w:val="single" w:sz="4" w:space="0" w:color="auto"/>
              <w:left w:val="single" w:sz="4" w:space="0" w:color="auto"/>
              <w:right w:val="single" w:sz="4" w:space="0" w:color="000000" w:themeColor="text1"/>
            </w:tcBorders>
            <w:vAlign w:val="center"/>
          </w:tcPr>
          <w:p w14:paraId="3EAC2AAB" w14:textId="77777777" w:rsidR="004336BD" w:rsidRPr="00F6205B" w:rsidRDefault="004336BD" w:rsidP="00726720">
            <w:pPr>
              <w:keepNext/>
              <w:keepLines/>
              <w:spacing w:after="0"/>
              <w:rPr>
                <w:sz w:val="20"/>
                <w:szCs w:val="20"/>
              </w:rPr>
            </w:pPr>
            <w:r>
              <w:rPr>
                <w:sz w:val="20"/>
                <w:szCs w:val="20"/>
              </w:rPr>
              <w:t>Refrigerator</w:t>
            </w:r>
          </w:p>
        </w:tc>
        <w:tc>
          <w:tcPr>
            <w:tcW w:w="1620" w:type="dxa"/>
            <w:tcBorders>
              <w:top w:val="single" w:sz="4" w:space="0" w:color="auto"/>
              <w:bottom w:val="single" w:sz="4" w:space="0" w:color="000000" w:themeColor="text1"/>
            </w:tcBorders>
            <w:vAlign w:val="center"/>
          </w:tcPr>
          <w:p w14:paraId="6DEDBD75" w14:textId="77777777" w:rsidR="004336BD" w:rsidRPr="00F6205B" w:rsidRDefault="004336BD" w:rsidP="00726720">
            <w:pPr>
              <w:keepNext/>
              <w:keepLines/>
              <w:spacing w:after="0"/>
              <w:rPr>
                <w:sz w:val="20"/>
                <w:szCs w:val="20"/>
              </w:rPr>
            </w:pPr>
            <w:r>
              <w:rPr>
                <w:sz w:val="20"/>
                <w:szCs w:val="20"/>
              </w:rPr>
              <w:t>Top freezer</w:t>
            </w:r>
          </w:p>
        </w:tc>
        <w:tc>
          <w:tcPr>
            <w:tcW w:w="1440" w:type="dxa"/>
            <w:vMerge w:val="restart"/>
            <w:tcBorders>
              <w:top w:val="single" w:sz="4" w:space="0" w:color="000000" w:themeColor="text1"/>
              <w:left w:val="single" w:sz="4" w:space="0" w:color="000000" w:themeColor="text1"/>
              <w:right w:val="single" w:sz="4" w:space="0" w:color="auto"/>
            </w:tcBorders>
            <w:vAlign w:val="center"/>
          </w:tcPr>
          <w:p w14:paraId="548A1B74" w14:textId="77777777" w:rsidR="004336BD" w:rsidRPr="00F6205B" w:rsidRDefault="004336BD" w:rsidP="00726720">
            <w:pPr>
              <w:keepNext/>
              <w:keepLines/>
              <w:spacing w:after="0"/>
              <w:rPr>
                <w:sz w:val="20"/>
                <w:szCs w:val="20"/>
              </w:rPr>
            </w:pPr>
            <w:r>
              <w:rPr>
                <w:sz w:val="20"/>
                <w:szCs w:val="20"/>
              </w:rPr>
              <w:t>kWh/year</w:t>
            </w:r>
          </w:p>
        </w:tc>
        <w:tc>
          <w:tcPr>
            <w:tcW w:w="1898" w:type="dxa"/>
            <w:tcBorders>
              <w:top w:val="single" w:sz="4" w:space="0" w:color="auto"/>
              <w:bottom w:val="single" w:sz="4" w:space="0" w:color="000000" w:themeColor="text1"/>
            </w:tcBorders>
            <w:vAlign w:val="center"/>
          </w:tcPr>
          <w:p w14:paraId="514C04FC" w14:textId="77777777" w:rsidR="004336BD" w:rsidRPr="00F6205B" w:rsidRDefault="004336BD" w:rsidP="00726720">
            <w:pPr>
              <w:keepNext/>
              <w:keepLines/>
              <w:spacing w:after="0"/>
              <w:ind w:left="212" w:right="41"/>
              <w:rPr>
                <w:sz w:val="20"/>
                <w:szCs w:val="20"/>
              </w:rPr>
            </w:pPr>
            <w:r w:rsidRPr="00566C01">
              <w:rPr>
                <w:rFonts w:cs="Times New Roman"/>
                <w:color w:val="000000"/>
                <w:sz w:val="20"/>
                <w:szCs w:val="20"/>
              </w:rPr>
              <w:t>8.07</w:t>
            </w:r>
            <w:r>
              <w:rPr>
                <w:rFonts w:cs="Times New Roman"/>
                <w:color w:val="000000"/>
                <w:sz w:val="20"/>
                <w:szCs w:val="20"/>
              </w:rPr>
              <w:t>V</w:t>
            </w:r>
            <w:r w:rsidRPr="00566C01">
              <w:rPr>
                <w:rFonts w:cs="Times New Roman"/>
                <w:color w:val="000000"/>
                <w:sz w:val="20"/>
                <w:szCs w:val="20"/>
              </w:rPr>
              <w:t xml:space="preserve"> + 233.7</w:t>
            </w:r>
          </w:p>
        </w:tc>
        <w:tc>
          <w:tcPr>
            <w:tcW w:w="1299" w:type="dxa"/>
            <w:vMerge w:val="restart"/>
            <w:tcBorders>
              <w:top w:val="single" w:sz="4" w:space="0" w:color="000000" w:themeColor="text1"/>
              <w:left w:val="single" w:sz="4" w:space="0" w:color="000000" w:themeColor="text1"/>
              <w:right w:val="single" w:sz="4" w:space="0" w:color="auto"/>
            </w:tcBorders>
            <w:vAlign w:val="center"/>
          </w:tcPr>
          <w:p w14:paraId="6C681B33" w14:textId="77777777" w:rsidR="004336BD" w:rsidRPr="00F6205B" w:rsidRDefault="004336BD" w:rsidP="00726720">
            <w:pPr>
              <w:keepNext/>
              <w:keepLines/>
              <w:spacing w:after="0"/>
              <w:ind w:left="266"/>
              <w:rPr>
                <w:sz w:val="20"/>
                <w:szCs w:val="20"/>
              </w:rPr>
            </w:pPr>
            <w:r>
              <w:rPr>
                <w:sz w:val="20"/>
                <w:szCs w:val="20"/>
              </w:rPr>
              <w:t>2014</w:t>
            </w:r>
          </w:p>
        </w:tc>
        <w:tc>
          <w:tcPr>
            <w:tcW w:w="23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1F8FE" w:themeFill="accent4" w:themeFillTint="33"/>
            <w:vAlign w:val="center"/>
          </w:tcPr>
          <w:p w14:paraId="70E863B1" w14:textId="77777777" w:rsidR="004336BD" w:rsidRPr="00F6205B" w:rsidRDefault="004336BD" w:rsidP="00726720">
            <w:pPr>
              <w:keepNext/>
              <w:keepLines/>
              <w:spacing w:after="0"/>
              <w:rPr>
                <w:sz w:val="20"/>
                <w:szCs w:val="20"/>
              </w:rPr>
            </w:pPr>
            <w:r>
              <w:rPr>
                <w:sz w:val="20"/>
                <w:szCs w:val="20"/>
              </w:rPr>
              <w:t>84% of prior standard</w:t>
            </w:r>
          </w:p>
        </w:tc>
        <w:tc>
          <w:tcPr>
            <w:tcW w:w="1113" w:type="dxa"/>
            <w:vMerge w:val="restart"/>
            <w:tcBorders>
              <w:top w:val="single" w:sz="4" w:space="0" w:color="000000" w:themeColor="text1"/>
              <w:left w:val="single" w:sz="4" w:space="0" w:color="000000" w:themeColor="text1"/>
              <w:right w:val="single" w:sz="4" w:space="0" w:color="auto"/>
            </w:tcBorders>
            <w:vAlign w:val="center"/>
          </w:tcPr>
          <w:p w14:paraId="1E457A5C" w14:textId="77777777" w:rsidR="004336BD" w:rsidRPr="00F6205B" w:rsidRDefault="004336BD" w:rsidP="00726720">
            <w:pPr>
              <w:keepNext/>
              <w:keepLines/>
              <w:spacing w:after="0"/>
              <w:ind w:left="242"/>
              <w:rPr>
                <w:sz w:val="20"/>
                <w:szCs w:val="20"/>
              </w:rPr>
            </w:pPr>
            <w:r>
              <w:rPr>
                <w:sz w:val="20"/>
                <w:szCs w:val="20"/>
              </w:rPr>
              <w:t>2021</w:t>
            </w:r>
          </w:p>
        </w:tc>
      </w:tr>
      <w:tr w:rsidR="004336BD" w:rsidRPr="00F6205B" w14:paraId="758FD166" w14:textId="77777777" w:rsidTr="00726720">
        <w:trPr>
          <w:trHeight w:val="288"/>
          <w:jc w:val="center"/>
        </w:trPr>
        <w:tc>
          <w:tcPr>
            <w:tcW w:w="1475" w:type="dxa"/>
            <w:vMerge/>
            <w:tcBorders>
              <w:left w:val="single" w:sz="4" w:space="0" w:color="auto"/>
              <w:right w:val="single" w:sz="4" w:space="0" w:color="000000" w:themeColor="text1"/>
            </w:tcBorders>
            <w:vAlign w:val="center"/>
          </w:tcPr>
          <w:p w14:paraId="78C0D49E" w14:textId="77777777" w:rsidR="004336BD" w:rsidRPr="00F6205B" w:rsidRDefault="004336BD" w:rsidP="00726720">
            <w:pPr>
              <w:keepNext/>
              <w:keepLines/>
              <w:spacing w:after="0"/>
              <w:rPr>
                <w:sz w:val="20"/>
                <w:szCs w:val="20"/>
              </w:rPr>
            </w:pPr>
          </w:p>
        </w:tc>
        <w:tc>
          <w:tcPr>
            <w:tcW w:w="1620" w:type="dxa"/>
            <w:tcBorders>
              <w:top w:val="single" w:sz="4" w:space="0" w:color="auto"/>
              <w:bottom w:val="single" w:sz="4" w:space="0" w:color="000000" w:themeColor="text1"/>
            </w:tcBorders>
            <w:vAlign w:val="center"/>
          </w:tcPr>
          <w:p w14:paraId="18A9B87F" w14:textId="77777777" w:rsidR="004336BD" w:rsidRPr="00F6205B" w:rsidRDefault="004336BD" w:rsidP="00726720">
            <w:pPr>
              <w:keepNext/>
              <w:keepLines/>
              <w:spacing w:after="0"/>
              <w:rPr>
                <w:sz w:val="20"/>
                <w:szCs w:val="20"/>
              </w:rPr>
            </w:pPr>
            <w:r>
              <w:rPr>
                <w:sz w:val="20"/>
                <w:szCs w:val="20"/>
              </w:rPr>
              <w:t>Side-by-side</w:t>
            </w:r>
          </w:p>
        </w:tc>
        <w:tc>
          <w:tcPr>
            <w:tcW w:w="1440" w:type="dxa"/>
            <w:vMerge/>
            <w:tcBorders>
              <w:left w:val="single" w:sz="4" w:space="0" w:color="000000" w:themeColor="text1"/>
              <w:right w:val="single" w:sz="4" w:space="0" w:color="auto"/>
            </w:tcBorders>
            <w:vAlign w:val="center"/>
          </w:tcPr>
          <w:p w14:paraId="4217A6CB" w14:textId="77777777" w:rsidR="004336BD" w:rsidRPr="00F6205B" w:rsidRDefault="004336BD" w:rsidP="00726720">
            <w:pPr>
              <w:keepNext/>
              <w:keepLines/>
              <w:spacing w:after="0"/>
              <w:rPr>
                <w:sz w:val="20"/>
                <w:szCs w:val="20"/>
              </w:rPr>
            </w:pPr>
          </w:p>
        </w:tc>
        <w:tc>
          <w:tcPr>
            <w:tcW w:w="1898" w:type="dxa"/>
            <w:tcBorders>
              <w:top w:val="single" w:sz="4" w:space="0" w:color="000000" w:themeColor="text1"/>
              <w:bottom w:val="single" w:sz="4" w:space="0" w:color="000000" w:themeColor="text1"/>
            </w:tcBorders>
            <w:vAlign w:val="center"/>
          </w:tcPr>
          <w:p w14:paraId="20669E9A" w14:textId="77777777" w:rsidR="004336BD" w:rsidRPr="00F6205B" w:rsidRDefault="004336BD" w:rsidP="00726720">
            <w:pPr>
              <w:keepNext/>
              <w:keepLines/>
              <w:spacing w:after="0"/>
              <w:ind w:left="212" w:right="41"/>
              <w:rPr>
                <w:sz w:val="20"/>
                <w:szCs w:val="20"/>
              </w:rPr>
            </w:pPr>
            <w:r w:rsidRPr="00566C01">
              <w:rPr>
                <w:rFonts w:cs="Times New Roman"/>
                <w:color w:val="000000"/>
                <w:sz w:val="20"/>
                <w:szCs w:val="20"/>
              </w:rPr>
              <w:t>8.51</w:t>
            </w:r>
            <w:r>
              <w:rPr>
                <w:rFonts w:cs="Times New Roman"/>
                <w:color w:val="000000"/>
                <w:sz w:val="20"/>
                <w:szCs w:val="20"/>
              </w:rPr>
              <w:t>V</w:t>
            </w:r>
            <w:r w:rsidRPr="00566C01">
              <w:rPr>
                <w:rFonts w:cs="Times New Roman"/>
                <w:color w:val="000000"/>
                <w:sz w:val="20"/>
                <w:szCs w:val="20"/>
              </w:rPr>
              <w:t xml:space="preserve"> + 297.8</w:t>
            </w:r>
          </w:p>
        </w:tc>
        <w:tc>
          <w:tcPr>
            <w:tcW w:w="1299" w:type="dxa"/>
            <w:vMerge/>
            <w:tcBorders>
              <w:left w:val="single" w:sz="4" w:space="0" w:color="000000" w:themeColor="text1"/>
              <w:right w:val="single" w:sz="4" w:space="0" w:color="auto"/>
            </w:tcBorders>
            <w:vAlign w:val="center"/>
          </w:tcPr>
          <w:p w14:paraId="1BDF4028" w14:textId="77777777" w:rsidR="004336BD" w:rsidRPr="00F6205B" w:rsidRDefault="004336BD" w:rsidP="00726720">
            <w:pPr>
              <w:keepNext/>
              <w:keepLines/>
              <w:spacing w:after="0"/>
              <w:ind w:left="266"/>
              <w:rPr>
                <w:sz w:val="20"/>
                <w:szCs w:val="20"/>
              </w:rPr>
            </w:pPr>
          </w:p>
        </w:tc>
        <w:tc>
          <w:tcPr>
            <w:tcW w:w="23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1F8FE" w:themeFill="accent4" w:themeFillTint="33"/>
            <w:vAlign w:val="center"/>
          </w:tcPr>
          <w:p w14:paraId="5EACF993" w14:textId="77777777" w:rsidR="004336BD" w:rsidRPr="00F6205B" w:rsidRDefault="004336BD" w:rsidP="00726720">
            <w:pPr>
              <w:keepNext/>
              <w:keepLines/>
              <w:spacing w:after="0"/>
              <w:rPr>
                <w:sz w:val="20"/>
                <w:szCs w:val="20"/>
              </w:rPr>
            </w:pPr>
            <w:r>
              <w:rPr>
                <w:sz w:val="20"/>
                <w:szCs w:val="20"/>
              </w:rPr>
              <w:t>76% of prior standard</w:t>
            </w:r>
          </w:p>
        </w:tc>
        <w:tc>
          <w:tcPr>
            <w:tcW w:w="1113" w:type="dxa"/>
            <w:vMerge/>
            <w:tcBorders>
              <w:left w:val="single" w:sz="4" w:space="0" w:color="000000" w:themeColor="text1"/>
              <w:right w:val="single" w:sz="4" w:space="0" w:color="auto"/>
            </w:tcBorders>
            <w:vAlign w:val="center"/>
          </w:tcPr>
          <w:p w14:paraId="2CEF5B57" w14:textId="77777777" w:rsidR="004336BD" w:rsidRPr="00F6205B" w:rsidRDefault="004336BD" w:rsidP="00726720">
            <w:pPr>
              <w:keepNext/>
              <w:keepLines/>
              <w:spacing w:after="0"/>
              <w:ind w:left="242"/>
              <w:rPr>
                <w:sz w:val="20"/>
                <w:szCs w:val="20"/>
              </w:rPr>
            </w:pPr>
          </w:p>
        </w:tc>
      </w:tr>
      <w:tr w:rsidR="004336BD" w:rsidRPr="00F6205B" w14:paraId="6CD4314D" w14:textId="77777777" w:rsidTr="00726720">
        <w:trPr>
          <w:trHeight w:val="288"/>
          <w:jc w:val="center"/>
        </w:trPr>
        <w:tc>
          <w:tcPr>
            <w:tcW w:w="1475" w:type="dxa"/>
            <w:vMerge/>
            <w:tcBorders>
              <w:left w:val="single" w:sz="4" w:space="0" w:color="auto"/>
              <w:right w:val="single" w:sz="4" w:space="0" w:color="000000" w:themeColor="text1"/>
            </w:tcBorders>
            <w:vAlign w:val="center"/>
          </w:tcPr>
          <w:p w14:paraId="29612A1F" w14:textId="77777777" w:rsidR="004336BD" w:rsidRPr="00F6205B" w:rsidRDefault="004336BD" w:rsidP="00726720">
            <w:pPr>
              <w:keepNext/>
              <w:keepLines/>
              <w:spacing w:after="0"/>
              <w:rPr>
                <w:sz w:val="20"/>
                <w:szCs w:val="20"/>
              </w:rPr>
            </w:pPr>
          </w:p>
        </w:tc>
        <w:tc>
          <w:tcPr>
            <w:tcW w:w="1620" w:type="dxa"/>
            <w:tcBorders>
              <w:top w:val="single" w:sz="4" w:space="0" w:color="auto"/>
              <w:bottom w:val="single" w:sz="4" w:space="0" w:color="000000" w:themeColor="text1"/>
            </w:tcBorders>
            <w:vAlign w:val="center"/>
          </w:tcPr>
          <w:p w14:paraId="0F99A8AD" w14:textId="77777777" w:rsidR="004336BD" w:rsidRPr="00F6205B" w:rsidRDefault="004336BD" w:rsidP="00726720">
            <w:pPr>
              <w:keepNext/>
              <w:keepLines/>
              <w:spacing w:after="0"/>
              <w:rPr>
                <w:sz w:val="20"/>
                <w:szCs w:val="20"/>
              </w:rPr>
            </w:pPr>
            <w:r>
              <w:rPr>
                <w:sz w:val="20"/>
                <w:szCs w:val="20"/>
              </w:rPr>
              <w:t>Bottom freezer</w:t>
            </w:r>
          </w:p>
        </w:tc>
        <w:tc>
          <w:tcPr>
            <w:tcW w:w="1440" w:type="dxa"/>
            <w:vMerge/>
            <w:tcBorders>
              <w:left w:val="single" w:sz="4" w:space="0" w:color="000000" w:themeColor="text1"/>
              <w:right w:val="single" w:sz="4" w:space="0" w:color="auto"/>
            </w:tcBorders>
            <w:vAlign w:val="center"/>
          </w:tcPr>
          <w:p w14:paraId="14E8BE48" w14:textId="77777777" w:rsidR="004336BD" w:rsidRPr="00F6205B" w:rsidRDefault="004336BD" w:rsidP="00726720">
            <w:pPr>
              <w:keepNext/>
              <w:keepLines/>
              <w:spacing w:after="0"/>
              <w:rPr>
                <w:sz w:val="20"/>
                <w:szCs w:val="20"/>
              </w:rPr>
            </w:pPr>
          </w:p>
        </w:tc>
        <w:tc>
          <w:tcPr>
            <w:tcW w:w="1898" w:type="dxa"/>
            <w:tcBorders>
              <w:top w:val="single" w:sz="4" w:space="0" w:color="000000" w:themeColor="text1"/>
              <w:bottom w:val="single" w:sz="4" w:space="0" w:color="000000" w:themeColor="text1"/>
            </w:tcBorders>
            <w:vAlign w:val="center"/>
          </w:tcPr>
          <w:p w14:paraId="3FD883EF" w14:textId="77777777" w:rsidR="004336BD" w:rsidRPr="00F6205B" w:rsidRDefault="004336BD" w:rsidP="00726720">
            <w:pPr>
              <w:keepNext/>
              <w:keepLines/>
              <w:spacing w:after="0"/>
              <w:ind w:left="212" w:right="41"/>
              <w:rPr>
                <w:sz w:val="20"/>
                <w:szCs w:val="20"/>
              </w:rPr>
            </w:pPr>
            <w:r w:rsidRPr="00566C01">
              <w:rPr>
                <w:rFonts w:cs="Times New Roman"/>
                <w:color w:val="000000"/>
                <w:sz w:val="20"/>
                <w:szCs w:val="20"/>
              </w:rPr>
              <w:t>8.85</w:t>
            </w:r>
            <w:r>
              <w:rPr>
                <w:rFonts w:cs="Times New Roman"/>
                <w:color w:val="000000"/>
                <w:sz w:val="20"/>
                <w:szCs w:val="20"/>
              </w:rPr>
              <w:t>V</w:t>
            </w:r>
            <w:r w:rsidRPr="00566C01">
              <w:rPr>
                <w:rFonts w:cs="Times New Roman"/>
                <w:color w:val="000000"/>
                <w:sz w:val="20"/>
                <w:szCs w:val="20"/>
              </w:rPr>
              <w:t xml:space="preserve"> + 317.0</w:t>
            </w:r>
          </w:p>
        </w:tc>
        <w:tc>
          <w:tcPr>
            <w:tcW w:w="1299" w:type="dxa"/>
            <w:vMerge/>
            <w:tcBorders>
              <w:left w:val="single" w:sz="4" w:space="0" w:color="000000" w:themeColor="text1"/>
              <w:right w:val="single" w:sz="4" w:space="0" w:color="auto"/>
            </w:tcBorders>
            <w:vAlign w:val="center"/>
          </w:tcPr>
          <w:p w14:paraId="704A2F01" w14:textId="77777777" w:rsidR="004336BD" w:rsidRPr="00F6205B" w:rsidRDefault="004336BD" w:rsidP="00726720">
            <w:pPr>
              <w:keepNext/>
              <w:keepLines/>
              <w:spacing w:after="0"/>
              <w:ind w:left="266"/>
              <w:rPr>
                <w:sz w:val="20"/>
                <w:szCs w:val="20"/>
              </w:rPr>
            </w:pPr>
          </w:p>
        </w:tc>
        <w:tc>
          <w:tcPr>
            <w:tcW w:w="23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1F8FE" w:themeFill="accent4" w:themeFillTint="33"/>
            <w:vAlign w:val="center"/>
          </w:tcPr>
          <w:p w14:paraId="68FA28A1" w14:textId="77777777" w:rsidR="004336BD" w:rsidRPr="00F6205B" w:rsidRDefault="004336BD" w:rsidP="00726720">
            <w:pPr>
              <w:keepNext/>
              <w:keepLines/>
              <w:spacing w:after="0"/>
              <w:rPr>
                <w:sz w:val="20"/>
                <w:szCs w:val="20"/>
              </w:rPr>
            </w:pPr>
            <w:r>
              <w:rPr>
                <w:sz w:val="20"/>
                <w:szCs w:val="20"/>
              </w:rPr>
              <w:t>88% of prior standard</w:t>
            </w:r>
          </w:p>
        </w:tc>
        <w:tc>
          <w:tcPr>
            <w:tcW w:w="1113" w:type="dxa"/>
            <w:vMerge/>
            <w:tcBorders>
              <w:left w:val="single" w:sz="4" w:space="0" w:color="000000" w:themeColor="text1"/>
              <w:right w:val="single" w:sz="4" w:space="0" w:color="auto"/>
            </w:tcBorders>
            <w:vAlign w:val="center"/>
          </w:tcPr>
          <w:p w14:paraId="5FF59EA6" w14:textId="77777777" w:rsidR="004336BD" w:rsidRPr="00F6205B" w:rsidRDefault="004336BD" w:rsidP="00726720">
            <w:pPr>
              <w:keepNext/>
              <w:keepLines/>
              <w:spacing w:after="0"/>
              <w:ind w:left="242"/>
              <w:rPr>
                <w:sz w:val="20"/>
                <w:szCs w:val="20"/>
              </w:rPr>
            </w:pPr>
          </w:p>
        </w:tc>
      </w:tr>
      <w:tr w:rsidR="004336BD" w:rsidRPr="00F6205B" w14:paraId="489D83B3" w14:textId="77777777" w:rsidTr="00726720">
        <w:trPr>
          <w:trHeight w:val="288"/>
          <w:jc w:val="center"/>
        </w:trPr>
        <w:tc>
          <w:tcPr>
            <w:tcW w:w="1475" w:type="dxa"/>
            <w:vMerge w:val="restart"/>
            <w:tcBorders>
              <w:left w:val="single" w:sz="4" w:space="0" w:color="auto"/>
              <w:right w:val="single" w:sz="4" w:space="0" w:color="000000" w:themeColor="text1"/>
            </w:tcBorders>
            <w:vAlign w:val="center"/>
          </w:tcPr>
          <w:p w14:paraId="23743F80" w14:textId="77777777" w:rsidR="004336BD" w:rsidRPr="00F6205B" w:rsidRDefault="004336BD" w:rsidP="00726720">
            <w:pPr>
              <w:keepNext/>
              <w:keepLines/>
              <w:spacing w:after="0"/>
              <w:rPr>
                <w:sz w:val="20"/>
                <w:szCs w:val="20"/>
              </w:rPr>
            </w:pPr>
            <w:r>
              <w:rPr>
                <w:sz w:val="20"/>
                <w:szCs w:val="20"/>
              </w:rPr>
              <w:t>Freezer</w:t>
            </w:r>
          </w:p>
        </w:tc>
        <w:tc>
          <w:tcPr>
            <w:tcW w:w="1620" w:type="dxa"/>
            <w:tcBorders>
              <w:top w:val="single" w:sz="4" w:space="0" w:color="000000" w:themeColor="text1"/>
              <w:bottom w:val="single" w:sz="4" w:space="0" w:color="000000" w:themeColor="text1"/>
            </w:tcBorders>
            <w:vAlign w:val="center"/>
          </w:tcPr>
          <w:p w14:paraId="3DB4D3F6" w14:textId="77777777" w:rsidR="004336BD" w:rsidRPr="00F6205B" w:rsidRDefault="004336BD" w:rsidP="00726720">
            <w:pPr>
              <w:keepNext/>
              <w:keepLines/>
              <w:spacing w:after="0"/>
              <w:rPr>
                <w:sz w:val="20"/>
                <w:szCs w:val="20"/>
              </w:rPr>
            </w:pPr>
            <w:r>
              <w:rPr>
                <w:sz w:val="20"/>
                <w:szCs w:val="20"/>
              </w:rPr>
              <w:t>Upright</w:t>
            </w:r>
          </w:p>
        </w:tc>
        <w:tc>
          <w:tcPr>
            <w:tcW w:w="1440" w:type="dxa"/>
            <w:vMerge w:val="restart"/>
            <w:tcBorders>
              <w:left w:val="single" w:sz="4" w:space="0" w:color="000000" w:themeColor="text1"/>
              <w:right w:val="single" w:sz="4" w:space="0" w:color="auto"/>
            </w:tcBorders>
            <w:vAlign w:val="center"/>
          </w:tcPr>
          <w:p w14:paraId="5D3462A0" w14:textId="77777777" w:rsidR="004336BD" w:rsidRPr="00F6205B" w:rsidRDefault="004336BD" w:rsidP="00726720">
            <w:pPr>
              <w:keepNext/>
              <w:keepLines/>
              <w:spacing w:after="0"/>
              <w:rPr>
                <w:sz w:val="20"/>
                <w:szCs w:val="20"/>
              </w:rPr>
            </w:pPr>
            <w:r>
              <w:rPr>
                <w:sz w:val="20"/>
                <w:szCs w:val="20"/>
              </w:rPr>
              <w:t>kWh/year</w:t>
            </w:r>
          </w:p>
        </w:tc>
        <w:tc>
          <w:tcPr>
            <w:tcW w:w="1898" w:type="dxa"/>
            <w:tcBorders>
              <w:top w:val="single" w:sz="4" w:space="0" w:color="000000" w:themeColor="text1"/>
              <w:bottom w:val="single" w:sz="4" w:space="0" w:color="000000" w:themeColor="text1"/>
            </w:tcBorders>
            <w:vAlign w:val="center"/>
          </w:tcPr>
          <w:p w14:paraId="3DB8814C" w14:textId="77777777" w:rsidR="004336BD" w:rsidRPr="00F6205B" w:rsidRDefault="004336BD" w:rsidP="00726720">
            <w:pPr>
              <w:keepNext/>
              <w:keepLines/>
              <w:spacing w:after="0"/>
              <w:ind w:left="212" w:right="41"/>
              <w:rPr>
                <w:sz w:val="20"/>
                <w:szCs w:val="20"/>
              </w:rPr>
            </w:pPr>
            <w:r w:rsidRPr="00566C01">
              <w:rPr>
                <w:rFonts w:cs="Times New Roman"/>
                <w:color w:val="000000"/>
                <w:sz w:val="20"/>
                <w:szCs w:val="20"/>
              </w:rPr>
              <w:t>8.62</w:t>
            </w:r>
            <w:r>
              <w:rPr>
                <w:rFonts w:cs="Times New Roman"/>
                <w:color w:val="000000"/>
                <w:sz w:val="20"/>
                <w:szCs w:val="20"/>
              </w:rPr>
              <w:t>V</w:t>
            </w:r>
            <w:r w:rsidRPr="00566C01">
              <w:rPr>
                <w:rFonts w:cs="Times New Roman"/>
                <w:color w:val="000000"/>
                <w:sz w:val="20"/>
                <w:szCs w:val="20"/>
              </w:rPr>
              <w:t xml:space="preserve"> + 228.3</w:t>
            </w:r>
          </w:p>
        </w:tc>
        <w:tc>
          <w:tcPr>
            <w:tcW w:w="1299" w:type="dxa"/>
            <w:vMerge/>
            <w:tcBorders>
              <w:left w:val="single" w:sz="4" w:space="0" w:color="000000" w:themeColor="text1"/>
              <w:right w:val="single" w:sz="4" w:space="0" w:color="auto"/>
            </w:tcBorders>
            <w:vAlign w:val="center"/>
          </w:tcPr>
          <w:p w14:paraId="6A450D09" w14:textId="77777777" w:rsidR="004336BD" w:rsidRPr="00F6205B" w:rsidRDefault="004336BD" w:rsidP="00726720">
            <w:pPr>
              <w:keepNext/>
              <w:keepLines/>
              <w:spacing w:after="0"/>
              <w:ind w:left="266"/>
              <w:rPr>
                <w:sz w:val="20"/>
                <w:szCs w:val="20"/>
              </w:rPr>
            </w:pPr>
          </w:p>
        </w:tc>
        <w:tc>
          <w:tcPr>
            <w:tcW w:w="23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1F8FE" w:themeFill="accent4" w:themeFillTint="33"/>
            <w:vAlign w:val="center"/>
          </w:tcPr>
          <w:p w14:paraId="7611F698" w14:textId="77777777" w:rsidR="004336BD" w:rsidRPr="00F6205B" w:rsidRDefault="004336BD" w:rsidP="00726720">
            <w:pPr>
              <w:keepNext/>
              <w:keepLines/>
              <w:spacing w:after="0"/>
              <w:rPr>
                <w:sz w:val="20"/>
                <w:szCs w:val="20"/>
              </w:rPr>
            </w:pPr>
            <w:r>
              <w:rPr>
                <w:sz w:val="20"/>
                <w:szCs w:val="20"/>
              </w:rPr>
              <w:t>70% of prior standard</w:t>
            </w:r>
          </w:p>
        </w:tc>
        <w:tc>
          <w:tcPr>
            <w:tcW w:w="1113" w:type="dxa"/>
            <w:vMerge/>
            <w:tcBorders>
              <w:left w:val="single" w:sz="4" w:space="0" w:color="000000" w:themeColor="text1"/>
              <w:right w:val="single" w:sz="4" w:space="0" w:color="auto"/>
            </w:tcBorders>
            <w:vAlign w:val="center"/>
          </w:tcPr>
          <w:p w14:paraId="2A2E2DBD" w14:textId="77777777" w:rsidR="004336BD" w:rsidRPr="00F6205B" w:rsidRDefault="004336BD" w:rsidP="00726720">
            <w:pPr>
              <w:keepNext/>
              <w:keepLines/>
              <w:spacing w:after="0"/>
              <w:ind w:left="242"/>
              <w:rPr>
                <w:sz w:val="20"/>
                <w:szCs w:val="20"/>
              </w:rPr>
            </w:pPr>
          </w:p>
        </w:tc>
      </w:tr>
      <w:tr w:rsidR="004336BD" w:rsidRPr="00F6205B" w14:paraId="228A2EC7" w14:textId="77777777" w:rsidTr="00726720">
        <w:trPr>
          <w:trHeight w:val="288"/>
          <w:jc w:val="center"/>
        </w:trPr>
        <w:tc>
          <w:tcPr>
            <w:tcW w:w="1475" w:type="dxa"/>
            <w:vMerge/>
            <w:tcBorders>
              <w:left w:val="single" w:sz="4" w:space="0" w:color="auto"/>
              <w:right w:val="single" w:sz="4" w:space="0" w:color="000000" w:themeColor="text1"/>
            </w:tcBorders>
            <w:vAlign w:val="center"/>
          </w:tcPr>
          <w:p w14:paraId="5DD25446" w14:textId="77777777" w:rsidR="004336BD" w:rsidRPr="00F6205B" w:rsidRDefault="004336BD" w:rsidP="00726720">
            <w:pPr>
              <w:keepNext/>
              <w:keepLines/>
              <w:spacing w:after="0"/>
              <w:rPr>
                <w:sz w:val="20"/>
                <w:szCs w:val="20"/>
              </w:rPr>
            </w:pPr>
          </w:p>
        </w:tc>
        <w:tc>
          <w:tcPr>
            <w:tcW w:w="1620" w:type="dxa"/>
            <w:tcBorders>
              <w:top w:val="single" w:sz="4" w:space="0" w:color="000000" w:themeColor="text1"/>
              <w:bottom w:val="single" w:sz="4" w:space="0" w:color="000000" w:themeColor="text1"/>
            </w:tcBorders>
            <w:vAlign w:val="center"/>
          </w:tcPr>
          <w:p w14:paraId="68F7F0FF" w14:textId="77777777" w:rsidR="004336BD" w:rsidRPr="00F6205B" w:rsidRDefault="004336BD" w:rsidP="00726720">
            <w:pPr>
              <w:keepNext/>
              <w:keepLines/>
              <w:spacing w:after="0"/>
              <w:rPr>
                <w:sz w:val="20"/>
                <w:szCs w:val="20"/>
              </w:rPr>
            </w:pPr>
            <w:r>
              <w:rPr>
                <w:sz w:val="20"/>
                <w:szCs w:val="20"/>
              </w:rPr>
              <w:t>Chest</w:t>
            </w:r>
          </w:p>
        </w:tc>
        <w:tc>
          <w:tcPr>
            <w:tcW w:w="1440" w:type="dxa"/>
            <w:vMerge/>
            <w:tcBorders>
              <w:left w:val="single" w:sz="4" w:space="0" w:color="000000" w:themeColor="text1"/>
              <w:right w:val="single" w:sz="4" w:space="0" w:color="auto"/>
            </w:tcBorders>
            <w:vAlign w:val="center"/>
          </w:tcPr>
          <w:p w14:paraId="0AE5523D" w14:textId="77777777" w:rsidR="004336BD" w:rsidRPr="00F6205B" w:rsidRDefault="004336BD" w:rsidP="00726720">
            <w:pPr>
              <w:keepNext/>
              <w:keepLines/>
              <w:spacing w:after="0"/>
              <w:rPr>
                <w:sz w:val="20"/>
                <w:szCs w:val="20"/>
              </w:rPr>
            </w:pPr>
          </w:p>
        </w:tc>
        <w:tc>
          <w:tcPr>
            <w:tcW w:w="1898" w:type="dxa"/>
            <w:tcBorders>
              <w:top w:val="single" w:sz="4" w:space="0" w:color="000000" w:themeColor="text1"/>
              <w:bottom w:val="single" w:sz="4" w:space="0" w:color="000000" w:themeColor="text1"/>
            </w:tcBorders>
            <w:vAlign w:val="center"/>
          </w:tcPr>
          <w:p w14:paraId="1A909B58" w14:textId="77777777" w:rsidR="004336BD" w:rsidRPr="00F6205B" w:rsidRDefault="004336BD" w:rsidP="00726720">
            <w:pPr>
              <w:keepNext/>
              <w:keepLines/>
              <w:spacing w:after="0"/>
              <w:ind w:left="212" w:right="41"/>
              <w:rPr>
                <w:sz w:val="20"/>
                <w:szCs w:val="20"/>
              </w:rPr>
            </w:pPr>
            <w:r w:rsidRPr="00566C01">
              <w:rPr>
                <w:rFonts w:cs="Times New Roman"/>
                <w:color w:val="000000"/>
                <w:sz w:val="20"/>
                <w:szCs w:val="20"/>
              </w:rPr>
              <w:t>7.29</w:t>
            </w:r>
            <w:r>
              <w:rPr>
                <w:rFonts w:cs="Times New Roman"/>
                <w:color w:val="000000"/>
                <w:sz w:val="20"/>
                <w:szCs w:val="20"/>
              </w:rPr>
              <w:t>V</w:t>
            </w:r>
            <w:r w:rsidRPr="00566C01">
              <w:rPr>
                <w:rFonts w:cs="Times New Roman"/>
                <w:color w:val="000000"/>
                <w:sz w:val="20"/>
                <w:szCs w:val="20"/>
              </w:rPr>
              <w:t xml:space="preserve"> + 107.8</w:t>
            </w:r>
          </w:p>
        </w:tc>
        <w:tc>
          <w:tcPr>
            <w:tcW w:w="1299" w:type="dxa"/>
            <w:vMerge/>
            <w:tcBorders>
              <w:left w:val="single" w:sz="4" w:space="0" w:color="000000" w:themeColor="text1"/>
              <w:bottom w:val="single" w:sz="4" w:space="0" w:color="000000" w:themeColor="text1"/>
              <w:right w:val="single" w:sz="4" w:space="0" w:color="auto"/>
            </w:tcBorders>
            <w:vAlign w:val="center"/>
          </w:tcPr>
          <w:p w14:paraId="38A446C0" w14:textId="77777777" w:rsidR="004336BD" w:rsidRPr="00F6205B" w:rsidRDefault="004336BD" w:rsidP="00726720">
            <w:pPr>
              <w:keepNext/>
              <w:keepLines/>
              <w:spacing w:after="0"/>
              <w:ind w:left="266"/>
              <w:rPr>
                <w:sz w:val="20"/>
                <w:szCs w:val="20"/>
              </w:rPr>
            </w:pPr>
          </w:p>
        </w:tc>
        <w:tc>
          <w:tcPr>
            <w:tcW w:w="23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1F8FE" w:themeFill="accent4" w:themeFillTint="33"/>
            <w:vAlign w:val="center"/>
          </w:tcPr>
          <w:p w14:paraId="113B0E0B" w14:textId="77777777" w:rsidR="004336BD" w:rsidRPr="00F6205B" w:rsidRDefault="004336BD" w:rsidP="00726720">
            <w:pPr>
              <w:keepNext/>
              <w:keepLines/>
              <w:spacing w:after="0"/>
              <w:rPr>
                <w:sz w:val="20"/>
                <w:szCs w:val="20"/>
              </w:rPr>
            </w:pPr>
            <w:r>
              <w:rPr>
                <w:sz w:val="20"/>
                <w:szCs w:val="20"/>
              </w:rPr>
              <w:t>75% of prior standard</w:t>
            </w:r>
          </w:p>
        </w:tc>
        <w:tc>
          <w:tcPr>
            <w:tcW w:w="1113" w:type="dxa"/>
            <w:vMerge/>
            <w:tcBorders>
              <w:left w:val="single" w:sz="4" w:space="0" w:color="000000" w:themeColor="text1"/>
              <w:bottom w:val="single" w:sz="4" w:space="0" w:color="000000" w:themeColor="text1"/>
              <w:right w:val="single" w:sz="4" w:space="0" w:color="auto"/>
            </w:tcBorders>
            <w:vAlign w:val="center"/>
          </w:tcPr>
          <w:p w14:paraId="21966AC1" w14:textId="77777777" w:rsidR="004336BD" w:rsidRPr="00F6205B" w:rsidRDefault="004336BD" w:rsidP="00726720">
            <w:pPr>
              <w:keepNext/>
              <w:keepLines/>
              <w:spacing w:after="0"/>
              <w:ind w:left="242"/>
              <w:rPr>
                <w:sz w:val="20"/>
                <w:szCs w:val="20"/>
              </w:rPr>
            </w:pPr>
          </w:p>
        </w:tc>
      </w:tr>
      <w:tr w:rsidR="004336BD" w:rsidRPr="00F6205B" w14:paraId="6CEA9902" w14:textId="77777777" w:rsidTr="00726720">
        <w:trPr>
          <w:trHeight w:val="288"/>
          <w:jc w:val="center"/>
        </w:trPr>
        <w:tc>
          <w:tcPr>
            <w:tcW w:w="1475" w:type="dxa"/>
            <w:tcBorders>
              <w:left w:val="single" w:sz="4" w:space="0" w:color="auto"/>
              <w:right w:val="single" w:sz="4" w:space="0" w:color="000000" w:themeColor="text1"/>
            </w:tcBorders>
            <w:vAlign w:val="center"/>
          </w:tcPr>
          <w:p w14:paraId="2A3158C5" w14:textId="77777777" w:rsidR="004336BD" w:rsidRPr="00F6205B" w:rsidRDefault="004336BD" w:rsidP="00726720">
            <w:pPr>
              <w:keepNext/>
              <w:keepLines/>
              <w:spacing w:after="0"/>
              <w:rPr>
                <w:sz w:val="20"/>
                <w:szCs w:val="20"/>
              </w:rPr>
            </w:pPr>
            <w:r>
              <w:rPr>
                <w:sz w:val="20"/>
                <w:szCs w:val="20"/>
              </w:rPr>
              <w:t>Dishwasher</w:t>
            </w:r>
          </w:p>
        </w:tc>
        <w:tc>
          <w:tcPr>
            <w:tcW w:w="1620" w:type="dxa"/>
            <w:tcBorders>
              <w:top w:val="single" w:sz="4" w:space="0" w:color="000000" w:themeColor="text1"/>
              <w:bottom w:val="single" w:sz="4" w:space="0" w:color="auto"/>
            </w:tcBorders>
            <w:vAlign w:val="center"/>
          </w:tcPr>
          <w:p w14:paraId="42273430" w14:textId="77777777" w:rsidR="004336BD" w:rsidRPr="00F6205B" w:rsidRDefault="004336BD" w:rsidP="00726720">
            <w:pPr>
              <w:keepNext/>
              <w:keepLines/>
              <w:spacing w:after="0"/>
              <w:rPr>
                <w:sz w:val="20"/>
                <w:szCs w:val="20"/>
              </w:rPr>
            </w:pPr>
            <w:r>
              <w:rPr>
                <w:sz w:val="20"/>
                <w:szCs w:val="20"/>
              </w:rPr>
              <w:t>All</w:t>
            </w:r>
          </w:p>
        </w:tc>
        <w:tc>
          <w:tcPr>
            <w:tcW w:w="1440" w:type="dxa"/>
            <w:tcBorders>
              <w:left w:val="single" w:sz="4" w:space="0" w:color="000000" w:themeColor="text1"/>
              <w:right w:val="single" w:sz="4" w:space="0" w:color="auto"/>
            </w:tcBorders>
            <w:vAlign w:val="center"/>
          </w:tcPr>
          <w:p w14:paraId="7509FF3C" w14:textId="77777777" w:rsidR="004336BD" w:rsidRPr="00F6205B" w:rsidRDefault="004336BD" w:rsidP="00726720">
            <w:pPr>
              <w:keepNext/>
              <w:keepLines/>
              <w:spacing w:after="0"/>
              <w:rPr>
                <w:sz w:val="20"/>
                <w:szCs w:val="20"/>
              </w:rPr>
            </w:pPr>
            <w:r>
              <w:rPr>
                <w:sz w:val="20"/>
                <w:szCs w:val="20"/>
              </w:rPr>
              <w:t>kWh/year</w:t>
            </w:r>
          </w:p>
        </w:tc>
        <w:tc>
          <w:tcPr>
            <w:tcW w:w="1898"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B918CEC" w14:textId="77777777" w:rsidR="004336BD" w:rsidRPr="00F6205B" w:rsidRDefault="004336BD" w:rsidP="00726720">
            <w:pPr>
              <w:keepNext/>
              <w:keepLines/>
              <w:spacing w:after="0"/>
              <w:ind w:left="212" w:right="41"/>
              <w:rPr>
                <w:sz w:val="20"/>
                <w:szCs w:val="20"/>
              </w:rPr>
            </w:pPr>
            <w:r>
              <w:rPr>
                <w:sz w:val="20"/>
                <w:szCs w:val="20"/>
              </w:rPr>
              <w:t>307</w:t>
            </w:r>
          </w:p>
        </w:tc>
        <w:tc>
          <w:tcPr>
            <w:tcW w:w="129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9D7F168" w14:textId="77777777" w:rsidR="004336BD" w:rsidRPr="00F6205B" w:rsidRDefault="004336BD" w:rsidP="00726720">
            <w:pPr>
              <w:keepNext/>
              <w:keepLines/>
              <w:spacing w:after="0"/>
              <w:ind w:left="266"/>
              <w:rPr>
                <w:sz w:val="20"/>
                <w:szCs w:val="20"/>
              </w:rPr>
            </w:pPr>
            <w:r>
              <w:rPr>
                <w:sz w:val="20"/>
                <w:szCs w:val="20"/>
              </w:rPr>
              <w:t>2013</w:t>
            </w:r>
          </w:p>
        </w:tc>
        <w:tc>
          <w:tcPr>
            <w:tcW w:w="2350"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C54FB0C" w14:textId="77777777" w:rsidR="004336BD" w:rsidRPr="00F6205B" w:rsidRDefault="004336BD" w:rsidP="00726720">
            <w:pPr>
              <w:keepNext/>
              <w:keepLines/>
              <w:spacing w:after="0"/>
              <w:ind w:left="266"/>
              <w:rPr>
                <w:sz w:val="20"/>
                <w:szCs w:val="20"/>
              </w:rPr>
            </w:pPr>
            <w:r>
              <w:rPr>
                <w:sz w:val="20"/>
                <w:szCs w:val="20"/>
              </w:rPr>
              <w:t>234</w:t>
            </w:r>
          </w:p>
        </w:tc>
        <w:tc>
          <w:tcPr>
            <w:tcW w:w="1113"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32FD426" w14:textId="77777777" w:rsidR="004336BD" w:rsidRPr="00F6205B" w:rsidRDefault="004336BD" w:rsidP="00726720">
            <w:pPr>
              <w:keepNext/>
              <w:keepLines/>
              <w:spacing w:after="0"/>
              <w:ind w:left="242"/>
              <w:rPr>
                <w:sz w:val="20"/>
                <w:szCs w:val="20"/>
              </w:rPr>
            </w:pPr>
            <w:r>
              <w:rPr>
                <w:sz w:val="20"/>
                <w:szCs w:val="20"/>
              </w:rPr>
              <w:t>2019</w:t>
            </w:r>
          </w:p>
        </w:tc>
      </w:tr>
      <w:tr w:rsidR="004336BD" w:rsidRPr="00F6205B" w14:paraId="718F2B63" w14:textId="77777777" w:rsidTr="00726720">
        <w:trPr>
          <w:trHeight w:val="288"/>
          <w:jc w:val="center"/>
        </w:trPr>
        <w:tc>
          <w:tcPr>
            <w:tcW w:w="1475" w:type="dxa"/>
            <w:vMerge w:val="restart"/>
            <w:tcBorders>
              <w:left w:val="single" w:sz="4" w:space="0" w:color="auto"/>
              <w:right w:val="single" w:sz="4" w:space="0" w:color="000000" w:themeColor="text1"/>
            </w:tcBorders>
            <w:vAlign w:val="center"/>
          </w:tcPr>
          <w:p w14:paraId="7EFCCE72" w14:textId="77777777" w:rsidR="004336BD" w:rsidRPr="00F6205B" w:rsidRDefault="004336BD" w:rsidP="00726720">
            <w:pPr>
              <w:keepNext/>
              <w:keepLines/>
              <w:spacing w:after="0"/>
              <w:rPr>
                <w:sz w:val="20"/>
                <w:szCs w:val="20"/>
              </w:rPr>
            </w:pPr>
            <w:r>
              <w:rPr>
                <w:sz w:val="20"/>
                <w:szCs w:val="20"/>
              </w:rPr>
              <w:t>Clothes washer</w:t>
            </w:r>
          </w:p>
        </w:tc>
        <w:tc>
          <w:tcPr>
            <w:tcW w:w="1620" w:type="dxa"/>
            <w:tcBorders>
              <w:top w:val="single" w:sz="4" w:space="0" w:color="000000" w:themeColor="text1"/>
              <w:bottom w:val="single" w:sz="4" w:space="0" w:color="auto"/>
            </w:tcBorders>
            <w:vAlign w:val="center"/>
          </w:tcPr>
          <w:p w14:paraId="4388DAD5" w14:textId="77777777" w:rsidR="004336BD" w:rsidRDefault="004336BD" w:rsidP="00726720">
            <w:pPr>
              <w:keepNext/>
              <w:keepLines/>
              <w:spacing w:after="0"/>
              <w:rPr>
                <w:sz w:val="20"/>
                <w:szCs w:val="20"/>
              </w:rPr>
            </w:pPr>
            <w:r>
              <w:rPr>
                <w:sz w:val="20"/>
                <w:szCs w:val="20"/>
              </w:rPr>
              <w:t>Top loading</w:t>
            </w:r>
          </w:p>
        </w:tc>
        <w:tc>
          <w:tcPr>
            <w:tcW w:w="1440" w:type="dxa"/>
            <w:vMerge w:val="restart"/>
            <w:tcBorders>
              <w:left w:val="single" w:sz="4" w:space="0" w:color="000000" w:themeColor="text1"/>
              <w:right w:val="single" w:sz="4" w:space="0" w:color="auto"/>
            </w:tcBorders>
            <w:vAlign w:val="center"/>
          </w:tcPr>
          <w:p w14:paraId="743FFB1D" w14:textId="77777777" w:rsidR="004336BD" w:rsidRPr="00F6205B" w:rsidRDefault="004336BD" w:rsidP="00726720">
            <w:pPr>
              <w:keepNext/>
              <w:keepLines/>
              <w:spacing w:after="0"/>
              <w:rPr>
                <w:sz w:val="20"/>
                <w:szCs w:val="20"/>
              </w:rPr>
            </w:pPr>
            <w:r>
              <w:rPr>
                <w:sz w:val="20"/>
                <w:szCs w:val="20"/>
              </w:rPr>
              <w:t>MEF</w:t>
            </w:r>
          </w:p>
        </w:tc>
        <w:tc>
          <w:tcPr>
            <w:tcW w:w="1898"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5916A4A" w14:textId="77777777" w:rsidR="004336BD" w:rsidRPr="00F6205B" w:rsidRDefault="004336BD" w:rsidP="00726720">
            <w:pPr>
              <w:keepNext/>
              <w:keepLines/>
              <w:spacing w:after="0"/>
              <w:ind w:left="212" w:right="41"/>
              <w:rPr>
                <w:sz w:val="20"/>
                <w:szCs w:val="20"/>
              </w:rPr>
            </w:pPr>
            <w:r>
              <w:rPr>
                <w:sz w:val="20"/>
                <w:szCs w:val="20"/>
              </w:rPr>
              <w:t>1.29</w:t>
            </w:r>
          </w:p>
        </w:tc>
        <w:tc>
          <w:tcPr>
            <w:tcW w:w="1299" w:type="dxa"/>
            <w:vMerge w:val="restart"/>
            <w:tcBorders>
              <w:top w:val="single" w:sz="4" w:space="0" w:color="000000" w:themeColor="text1"/>
              <w:left w:val="single" w:sz="4" w:space="0" w:color="000000" w:themeColor="text1"/>
              <w:right w:val="single" w:sz="4" w:space="0" w:color="auto"/>
            </w:tcBorders>
            <w:vAlign w:val="center"/>
          </w:tcPr>
          <w:p w14:paraId="46A7824F" w14:textId="77777777" w:rsidR="004336BD" w:rsidRPr="00F6205B" w:rsidRDefault="004336BD" w:rsidP="00726720">
            <w:pPr>
              <w:keepNext/>
              <w:keepLines/>
              <w:spacing w:after="0"/>
              <w:ind w:left="266"/>
              <w:rPr>
                <w:sz w:val="20"/>
                <w:szCs w:val="20"/>
              </w:rPr>
            </w:pPr>
            <w:r>
              <w:rPr>
                <w:sz w:val="20"/>
                <w:szCs w:val="20"/>
              </w:rPr>
              <w:t>2015</w:t>
            </w:r>
          </w:p>
        </w:tc>
        <w:tc>
          <w:tcPr>
            <w:tcW w:w="23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1F8FE" w:themeFill="accent4" w:themeFillTint="33"/>
            <w:vAlign w:val="center"/>
          </w:tcPr>
          <w:p w14:paraId="233ED9FB" w14:textId="77777777" w:rsidR="004336BD" w:rsidRPr="00F6205B" w:rsidRDefault="004336BD" w:rsidP="00726720">
            <w:pPr>
              <w:keepNext/>
              <w:keepLines/>
              <w:spacing w:after="0"/>
              <w:ind w:left="266"/>
              <w:rPr>
                <w:sz w:val="20"/>
                <w:szCs w:val="20"/>
              </w:rPr>
            </w:pPr>
            <w:r>
              <w:rPr>
                <w:sz w:val="20"/>
                <w:szCs w:val="20"/>
              </w:rPr>
              <w:t>1.57</w:t>
            </w:r>
          </w:p>
        </w:tc>
        <w:tc>
          <w:tcPr>
            <w:tcW w:w="1113" w:type="dxa"/>
            <w:vMerge w:val="restart"/>
            <w:tcBorders>
              <w:top w:val="single" w:sz="4" w:space="0" w:color="000000" w:themeColor="text1"/>
              <w:left w:val="single" w:sz="4" w:space="0" w:color="000000" w:themeColor="text1"/>
              <w:right w:val="single" w:sz="4" w:space="0" w:color="auto"/>
            </w:tcBorders>
            <w:vAlign w:val="center"/>
          </w:tcPr>
          <w:p w14:paraId="3D3D3E63" w14:textId="77777777" w:rsidR="004336BD" w:rsidRPr="00F6205B" w:rsidRDefault="004336BD" w:rsidP="00726720">
            <w:pPr>
              <w:keepNext/>
              <w:keepLines/>
              <w:spacing w:after="0"/>
              <w:ind w:left="242"/>
              <w:rPr>
                <w:sz w:val="20"/>
                <w:szCs w:val="20"/>
              </w:rPr>
            </w:pPr>
            <w:r>
              <w:rPr>
                <w:sz w:val="20"/>
                <w:szCs w:val="20"/>
              </w:rPr>
              <w:t>2018</w:t>
            </w:r>
          </w:p>
        </w:tc>
      </w:tr>
      <w:tr w:rsidR="004336BD" w:rsidRPr="00F6205B" w14:paraId="15C36563" w14:textId="77777777" w:rsidTr="00726720">
        <w:trPr>
          <w:trHeight w:val="288"/>
          <w:jc w:val="center"/>
        </w:trPr>
        <w:tc>
          <w:tcPr>
            <w:tcW w:w="1475" w:type="dxa"/>
            <w:vMerge/>
            <w:tcBorders>
              <w:left w:val="single" w:sz="4" w:space="0" w:color="auto"/>
              <w:right w:val="single" w:sz="4" w:space="0" w:color="000000" w:themeColor="text1"/>
            </w:tcBorders>
            <w:vAlign w:val="center"/>
          </w:tcPr>
          <w:p w14:paraId="1C80637D" w14:textId="77777777" w:rsidR="004336BD" w:rsidRPr="00F6205B" w:rsidRDefault="004336BD" w:rsidP="00726720">
            <w:pPr>
              <w:keepNext/>
              <w:keepLines/>
              <w:spacing w:after="0"/>
              <w:rPr>
                <w:sz w:val="20"/>
                <w:szCs w:val="20"/>
              </w:rPr>
            </w:pPr>
          </w:p>
        </w:tc>
        <w:tc>
          <w:tcPr>
            <w:tcW w:w="1620" w:type="dxa"/>
            <w:tcBorders>
              <w:top w:val="single" w:sz="4" w:space="0" w:color="000000" w:themeColor="text1"/>
              <w:bottom w:val="single" w:sz="4" w:space="0" w:color="auto"/>
            </w:tcBorders>
            <w:vAlign w:val="center"/>
          </w:tcPr>
          <w:p w14:paraId="047562E5" w14:textId="77777777" w:rsidR="004336BD" w:rsidRDefault="004336BD" w:rsidP="00726720">
            <w:pPr>
              <w:keepNext/>
              <w:keepLines/>
              <w:spacing w:after="0"/>
              <w:rPr>
                <w:sz w:val="20"/>
                <w:szCs w:val="20"/>
              </w:rPr>
            </w:pPr>
            <w:r>
              <w:rPr>
                <w:sz w:val="20"/>
                <w:szCs w:val="20"/>
              </w:rPr>
              <w:t>Front loading</w:t>
            </w:r>
          </w:p>
        </w:tc>
        <w:tc>
          <w:tcPr>
            <w:tcW w:w="1440" w:type="dxa"/>
            <w:vMerge/>
            <w:tcBorders>
              <w:left w:val="single" w:sz="4" w:space="0" w:color="000000" w:themeColor="text1"/>
              <w:right w:val="single" w:sz="4" w:space="0" w:color="auto"/>
            </w:tcBorders>
            <w:vAlign w:val="center"/>
          </w:tcPr>
          <w:p w14:paraId="265F8C50" w14:textId="77777777" w:rsidR="004336BD" w:rsidRPr="00F6205B" w:rsidRDefault="004336BD" w:rsidP="00726720">
            <w:pPr>
              <w:keepNext/>
              <w:keepLines/>
              <w:spacing w:after="0"/>
              <w:rPr>
                <w:sz w:val="20"/>
                <w:szCs w:val="20"/>
              </w:rPr>
            </w:pPr>
          </w:p>
        </w:tc>
        <w:tc>
          <w:tcPr>
            <w:tcW w:w="1898"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A96977A" w14:textId="77777777" w:rsidR="004336BD" w:rsidRPr="00F6205B" w:rsidRDefault="004336BD" w:rsidP="00726720">
            <w:pPr>
              <w:keepNext/>
              <w:keepLines/>
              <w:spacing w:after="0"/>
              <w:ind w:left="212" w:right="41"/>
              <w:rPr>
                <w:sz w:val="20"/>
                <w:szCs w:val="20"/>
              </w:rPr>
            </w:pPr>
            <w:r>
              <w:rPr>
                <w:sz w:val="20"/>
                <w:szCs w:val="20"/>
              </w:rPr>
              <w:t>1.84</w:t>
            </w:r>
          </w:p>
        </w:tc>
        <w:tc>
          <w:tcPr>
            <w:tcW w:w="1299" w:type="dxa"/>
            <w:vMerge/>
            <w:tcBorders>
              <w:left w:val="single" w:sz="4" w:space="0" w:color="000000" w:themeColor="text1"/>
              <w:bottom w:val="single" w:sz="4" w:space="0" w:color="000000" w:themeColor="text1"/>
              <w:right w:val="single" w:sz="4" w:space="0" w:color="auto"/>
            </w:tcBorders>
            <w:vAlign w:val="center"/>
          </w:tcPr>
          <w:p w14:paraId="3E3E08EC" w14:textId="77777777" w:rsidR="004336BD" w:rsidRPr="00F6205B" w:rsidRDefault="004336BD" w:rsidP="00726720">
            <w:pPr>
              <w:keepNext/>
              <w:keepLines/>
              <w:spacing w:after="0"/>
              <w:ind w:left="266"/>
              <w:rPr>
                <w:sz w:val="20"/>
                <w:szCs w:val="20"/>
              </w:rPr>
            </w:pPr>
          </w:p>
        </w:tc>
        <w:tc>
          <w:tcPr>
            <w:tcW w:w="23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1F8FE" w:themeFill="accent4" w:themeFillTint="33"/>
            <w:vAlign w:val="center"/>
          </w:tcPr>
          <w:p w14:paraId="6CE92B43" w14:textId="77777777" w:rsidR="004336BD" w:rsidRPr="00F6205B" w:rsidRDefault="004336BD" w:rsidP="00726720">
            <w:pPr>
              <w:keepNext/>
              <w:keepLines/>
              <w:spacing w:after="0"/>
              <w:ind w:left="266"/>
              <w:rPr>
                <w:sz w:val="20"/>
                <w:szCs w:val="20"/>
              </w:rPr>
            </w:pPr>
            <w:r>
              <w:rPr>
                <w:sz w:val="20"/>
                <w:szCs w:val="20"/>
              </w:rPr>
              <w:t>1.84</w:t>
            </w:r>
          </w:p>
        </w:tc>
        <w:tc>
          <w:tcPr>
            <w:tcW w:w="1113" w:type="dxa"/>
            <w:vMerge/>
            <w:tcBorders>
              <w:left w:val="single" w:sz="4" w:space="0" w:color="000000" w:themeColor="text1"/>
              <w:bottom w:val="single" w:sz="4" w:space="0" w:color="000000" w:themeColor="text1"/>
              <w:right w:val="single" w:sz="4" w:space="0" w:color="auto"/>
            </w:tcBorders>
            <w:vAlign w:val="center"/>
          </w:tcPr>
          <w:p w14:paraId="482D87E6" w14:textId="77777777" w:rsidR="004336BD" w:rsidRPr="00F6205B" w:rsidRDefault="004336BD" w:rsidP="00726720">
            <w:pPr>
              <w:keepNext/>
              <w:keepLines/>
              <w:spacing w:after="0"/>
              <w:ind w:left="242"/>
              <w:rPr>
                <w:sz w:val="20"/>
                <w:szCs w:val="20"/>
              </w:rPr>
            </w:pPr>
          </w:p>
        </w:tc>
      </w:tr>
      <w:tr w:rsidR="004336BD" w:rsidRPr="00F6205B" w14:paraId="3985CFAF" w14:textId="77777777" w:rsidTr="00726720">
        <w:trPr>
          <w:trHeight w:val="288"/>
          <w:jc w:val="center"/>
        </w:trPr>
        <w:tc>
          <w:tcPr>
            <w:tcW w:w="1475" w:type="dxa"/>
            <w:tcBorders>
              <w:left w:val="single" w:sz="4" w:space="0" w:color="auto"/>
              <w:right w:val="single" w:sz="4" w:space="0" w:color="000000" w:themeColor="text1"/>
            </w:tcBorders>
            <w:vAlign w:val="center"/>
          </w:tcPr>
          <w:p w14:paraId="041550D9" w14:textId="77777777" w:rsidR="004336BD" w:rsidRPr="00F6205B" w:rsidRDefault="004336BD" w:rsidP="00726720">
            <w:pPr>
              <w:keepNext/>
              <w:keepLines/>
              <w:spacing w:after="0"/>
              <w:rPr>
                <w:sz w:val="20"/>
                <w:szCs w:val="20"/>
              </w:rPr>
            </w:pPr>
            <w:r>
              <w:rPr>
                <w:sz w:val="20"/>
                <w:szCs w:val="20"/>
              </w:rPr>
              <w:t>Dehumidifier</w:t>
            </w:r>
          </w:p>
        </w:tc>
        <w:tc>
          <w:tcPr>
            <w:tcW w:w="1620" w:type="dxa"/>
            <w:tcBorders>
              <w:top w:val="single" w:sz="4" w:space="0" w:color="auto"/>
              <w:bottom w:val="single" w:sz="4" w:space="0" w:color="auto"/>
            </w:tcBorders>
            <w:vAlign w:val="center"/>
          </w:tcPr>
          <w:p w14:paraId="40CB4C0E" w14:textId="77777777" w:rsidR="004336BD" w:rsidRPr="00F6205B" w:rsidRDefault="004336BD" w:rsidP="00726720">
            <w:pPr>
              <w:keepNext/>
              <w:keepLines/>
              <w:spacing w:after="0"/>
              <w:rPr>
                <w:sz w:val="20"/>
                <w:szCs w:val="20"/>
              </w:rPr>
            </w:pPr>
            <w:r>
              <w:rPr>
                <w:sz w:val="20"/>
                <w:szCs w:val="20"/>
              </w:rPr>
              <w:t>All</w:t>
            </w:r>
          </w:p>
        </w:tc>
        <w:tc>
          <w:tcPr>
            <w:tcW w:w="1440" w:type="dxa"/>
            <w:tcBorders>
              <w:left w:val="single" w:sz="4" w:space="0" w:color="000000" w:themeColor="text1"/>
              <w:right w:val="single" w:sz="4" w:space="0" w:color="auto"/>
            </w:tcBorders>
            <w:vAlign w:val="center"/>
          </w:tcPr>
          <w:p w14:paraId="523189E7" w14:textId="77777777" w:rsidR="004336BD" w:rsidRPr="00F6205B" w:rsidRDefault="004336BD" w:rsidP="00726720">
            <w:pPr>
              <w:keepNext/>
              <w:keepLines/>
              <w:spacing w:after="0"/>
              <w:rPr>
                <w:sz w:val="20"/>
                <w:szCs w:val="20"/>
              </w:rPr>
            </w:pPr>
            <w:r>
              <w:rPr>
                <w:sz w:val="20"/>
                <w:szCs w:val="20"/>
              </w:rPr>
              <w:t>Liters/kWh</w:t>
            </w:r>
          </w:p>
        </w:tc>
        <w:tc>
          <w:tcPr>
            <w:tcW w:w="1898"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184546F" w14:textId="77777777" w:rsidR="004336BD" w:rsidRPr="00F6205B" w:rsidRDefault="004336BD" w:rsidP="00726720">
            <w:pPr>
              <w:keepNext/>
              <w:keepLines/>
              <w:spacing w:after="0"/>
              <w:ind w:left="212" w:right="41"/>
              <w:rPr>
                <w:sz w:val="20"/>
                <w:szCs w:val="20"/>
              </w:rPr>
            </w:pPr>
            <w:r>
              <w:rPr>
                <w:sz w:val="20"/>
                <w:szCs w:val="20"/>
              </w:rPr>
              <w:t>1.7</w:t>
            </w:r>
          </w:p>
        </w:tc>
        <w:tc>
          <w:tcPr>
            <w:tcW w:w="129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CA80748" w14:textId="77777777" w:rsidR="004336BD" w:rsidRPr="00F6205B" w:rsidRDefault="004336BD" w:rsidP="00726720">
            <w:pPr>
              <w:keepNext/>
              <w:keepLines/>
              <w:spacing w:after="0"/>
              <w:ind w:left="266"/>
              <w:rPr>
                <w:sz w:val="20"/>
                <w:szCs w:val="20"/>
              </w:rPr>
            </w:pPr>
            <w:r>
              <w:rPr>
                <w:sz w:val="20"/>
                <w:szCs w:val="20"/>
              </w:rPr>
              <w:t>2012</w:t>
            </w:r>
          </w:p>
        </w:tc>
        <w:tc>
          <w:tcPr>
            <w:tcW w:w="2350"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52C30A5" w14:textId="77777777" w:rsidR="004336BD" w:rsidRPr="00F6205B" w:rsidRDefault="004336BD" w:rsidP="00726720">
            <w:pPr>
              <w:keepNext/>
              <w:keepLines/>
              <w:spacing w:after="0"/>
              <w:ind w:left="266"/>
              <w:rPr>
                <w:sz w:val="20"/>
                <w:szCs w:val="20"/>
              </w:rPr>
            </w:pPr>
            <w:r>
              <w:rPr>
                <w:sz w:val="20"/>
                <w:szCs w:val="20"/>
              </w:rPr>
              <w:t>2.0</w:t>
            </w:r>
          </w:p>
        </w:tc>
        <w:tc>
          <w:tcPr>
            <w:tcW w:w="1113"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B52FB76" w14:textId="77777777" w:rsidR="004336BD" w:rsidRPr="00F6205B" w:rsidRDefault="004336BD" w:rsidP="00726720">
            <w:pPr>
              <w:keepNext/>
              <w:keepLines/>
              <w:spacing w:after="0"/>
              <w:ind w:left="242"/>
              <w:rPr>
                <w:sz w:val="20"/>
                <w:szCs w:val="20"/>
              </w:rPr>
            </w:pPr>
            <w:r>
              <w:rPr>
                <w:sz w:val="20"/>
                <w:szCs w:val="20"/>
              </w:rPr>
              <w:t>2019</w:t>
            </w:r>
          </w:p>
        </w:tc>
      </w:tr>
      <w:tr w:rsidR="004336BD" w:rsidRPr="00F6205B" w14:paraId="3E847D54" w14:textId="77777777" w:rsidTr="00726720">
        <w:trPr>
          <w:trHeight w:val="288"/>
          <w:jc w:val="center"/>
        </w:trPr>
        <w:tc>
          <w:tcPr>
            <w:tcW w:w="1475" w:type="dxa"/>
            <w:tcBorders>
              <w:left w:val="single" w:sz="4" w:space="0" w:color="auto"/>
              <w:bottom w:val="single" w:sz="4" w:space="0" w:color="auto"/>
              <w:right w:val="single" w:sz="4" w:space="0" w:color="000000" w:themeColor="text1"/>
            </w:tcBorders>
            <w:vAlign w:val="center"/>
          </w:tcPr>
          <w:p w14:paraId="5D7D431D" w14:textId="77777777" w:rsidR="004336BD" w:rsidRDefault="004336BD" w:rsidP="00726720">
            <w:pPr>
              <w:keepNext/>
              <w:keepLines/>
              <w:spacing w:after="0"/>
              <w:rPr>
                <w:sz w:val="20"/>
                <w:szCs w:val="20"/>
              </w:rPr>
            </w:pPr>
            <w:r>
              <w:rPr>
                <w:sz w:val="20"/>
                <w:szCs w:val="20"/>
              </w:rPr>
              <w:t>Lighting</w:t>
            </w:r>
          </w:p>
        </w:tc>
        <w:tc>
          <w:tcPr>
            <w:tcW w:w="1620" w:type="dxa"/>
            <w:tcBorders>
              <w:top w:val="single" w:sz="4" w:space="0" w:color="auto"/>
              <w:bottom w:val="single" w:sz="4" w:space="0" w:color="auto"/>
            </w:tcBorders>
            <w:vAlign w:val="center"/>
          </w:tcPr>
          <w:p w14:paraId="2984A7DF" w14:textId="77777777" w:rsidR="004336BD" w:rsidRDefault="004336BD" w:rsidP="00726720">
            <w:pPr>
              <w:keepNext/>
              <w:keepLines/>
              <w:spacing w:after="0"/>
              <w:rPr>
                <w:sz w:val="20"/>
                <w:szCs w:val="20"/>
              </w:rPr>
            </w:pPr>
            <w:r>
              <w:rPr>
                <w:sz w:val="20"/>
                <w:szCs w:val="20"/>
              </w:rPr>
              <w:t>All</w:t>
            </w:r>
          </w:p>
        </w:tc>
        <w:tc>
          <w:tcPr>
            <w:tcW w:w="1440" w:type="dxa"/>
            <w:tcBorders>
              <w:left w:val="single" w:sz="4" w:space="0" w:color="000000" w:themeColor="text1"/>
              <w:bottom w:val="single" w:sz="4" w:space="0" w:color="auto"/>
              <w:right w:val="single" w:sz="4" w:space="0" w:color="auto"/>
            </w:tcBorders>
            <w:vAlign w:val="center"/>
          </w:tcPr>
          <w:p w14:paraId="6128E4E9" w14:textId="77777777" w:rsidR="004336BD" w:rsidRDefault="004336BD" w:rsidP="00726720">
            <w:pPr>
              <w:keepNext/>
              <w:keepLines/>
              <w:spacing w:after="0"/>
              <w:rPr>
                <w:sz w:val="20"/>
                <w:szCs w:val="20"/>
              </w:rPr>
            </w:pPr>
            <w:r>
              <w:rPr>
                <w:rFonts w:cs="Arial"/>
                <w:sz w:val="20"/>
                <w:szCs w:val="20"/>
              </w:rPr>
              <w:t>Δ</w:t>
            </w:r>
            <w:r>
              <w:rPr>
                <w:sz w:val="20"/>
                <w:szCs w:val="20"/>
              </w:rPr>
              <w:t xml:space="preserve"> Watts</w:t>
            </w:r>
          </w:p>
        </w:tc>
        <w:tc>
          <w:tcPr>
            <w:tcW w:w="3197" w:type="dxa"/>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8E2A2BF" w14:textId="77777777" w:rsidR="004336BD" w:rsidRDefault="004336BD" w:rsidP="00726720">
            <w:pPr>
              <w:keepNext/>
              <w:keepLines/>
              <w:spacing w:after="0"/>
              <w:ind w:left="1141"/>
              <w:rPr>
                <w:sz w:val="20"/>
                <w:szCs w:val="20"/>
              </w:rPr>
            </w:pPr>
            <w:r>
              <w:rPr>
                <w:sz w:val="20"/>
                <w:szCs w:val="20"/>
              </w:rPr>
              <w:t>Varies</w:t>
            </w:r>
          </w:p>
        </w:tc>
        <w:tc>
          <w:tcPr>
            <w:tcW w:w="3463" w:type="dxa"/>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98A6D01" w14:textId="77777777" w:rsidR="004336BD" w:rsidRDefault="004336BD" w:rsidP="00726720">
            <w:pPr>
              <w:keepNext/>
              <w:keepLines/>
              <w:spacing w:after="0"/>
              <w:ind w:left="1366"/>
              <w:rPr>
                <w:sz w:val="20"/>
                <w:szCs w:val="20"/>
              </w:rPr>
            </w:pPr>
            <w:r>
              <w:rPr>
                <w:sz w:val="20"/>
                <w:szCs w:val="20"/>
              </w:rPr>
              <w:t>5 Watts</w:t>
            </w:r>
          </w:p>
        </w:tc>
      </w:tr>
    </w:tbl>
    <w:p w14:paraId="7BC8E1AB" w14:textId="77777777" w:rsidR="004336BD" w:rsidRDefault="004336BD" w:rsidP="004336BD"/>
    <w:p w14:paraId="64865B60" w14:textId="77777777" w:rsidR="004336BD" w:rsidRDefault="004336BD" w:rsidP="00F52E2F">
      <w:pPr>
        <w:pStyle w:val="ApHeading2"/>
        <w:numPr>
          <w:ilvl w:val="0"/>
          <w:numId w:val="0"/>
        </w:numPr>
        <w:rPr>
          <w:rFonts w:hint="eastAsia"/>
        </w:rPr>
      </w:pPr>
      <w:bookmarkStart w:id="532" w:name="_Toc439939429"/>
      <w:r>
        <w:lastRenderedPageBreak/>
        <w:t>Market Adoption Assumptions</w:t>
      </w:r>
      <w:bookmarkEnd w:id="532"/>
    </w:p>
    <w:p w14:paraId="116C4E44" w14:textId="77777777" w:rsidR="004336BD" w:rsidRDefault="004336BD" w:rsidP="004336BD">
      <w:pPr>
        <w:rPr>
          <w:lang w:bidi="ar-SA"/>
        </w:rPr>
      </w:pPr>
      <w:r>
        <w:rPr>
          <w:lang w:bidi="ar-SA"/>
        </w:rPr>
        <w:fldChar w:fldCharType="begin"/>
      </w:r>
      <w:r>
        <w:rPr>
          <w:lang w:bidi="ar-SA"/>
        </w:rPr>
        <w:instrText xml:space="preserve"> REF _Ref439777436 \h </w:instrText>
      </w:r>
      <w:r>
        <w:rPr>
          <w:lang w:bidi="ar-SA"/>
        </w:rPr>
      </w:r>
      <w:r>
        <w:rPr>
          <w:lang w:bidi="ar-SA"/>
        </w:rPr>
        <w:fldChar w:fldCharType="separate"/>
      </w:r>
      <w:r w:rsidR="00FA26A9">
        <w:t xml:space="preserve">Table </w:t>
      </w:r>
      <w:r w:rsidR="00FA26A9">
        <w:rPr>
          <w:noProof/>
        </w:rPr>
        <w:t>54</w:t>
      </w:r>
      <w:r>
        <w:rPr>
          <w:lang w:bidi="ar-SA"/>
        </w:rPr>
        <w:fldChar w:fldCharType="end"/>
      </w:r>
      <w:r>
        <w:rPr>
          <w:lang w:bidi="ar-SA"/>
        </w:rPr>
        <w:t xml:space="preserve"> shows the market penetration percentages that were used in approximating the gradual increase in market adoption of measures over the ten years from 2016 to 2025. The two numbers included in the table—the existing proportion of homes where a given measure’s efficiency upgrade level is already present, and the proportion of homes where this study predicts the level will be met in the year 2025—were used to make an adoption curve, which was subsequently used to adjust savings down to account for gradual measure adoption.</w:t>
      </w:r>
    </w:p>
    <w:p w14:paraId="030338C2" w14:textId="77777777" w:rsidR="004336BD" w:rsidRDefault="004336BD" w:rsidP="004336BD">
      <w:pPr>
        <w:rPr>
          <w:lang w:bidi="ar-SA"/>
        </w:rPr>
      </w:pPr>
      <w:r>
        <w:rPr>
          <w:lang w:bidi="ar-SA"/>
        </w:rPr>
        <w:t xml:space="preserve">As noted in the </w:t>
      </w:r>
      <w:r>
        <w:rPr>
          <w:lang w:bidi="ar-SA"/>
        </w:rPr>
        <w:fldChar w:fldCharType="begin"/>
      </w:r>
      <w:r>
        <w:rPr>
          <w:lang w:bidi="ar-SA"/>
        </w:rPr>
        <w:instrText xml:space="preserve"> REF _Ref391560062 \h </w:instrText>
      </w:r>
      <w:r>
        <w:rPr>
          <w:lang w:bidi="ar-SA"/>
        </w:rPr>
      </w:r>
      <w:r>
        <w:rPr>
          <w:lang w:bidi="ar-SA"/>
        </w:rPr>
        <w:fldChar w:fldCharType="separate"/>
      </w:r>
      <w:r w:rsidR="00FA26A9" w:rsidRPr="00F6205B">
        <w:t>Achievable Potential Methodology</w:t>
      </w:r>
      <w:r>
        <w:rPr>
          <w:lang w:bidi="ar-SA"/>
        </w:rPr>
        <w:fldChar w:fldCharType="end"/>
      </w:r>
      <w:r>
        <w:rPr>
          <w:lang w:bidi="ar-SA"/>
        </w:rPr>
        <w:t xml:space="preserve"> section of the report, these predicted market adoption figures were derived from a 2009 potential study conducted by the Electric Power Research Institute (EPRI).</w:t>
      </w:r>
    </w:p>
    <w:p w14:paraId="2DA52AD7" w14:textId="77777777" w:rsidR="004336BD" w:rsidRPr="004336BD" w:rsidRDefault="004336BD" w:rsidP="00F52E2F">
      <w:pPr>
        <w:pStyle w:val="Caption"/>
        <w:rPr>
          <w:lang w:bidi="ar-SA"/>
        </w:rPr>
      </w:pPr>
      <w:bookmarkStart w:id="533" w:name="_Ref439777436"/>
      <w:bookmarkStart w:id="534" w:name="_Toc439931885"/>
      <w:r>
        <w:t xml:space="preserve">Table </w:t>
      </w:r>
      <w:fldSimple w:instr=" SEQ Table \* ARABIC ">
        <w:r w:rsidR="00FA26A9">
          <w:rPr>
            <w:noProof/>
          </w:rPr>
          <w:t>54</w:t>
        </w:r>
      </w:fldSimple>
      <w:bookmarkEnd w:id="533"/>
      <w:r>
        <w:t>: Future Market Penetration Assumptions</w:t>
      </w:r>
      <w:bookmarkEnd w:id="534"/>
    </w:p>
    <w:tbl>
      <w:tblPr>
        <w:tblStyle w:val="TableGrid"/>
        <w:tblW w:w="6353"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4021"/>
        <w:gridCol w:w="1166"/>
        <w:gridCol w:w="1166"/>
      </w:tblGrid>
      <w:tr w:rsidR="004336BD" w:rsidRPr="00F6205B" w14:paraId="1E309ECE" w14:textId="77777777" w:rsidTr="00726720">
        <w:trPr>
          <w:trHeight w:val="288"/>
          <w:jc w:val="center"/>
        </w:trPr>
        <w:tc>
          <w:tcPr>
            <w:tcW w:w="4021" w:type="dxa"/>
            <w:tcBorders>
              <w:top w:val="single" w:sz="4" w:space="0" w:color="auto"/>
              <w:left w:val="single" w:sz="4" w:space="0" w:color="auto"/>
              <w:bottom w:val="single" w:sz="4" w:space="0" w:color="000000" w:themeColor="text1"/>
              <w:right w:val="single" w:sz="4" w:space="0" w:color="auto"/>
            </w:tcBorders>
            <w:shd w:val="clear" w:color="auto" w:fill="0B4D2C" w:themeFill="background2" w:themeFillShade="BF"/>
            <w:vAlign w:val="center"/>
          </w:tcPr>
          <w:p w14:paraId="34695512" w14:textId="77777777" w:rsidR="004336BD" w:rsidRPr="00F6205B" w:rsidRDefault="004336BD" w:rsidP="00726720">
            <w:pPr>
              <w:keepNext/>
              <w:keepLines/>
              <w:spacing w:after="0"/>
              <w:rPr>
                <w:b/>
                <w:sz w:val="20"/>
                <w:szCs w:val="20"/>
              </w:rPr>
            </w:pPr>
            <w:r>
              <w:rPr>
                <w:b/>
                <w:sz w:val="20"/>
                <w:szCs w:val="20"/>
              </w:rPr>
              <w:t>Measure</w:t>
            </w:r>
          </w:p>
        </w:tc>
        <w:tc>
          <w:tcPr>
            <w:tcW w:w="1166" w:type="dxa"/>
            <w:tcBorders>
              <w:top w:val="single" w:sz="4" w:space="0" w:color="auto"/>
              <w:bottom w:val="single" w:sz="4" w:space="0" w:color="000000" w:themeColor="text1"/>
            </w:tcBorders>
            <w:shd w:val="clear" w:color="auto" w:fill="0B4D2C" w:themeFill="background2" w:themeFillShade="BF"/>
            <w:vAlign w:val="center"/>
          </w:tcPr>
          <w:p w14:paraId="47F171A6" w14:textId="77777777" w:rsidR="004336BD" w:rsidRDefault="004336BD" w:rsidP="00726720">
            <w:pPr>
              <w:keepNext/>
              <w:keepLines/>
              <w:spacing w:after="0"/>
              <w:jc w:val="center"/>
              <w:rPr>
                <w:b/>
                <w:sz w:val="20"/>
                <w:szCs w:val="20"/>
              </w:rPr>
            </w:pPr>
            <w:r>
              <w:rPr>
                <w:b/>
                <w:sz w:val="20"/>
                <w:szCs w:val="20"/>
              </w:rPr>
              <w:t>Existing % from Sample</w:t>
            </w:r>
          </w:p>
        </w:tc>
        <w:tc>
          <w:tcPr>
            <w:tcW w:w="1166" w:type="dxa"/>
            <w:tcBorders>
              <w:top w:val="single" w:sz="4" w:space="0" w:color="auto"/>
              <w:bottom w:val="single" w:sz="4" w:space="0" w:color="000000" w:themeColor="text1"/>
              <w:right w:val="single" w:sz="4" w:space="0" w:color="auto"/>
            </w:tcBorders>
            <w:shd w:val="clear" w:color="auto" w:fill="0B4D2C" w:themeFill="background2" w:themeFillShade="BF"/>
            <w:vAlign w:val="center"/>
          </w:tcPr>
          <w:p w14:paraId="14A1CC8B" w14:textId="767383FF" w:rsidR="004336BD" w:rsidRPr="00F6205B" w:rsidRDefault="004336BD" w:rsidP="00726720">
            <w:pPr>
              <w:keepNext/>
              <w:keepLines/>
              <w:spacing w:after="0"/>
              <w:jc w:val="center"/>
              <w:rPr>
                <w:b/>
                <w:sz w:val="20"/>
                <w:szCs w:val="20"/>
              </w:rPr>
            </w:pPr>
            <w:r>
              <w:rPr>
                <w:b/>
                <w:sz w:val="20"/>
                <w:szCs w:val="20"/>
              </w:rPr>
              <w:t>2025 Expected</w:t>
            </w:r>
            <w:r w:rsidR="0026689F">
              <w:rPr>
                <w:b/>
                <w:sz w:val="20"/>
                <w:szCs w:val="20"/>
              </w:rPr>
              <w:t xml:space="preserve"> %</w:t>
            </w:r>
          </w:p>
        </w:tc>
      </w:tr>
      <w:tr w:rsidR="004336BD" w:rsidRPr="00544E3A" w14:paraId="6DE095EB" w14:textId="77777777" w:rsidTr="00726720">
        <w:trPr>
          <w:trHeight w:val="288"/>
          <w:jc w:val="center"/>
        </w:trPr>
        <w:tc>
          <w:tcPr>
            <w:tcW w:w="6353" w:type="dxa"/>
            <w:gridSpan w:val="3"/>
            <w:tcBorders>
              <w:top w:val="single" w:sz="4" w:space="0" w:color="auto"/>
              <w:left w:val="single" w:sz="4" w:space="0" w:color="auto"/>
              <w:bottom w:val="single" w:sz="4" w:space="0" w:color="000000" w:themeColor="text1"/>
              <w:right w:val="single" w:sz="4" w:space="0" w:color="auto"/>
            </w:tcBorders>
            <w:shd w:val="clear" w:color="auto" w:fill="404040" w:themeFill="text1" w:themeFillTint="BF"/>
            <w:vAlign w:val="center"/>
          </w:tcPr>
          <w:p w14:paraId="4A49020D" w14:textId="77777777" w:rsidR="004336BD" w:rsidRPr="00544E3A" w:rsidRDefault="004336BD" w:rsidP="00726720">
            <w:pPr>
              <w:keepNext/>
              <w:keepLines/>
              <w:spacing w:after="0"/>
              <w:rPr>
                <w:color w:val="FFFFFF" w:themeColor="background1"/>
                <w:sz w:val="20"/>
                <w:szCs w:val="20"/>
              </w:rPr>
            </w:pPr>
            <w:r>
              <w:rPr>
                <w:color w:val="FFFFFF" w:themeColor="background1"/>
                <w:sz w:val="20"/>
                <w:szCs w:val="20"/>
              </w:rPr>
              <w:t>Heating and cooling e</w:t>
            </w:r>
            <w:r w:rsidRPr="00544E3A">
              <w:rPr>
                <w:color w:val="FFFFFF" w:themeColor="background1"/>
                <w:sz w:val="20"/>
                <w:szCs w:val="20"/>
              </w:rPr>
              <w:t>quipment</w:t>
            </w:r>
          </w:p>
        </w:tc>
      </w:tr>
      <w:tr w:rsidR="004336BD" w:rsidRPr="00F6205B" w14:paraId="01D8FACD" w14:textId="77777777" w:rsidTr="00726720">
        <w:trPr>
          <w:trHeight w:val="288"/>
          <w:jc w:val="center"/>
        </w:trPr>
        <w:tc>
          <w:tcPr>
            <w:tcW w:w="4021" w:type="dxa"/>
            <w:tcBorders>
              <w:top w:val="single" w:sz="4" w:space="0" w:color="auto"/>
              <w:left w:val="single" w:sz="4" w:space="0" w:color="auto"/>
              <w:bottom w:val="single" w:sz="4" w:space="0" w:color="000000" w:themeColor="text1"/>
              <w:right w:val="single" w:sz="4" w:space="0" w:color="000000" w:themeColor="text1"/>
            </w:tcBorders>
            <w:vAlign w:val="center"/>
          </w:tcPr>
          <w:p w14:paraId="5BE45979" w14:textId="77777777" w:rsidR="004336BD" w:rsidRPr="00F6205B" w:rsidRDefault="004336BD" w:rsidP="00726720">
            <w:pPr>
              <w:keepNext/>
              <w:keepLines/>
              <w:spacing w:after="0"/>
              <w:rPr>
                <w:sz w:val="20"/>
                <w:szCs w:val="20"/>
              </w:rPr>
            </w:pPr>
            <w:r>
              <w:rPr>
                <w:sz w:val="20"/>
                <w:szCs w:val="20"/>
              </w:rPr>
              <w:t>Efficient traditional heating equipment</w:t>
            </w:r>
          </w:p>
        </w:tc>
        <w:tc>
          <w:tcPr>
            <w:tcW w:w="11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494F98" w14:textId="77777777" w:rsidR="004336BD" w:rsidRPr="00F6205B" w:rsidRDefault="004336BD" w:rsidP="00726720">
            <w:pPr>
              <w:keepNext/>
              <w:keepLines/>
              <w:spacing w:after="0"/>
              <w:ind w:left="136"/>
              <w:rPr>
                <w:sz w:val="20"/>
                <w:szCs w:val="20"/>
              </w:rPr>
            </w:pPr>
            <w:r>
              <w:rPr>
                <w:sz w:val="20"/>
                <w:szCs w:val="20"/>
              </w:rPr>
              <w:t>&lt; 1%</w:t>
            </w:r>
          </w:p>
        </w:tc>
        <w:tc>
          <w:tcPr>
            <w:tcW w:w="1166"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17F75DA" w14:textId="77777777" w:rsidR="004336BD" w:rsidRPr="00F6205B" w:rsidRDefault="004336BD" w:rsidP="00726720">
            <w:pPr>
              <w:keepNext/>
              <w:keepLines/>
              <w:spacing w:after="0"/>
              <w:ind w:left="136"/>
              <w:rPr>
                <w:sz w:val="20"/>
                <w:szCs w:val="20"/>
              </w:rPr>
            </w:pPr>
            <w:r>
              <w:rPr>
                <w:sz w:val="20"/>
                <w:szCs w:val="20"/>
              </w:rPr>
              <w:t>40%</w:t>
            </w:r>
          </w:p>
        </w:tc>
      </w:tr>
      <w:tr w:rsidR="004336BD" w:rsidRPr="00F6205B" w14:paraId="32C421FF" w14:textId="77777777" w:rsidTr="00726720">
        <w:trPr>
          <w:trHeight w:val="288"/>
          <w:jc w:val="center"/>
        </w:trPr>
        <w:tc>
          <w:tcPr>
            <w:tcW w:w="402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C1A2C56" w14:textId="77777777" w:rsidR="004336BD" w:rsidRPr="00F6205B" w:rsidRDefault="004336BD" w:rsidP="00726720">
            <w:pPr>
              <w:keepNext/>
              <w:keepLines/>
              <w:spacing w:after="0"/>
              <w:rPr>
                <w:sz w:val="20"/>
                <w:szCs w:val="20"/>
              </w:rPr>
            </w:pPr>
            <w:r>
              <w:rPr>
                <w:sz w:val="20"/>
                <w:szCs w:val="20"/>
              </w:rPr>
              <w:t>Efficient central air conditioners</w:t>
            </w:r>
          </w:p>
        </w:tc>
        <w:tc>
          <w:tcPr>
            <w:tcW w:w="11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23E359" w14:textId="77777777" w:rsidR="004336BD" w:rsidRPr="00F6205B" w:rsidRDefault="004336BD" w:rsidP="00726720">
            <w:pPr>
              <w:keepNext/>
              <w:keepLines/>
              <w:spacing w:after="0"/>
              <w:ind w:left="136"/>
              <w:rPr>
                <w:sz w:val="20"/>
                <w:szCs w:val="20"/>
              </w:rPr>
            </w:pPr>
            <w:r>
              <w:rPr>
                <w:sz w:val="20"/>
                <w:szCs w:val="20"/>
              </w:rPr>
              <w:t>&lt; 1%</w:t>
            </w:r>
          </w:p>
        </w:tc>
        <w:tc>
          <w:tcPr>
            <w:tcW w:w="1166"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2D57A5D" w14:textId="77777777" w:rsidR="004336BD" w:rsidRPr="00F6205B" w:rsidRDefault="004336BD" w:rsidP="00726720">
            <w:pPr>
              <w:keepNext/>
              <w:keepLines/>
              <w:spacing w:after="0"/>
              <w:ind w:left="136"/>
              <w:rPr>
                <w:sz w:val="20"/>
                <w:szCs w:val="20"/>
              </w:rPr>
            </w:pPr>
            <w:r>
              <w:rPr>
                <w:sz w:val="20"/>
                <w:szCs w:val="20"/>
              </w:rPr>
              <w:t>40%</w:t>
            </w:r>
          </w:p>
        </w:tc>
      </w:tr>
      <w:tr w:rsidR="004336BD" w:rsidRPr="00F6205B" w14:paraId="70F3BEAF" w14:textId="77777777" w:rsidTr="00726720">
        <w:trPr>
          <w:trHeight w:val="288"/>
          <w:jc w:val="center"/>
        </w:trPr>
        <w:tc>
          <w:tcPr>
            <w:tcW w:w="402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958EFCE" w14:textId="77777777" w:rsidR="004336BD" w:rsidRPr="00F6205B" w:rsidRDefault="004336BD" w:rsidP="00726720">
            <w:pPr>
              <w:keepNext/>
              <w:keepLines/>
              <w:spacing w:after="0"/>
              <w:rPr>
                <w:sz w:val="20"/>
                <w:szCs w:val="20"/>
              </w:rPr>
            </w:pPr>
            <w:r>
              <w:rPr>
                <w:sz w:val="20"/>
                <w:szCs w:val="20"/>
              </w:rPr>
              <w:t>Heat pumps</w:t>
            </w:r>
          </w:p>
        </w:tc>
        <w:tc>
          <w:tcPr>
            <w:tcW w:w="11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F48634" w14:textId="77777777" w:rsidR="004336BD" w:rsidRPr="00F6205B" w:rsidRDefault="004336BD" w:rsidP="00726720">
            <w:pPr>
              <w:keepNext/>
              <w:keepLines/>
              <w:spacing w:after="0"/>
              <w:ind w:left="136"/>
              <w:rPr>
                <w:sz w:val="20"/>
                <w:szCs w:val="20"/>
              </w:rPr>
            </w:pPr>
            <w:r>
              <w:rPr>
                <w:sz w:val="20"/>
                <w:szCs w:val="20"/>
              </w:rPr>
              <w:t>2%</w:t>
            </w:r>
          </w:p>
        </w:tc>
        <w:tc>
          <w:tcPr>
            <w:tcW w:w="1166"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6CD66F5" w14:textId="77777777" w:rsidR="004336BD" w:rsidRPr="00F6205B" w:rsidRDefault="004336BD" w:rsidP="00726720">
            <w:pPr>
              <w:keepNext/>
              <w:keepLines/>
              <w:spacing w:after="0"/>
              <w:ind w:left="136"/>
              <w:rPr>
                <w:sz w:val="20"/>
                <w:szCs w:val="20"/>
              </w:rPr>
            </w:pPr>
            <w:r>
              <w:rPr>
                <w:sz w:val="20"/>
                <w:szCs w:val="20"/>
              </w:rPr>
              <w:t>40%</w:t>
            </w:r>
          </w:p>
        </w:tc>
      </w:tr>
      <w:tr w:rsidR="004336BD" w:rsidRPr="00544E3A" w14:paraId="2F6F8813" w14:textId="77777777" w:rsidTr="00726720">
        <w:trPr>
          <w:trHeight w:val="288"/>
          <w:jc w:val="center"/>
        </w:trPr>
        <w:tc>
          <w:tcPr>
            <w:tcW w:w="6353" w:type="dxa"/>
            <w:gridSpan w:val="3"/>
            <w:tcBorders>
              <w:top w:val="single" w:sz="4" w:space="0" w:color="000000" w:themeColor="text1"/>
              <w:left w:val="single" w:sz="4" w:space="0" w:color="auto"/>
              <w:bottom w:val="single" w:sz="4" w:space="0" w:color="000000" w:themeColor="text1"/>
              <w:right w:val="single" w:sz="4" w:space="0" w:color="auto"/>
            </w:tcBorders>
            <w:shd w:val="clear" w:color="auto" w:fill="404040" w:themeFill="text1" w:themeFillTint="BF"/>
            <w:vAlign w:val="center"/>
          </w:tcPr>
          <w:p w14:paraId="51E73F2D" w14:textId="77777777" w:rsidR="004336BD" w:rsidRPr="00544E3A" w:rsidRDefault="004336BD" w:rsidP="00726720">
            <w:pPr>
              <w:keepNext/>
              <w:keepLines/>
              <w:spacing w:after="0"/>
              <w:ind w:left="136"/>
              <w:rPr>
                <w:color w:val="FFFFFF" w:themeColor="background1"/>
                <w:sz w:val="20"/>
                <w:szCs w:val="20"/>
              </w:rPr>
            </w:pPr>
            <w:r>
              <w:rPr>
                <w:color w:val="FFFFFF" w:themeColor="background1"/>
                <w:sz w:val="20"/>
                <w:szCs w:val="20"/>
              </w:rPr>
              <w:t>Building shell improvements</w:t>
            </w:r>
          </w:p>
        </w:tc>
      </w:tr>
      <w:tr w:rsidR="004336BD" w:rsidRPr="00F6205B" w14:paraId="26F8E45B" w14:textId="77777777" w:rsidTr="00726720">
        <w:trPr>
          <w:trHeight w:val="288"/>
          <w:jc w:val="center"/>
        </w:trPr>
        <w:tc>
          <w:tcPr>
            <w:tcW w:w="4021" w:type="dxa"/>
            <w:tcBorders>
              <w:top w:val="single" w:sz="4" w:space="0" w:color="000000" w:themeColor="text1"/>
              <w:left w:val="single" w:sz="4" w:space="0" w:color="auto"/>
              <w:bottom w:val="single" w:sz="4" w:space="0" w:color="auto"/>
              <w:right w:val="single" w:sz="4" w:space="0" w:color="000000" w:themeColor="text1"/>
            </w:tcBorders>
            <w:vAlign w:val="center"/>
          </w:tcPr>
          <w:p w14:paraId="64C41BDD" w14:textId="77777777" w:rsidR="004336BD" w:rsidRPr="00F6205B" w:rsidRDefault="004336BD" w:rsidP="00726720">
            <w:pPr>
              <w:keepNext/>
              <w:keepLines/>
              <w:spacing w:after="0"/>
              <w:rPr>
                <w:sz w:val="20"/>
                <w:szCs w:val="20"/>
              </w:rPr>
            </w:pPr>
            <w:r>
              <w:rPr>
                <w:sz w:val="20"/>
                <w:szCs w:val="20"/>
              </w:rPr>
              <w:t>Infiltration control</w:t>
            </w:r>
          </w:p>
        </w:tc>
        <w:tc>
          <w:tcPr>
            <w:tcW w:w="11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6DDAC1" w14:textId="77777777" w:rsidR="004336BD" w:rsidRPr="00F6205B" w:rsidRDefault="004336BD" w:rsidP="00726720">
            <w:pPr>
              <w:keepNext/>
              <w:keepLines/>
              <w:spacing w:after="0"/>
              <w:ind w:left="136"/>
              <w:rPr>
                <w:sz w:val="20"/>
                <w:szCs w:val="20"/>
              </w:rPr>
            </w:pPr>
            <w:r>
              <w:rPr>
                <w:sz w:val="20"/>
                <w:szCs w:val="20"/>
              </w:rPr>
              <w:t>19%</w:t>
            </w:r>
          </w:p>
        </w:tc>
        <w:tc>
          <w:tcPr>
            <w:tcW w:w="1166"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B6E066A" w14:textId="77777777" w:rsidR="004336BD" w:rsidRPr="00F6205B" w:rsidRDefault="004336BD" w:rsidP="00726720">
            <w:pPr>
              <w:keepNext/>
              <w:keepLines/>
              <w:spacing w:after="0"/>
              <w:ind w:left="136"/>
              <w:rPr>
                <w:sz w:val="20"/>
                <w:szCs w:val="20"/>
              </w:rPr>
            </w:pPr>
            <w:r>
              <w:rPr>
                <w:sz w:val="20"/>
                <w:szCs w:val="20"/>
              </w:rPr>
              <w:t>34%</w:t>
            </w:r>
          </w:p>
        </w:tc>
      </w:tr>
      <w:tr w:rsidR="004336BD" w:rsidRPr="00F6205B" w14:paraId="553222D6" w14:textId="77777777" w:rsidTr="00726720">
        <w:trPr>
          <w:trHeight w:val="288"/>
          <w:jc w:val="center"/>
        </w:trPr>
        <w:tc>
          <w:tcPr>
            <w:tcW w:w="4021" w:type="dxa"/>
            <w:tcBorders>
              <w:top w:val="single" w:sz="4" w:space="0" w:color="000000" w:themeColor="text1"/>
              <w:left w:val="single" w:sz="4" w:space="0" w:color="auto"/>
              <w:bottom w:val="single" w:sz="4" w:space="0" w:color="auto"/>
              <w:right w:val="single" w:sz="4" w:space="0" w:color="000000" w:themeColor="text1"/>
            </w:tcBorders>
            <w:vAlign w:val="center"/>
          </w:tcPr>
          <w:p w14:paraId="355D345A" w14:textId="77777777" w:rsidR="004336BD" w:rsidRDefault="004336BD" w:rsidP="00726720">
            <w:pPr>
              <w:keepNext/>
              <w:keepLines/>
              <w:spacing w:after="0"/>
              <w:rPr>
                <w:sz w:val="20"/>
                <w:szCs w:val="20"/>
              </w:rPr>
            </w:pPr>
            <w:r>
              <w:rPr>
                <w:sz w:val="20"/>
                <w:szCs w:val="20"/>
              </w:rPr>
              <w:t>Wall, ceiling, and foundation wall insulation</w:t>
            </w:r>
          </w:p>
        </w:tc>
        <w:tc>
          <w:tcPr>
            <w:tcW w:w="11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AE2A80" w14:textId="77777777" w:rsidR="004336BD" w:rsidRPr="00F6205B" w:rsidRDefault="004336BD" w:rsidP="00726720">
            <w:pPr>
              <w:keepNext/>
              <w:keepLines/>
              <w:spacing w:after="0"/>
              <w:ind w:left="136"/>
              <w:rPr>
                <w:sz w:val="20"/>
                <w:szCs w:val="20"/>
              </w:rPr>
            </w:pPr>
            <w:r>
              <w:rPr>
                <w:sz w:val="20"/>
                <w:szCs w:val="20"/>
              </w:rPr>
              <w:t>~10%</w:t>
            </w:r>
          </w:p>
        </w:tc>
        <w:tc>
          <w:tcPr>
            <w:tcW w:w="1166"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BA1471E" w14:textId="77777777" w:rsidR="004336BD" w:rsidRDefault="004336BD" w:rsidP="00726720">
            <w:pPr>
              <w:keepNext/>
              <w:keepLines/>
              <w:spacing w:after="0"/>
              <w:ind w:left="136"/>
              <w:rPr>
                <w:sz w:val="20"/>
                <w:szCs w:val="20"/>
              </w:rPr>
            </w:pPr>
            <w:r>
              <w:rPr>
                <w:sz w:val="20"/>
                <w:szCs w:val="20"/>
              </w:rPr>
              <w:t>43%</w:t>
            </w:r>
          </w:p>
        </w:tc>
      </w:tr>
      <w:tr w:rsidR="004336BD" w:rsidRPr="00544E3A" w14:paraId="6E4B2E94" w14:textId="77777777" w:rsidTr="00726720">
        <w:trPr>
          <w:trHeight w:val="288"/>
          <w:jc w:val="center"/>
        </w:trPr>
        <w:tc>
          <w:tcPr>
            <w:tcW w:w="6353" w:type="dxa"/>
            <w:gridSpan w:val="3"/>
            <w:tcBorders>
              <w:top w:val="single" w:sz="4" w:space="0" w:color="000000" w:themeColor="text1"/>
              <w:left w:val="single" w:sz="4" w:space="0" w:color="auto"/>
              <w:bottom w:val="single" w:sz="4" w:space="0" w:color="auto"/>
              <w:right w:val="single" w:sz="4" w:space="0" w:color="auto"/>
            </w:tcBorders>
            <w:shd w:val="clear" w:color="auto" w:fill="404040" w:themeFill="text1" w:themeFillTint="BF"/>
            <w:vAlign w:val="center"/>
          </w:tcPr>
          <w:p w14:paraId="7F6F5CE1" w14:textId="77777777" w:rsidR="004336BD" w:rsidRPr="00544E3A" w:rsidRDefault="004336BD" w:rsidP="00726720">
            <w:pPr>
              <w:keepNext/>
              <w:keepLines/>
              <w:spacing w:after="0"/>
              <w:ind w:left="136"/>
              <w:rPr>
                <w:color w:val="FFFFFF" w:themeColor="background1"/>
                <w:sz w:val="20"/>
                <w:szCs w:val="20"/>
              </w:rPr>
            </w:pPr>
            <w:r>
              <w:rPr>
                <w:color w:val="FFFFFF" w:themeColor="background1"/>
                <w:sz w:val="20"/>
                <w:szCs w:val="20"/>
              </w:rPr>
              <w:t>Water heating</w:t>
            </w:r>
          </w:p>
        </w:tc>
      </w:tr>
      <w:tr w:rsidR="004336BD" w:rsidRPr="00F6205B" w14:paraId="148CCDF2" w14:textId="77777777" w:rsidTr="00726720">
        <w:trPr>
          <w:trHeight w:val="288"/>
          <w:jc w:val="center"/>
        </w:trPr>
        <w:tc>
          <w:tcPr>
            <w:tcW w:w="4021" w:type="dxa"/>
            <w:tcBorders>
              <w:top w:val="single" w:sz="4" w:space="0" w:color="auto"/>
              <w:left w:val="single" w:sz="4" w:space="0" w:color="auto"/>
              <w:bottom w:val="single" w:sz="4" w:space="0" w:color="auto"/>
              <w:right w:val="single" w:sz="4" w:space="0" w:color="000000" w:themeColor="text1"/>
            </w:tcBorders>
            <w:vAlign w:val="center"/>
          </w:tcPr>
          <w:p w14:paraId="5546D3EF" w14:textId="77777777" w:rsidR="004336BD" w:rsidRPr="00F6205B" w:rsidRDefault="004336BD" w:rsidP="00726720">
            <w:pPr>
              <w:keepNext/>
              <w:keepLines/>
              <w:spacing w:after="0"/>
              <w:rPr>
                <w:sz w:val="20"/>
                <w:szCs w:val="20"/>
              </w:rPr>
            </w:pPr>
            <w:r>
              <w:rPr>
                <w:sz w:val="20"/>
                <w:szCs w:val="20"/>
              </w:rPr>
              <w:t>Efficient water heating system</w:t>
            </w:r>
          </w:p>
        </w:tc>
        <w:tc>
          <w:tcPr>
            <w:tcW w:w="11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3D4E85" w14:textId="77777777" w:rsidR="004336BD" w:rsidRPr="00F6205B" w:rsidRDefault="004336BD" w:rsidP="00726720">
            <w:pPr>
              <w:keepNext/>
              <w:keepLines/>
              <w:spacing w:after="0"/>
              <w:ind w:left="136"/>
              <w:rPr>
                <w:sz w:val="20"/>
                <w:szCs w:val="20"/>
              </w:rPr>
            </w:pPr>
            <w:r>
              <w:rPr>
                <w:sz w:val="20"/>
                <w:szCs w:val="20"/>
              </w:rPr>
              <w:t>&lt; 1%</w:t>
            </w:r>
          </w:p>
        </w:tc>
        <w:tc>
          <w:tcPr>
            <w:tcW w:w="1166"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FF9FDDC" w14:textId="77777777" w:rsidR="004336BD" w:rsidRPr="00F6205B" w:rsidRDefault="004336BD" w:rsidP="00726720">
            <w:pPr>
              <w:keepNext/>
              <w:keepLines/>
              <w:spacing w:after="0"/>
              <w:ind w:left="136"/>
              <w:rPr>
                <w:sz w:val="20"/>
                <w:szCs w:val="20"/>
              </w:rPr>
            </w:pPr>
            <w:r>
              <w:rPr>
                <w:sz w:val="20"/>
                <w:szCs w:val="20"/>
              </w:rPr>
              <w:t>43%</w:t>
            </w:r>
          </w:p>
        </w:tc>
      </w:tr>
      <w:tr w:rsidR="004336BD" w:rsidRPr="00F6205B" w14:paraId="29177B3B" w14:textId="77777777" w:rsidTr="00726720">
        <w:trPr>
          <w:trHeight w:val="288"/>
          <w:jc w:val="center"/>
        </w:trPr>
        <w:tc>
          <w:tcPr>
            <w:tcW w:w="4021" w:type="dxa"/>
            <w:tcBorders>
              <w:top w:val="single" w:sz="4" w:space="0" w:color="auto"/>
              <w:left w:val="single" w:sz="4" w:space="0" w:color="auto"/>
              <w:bottom w:val="single" w:sz="4" w:space="0" w:color="auto"/>
              <w:right w:val="single" w:sz="4" w:space="0" w:color="000000" w:themeColor="text1"/>
            </w:tcBorders>
            <w:vAlign w:val="center"/>
          </w:tcPr>
          <w:p w14:paraId="78C57B67" w14:textId="77777777" w:rsidR="004336BD" w:rsidRDefault="004336BD" w:rsidP="00726720">
            <w:pPr>
              <w:keepNext/>
              <w:keepLines/>
              <w:spacing w:after="0"/>
              <w:rPr>
                <w:sz w:val="20"/>
                <w:szCs w:val="20"/>
              </w:rPr>
            </w:pPr>
            <w:r>
              <w:rPr>
                <w:sz w:val="20"/>
                <w:szCs w:val="20"/>
              </w:rPr>
              <w:t>Faucet aerators &amp; low-flow showerheads</w:t>
            </w:r>
          </w:p>
        </w:tc>
        <w:tc>
          <w:tcPr>
            <w:tcW w:w="11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1C0AFD" w14:textId="77777777" w:rsidR="004336BD" w:rsidRPr="00F6205B" w:rsidRDefault="004336BD" w:rsidP="00726720">
            <w:pPr>
              <w:keepNext/>
              <w:keepLines/>
              <w:spacing w:after="0"/>
              <w:ind w:left="136"/>
              <w:rPr>
                <w:sz w:val="20"/>
                <w:szCs w:val="20"/>
              </w:rPr>
            </w:pPr>
            <w:r>
              <w:rPr>
                <w:sz w:val="20"/>
                <w:szCs w:val="20"/>
              </w:rPr>
              <w:t>30%*</w:t>
            </w:r>
          </w:p>
        </w:tc>
        <w:tc>
          <w:tcPr>
            <w:tcW w:w="1166"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DDE6D65" w14:textId="77777777" w:rsidR="004336BD" w:rsidRPr="00F6205B" w:rsidRDefault="004336BD" w:rsidP="00726720">
            <w:pPr>
              <w:keepNext/>
              <w:keepLines/>
              <w:spacing w:after="0"/>
              <w:ind w:left="136"/>
              <w:rPr>
                <w:sz w:val="20"/>
                <w:szCs w:val="20"/>
              </w:rPr>
            </w:pPr>
            <w:r>
              <w:rPr>
                <w:sz w:val="20"/>
                <w:szCs w:val="20"/>
              </w:rPr>
              <w:t>40%</w:t>
            </w:r>
          </w:p>
        </w:tc>
      </w:tr>
      <w:tr w:rsidR="004336BD" w:rsidRPr="00F6205B" w14:paraId="4837D036" w14:textId="77777777" w:rsidTr="00726720">
        <w:trPr>
          <w:trHeight w:val="288"/>
          <w:jc w:val="center"/>
        </w:trPr>
        <w:tc>
          <w:tcPr>
            <w:tcW w:w="4021" w:type="dxa"/>
            <w:tcBorders>
              <w:top w:val="single" w:sz="4" w:space="0" w:color="auto"/>
              <w:left w:val="single" w:sz="4" w:space="0" w:color="auto"/>
              <w:bottom w:val="single" w:sz="4" w:space="0" w:color="auto"/>
              <w:right w:val="single" w:sz="4" w:space="0" w:color="000000" w:themeColor="text1"/>
            </w:tcBorders>
            <w:vAlign w:val="center"/>
          </w:tcPr>
          <w:p w14:paraId="04DF617A" w14:textId="77777777" w:rsidR="004336BD" w:rsidRDefault="004336BD" w:rsidP="00726720">
            <w:pPr>
              <w:keepNext/>
              <w:keepLines/>
              <w:spacing w:after="0"/>
              <w:rPr>
                <w:sz w:val="20"/>
                <w:szCs w:val="20"/>
              </w:rPr>
            </w:pPr>
            <w:r>
              <w:rPr>
                <w:sz w:val="20"/>
                <w:szCs w:val="20"/>
              </w:rPr>
              <w:t>Pipe insulation</w:t>
            </w:r>
          </w:p>
        </w:tc>
        <w:tc>
          <w:tcPr>
            <w:tcW w:w="11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AB2D09" w14:textId="77777777" w:rsidR="004336BD" w:rsidRPr="00F6205B" w:rsidRDefault="004336BD" w:rsidP="00726720">
            <w:pPr>
              <w:keepNext/>
              <w:keepLines/>
              <w:spacing w:after="0"/>
              <w:ind w:left="136"/>
              <w:rPr>
                <w:sz w:val="20"/>
                <w:szCs w:val="20"/>
              </w:rPr>
            </w:pPr>
            <w:r>
              <w:rPr>
                <w:sz w:val="20"/>
                <w:szCs w:val="20"/>
              </w:rPr>
              <w:t>13%</w:t>
            </w:r>
          </w:p>
        </w:tc>
        <w:tc>
          <w:tcPr>
            <w:tcW w:w="1166"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9EB7016" w14:textId="77777777" w:rsidR="004336BD" w:rsidRDefault="004336BD" w:rsidP="00726720">
            <w:pPr>
              <w:keepNext/>
              <w:keepLines/>
              <w:spacing w:after="0"/>
              <w:ind w:left="136"/>
              <w:rPr>
                <w:sz w:val="20"/>
                <w:szCs w:val="20"/>
              </w:rPr>
            </w:pPr>
            <w:r>
              <w:rPr>
                <w:sz w:val="20"/>
                <w:szCs w:val="20"/>
              </w:rPr>
              <w:t>40%</w:t>
            </w:r>
          </w:p>
        </w:tc>
      </w:tr>
      <w:tr w:rsidR="004336BD" w:rsidRPr="00F6205B" w14:paraId="38F37BEB" w14:textId="77777777" w:rsidTr="00726720">
        <w:trPr>
          <w:trHeight w:val="288"/>
          <w:jc w:val="center"/>
        </w:trPr>
        <w:tc>
          <w:tcPr>
            <w:tcW w:w="4021" w:type="dxa"/>
            <w:tcBorders>
              <w:top w:val="single" w:sz="4" w:space="0" w:color="auto"/>
              <w:left w:val="single" w:sz="4" w:space="0" w:color="auto"/>
              <w:bottom w:val="single" w:sz="4" w:space="0" w:color="auto"/>
              <w:right w:val="single" w:sz="4" w:space="0" w:color="000000" w:themeColor="text1"/>
            </w:tcBorders>
            <w:vAlign w:val="center"/>
          </w:tcPr>
          <w:p w14:paraId="203B87C1" w14:textId="77777777" w:rsidR="004336BD" w:rsidRDefault="004336BD" w:rsidP="00726720">
            <w:pPr>
              <w:keepNext/>
              <w:keepLines/>
              <w:spacing w:after="0"/>
              <w:rPr>
                <w:sz w:val="20"/>
                <w:szCs w:val="20"/>
              </w:rPr>
            </w:pPr>
            <w:r>
              <w:rPr>
                <w:sz w:val="20"/>
                <w:szCs w:val="20"/>
              </w:rPr>
              <w:t>Water heater tank wrap</w:t>
            </w:r>
          </w:p>
        </w:tc>
        <w:tc>
          <w:tcPr>
            <w:tcW w:w="11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D3AC50" w14:textId="77777777" w:rsidR="004336BD" w:rsidRPr="00F6205B" w:rsidRDefault="004336BD" w:rsidP="00726720">
            <w:pPr>
              <w:keepNext/>
              <w:keepLines/>
              <w:spacing w:after="0"/>
              <w:ind w:left="136"/>
              <w:rPr>
                <w:sz w:val="20"/>
                <w:szCs w:val="20"/>
              </w:rPr>
            </w:pPr>
            <w:r>
              <w:rPr>
                <w:sz w:val="20"/>
                <w:szCs w:val="20"/>
              </w:rPr>
              <w:t>1%</w:t>
            </w:r>
          </w:p>
        </w:tc>
        <w:tc>
          <w:tcPr>
            <w:tcW w:w="1166"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186518E" w14:textId="77777777" w:rsidR="004336BD" w:rsidRDefault="004336BD" w:rsidP="00726720">
            <w:pPr>
              <w:keepNext/>
              <w:keepLines/>
              <w:spacing w:after="0"/>
              <w:ind w:left="136"/>
              <w:rPr>
                <w:sz w:val="20"/>
                <w:szCs w:val="20"/>
              </w:rPr>
            </w:pPr>
            <w:r>
              <w:rPr>
                <w:sz w:val="20"/>
                <w:szCs w:val="20"/>
              </w:rPr>
              <w:t>40%</w:t>
            </w:r>
          </w:p>
        </w:tc>
      </w:tr>
      <w:tr w:rsidR="004336BD" w:rsidRPr="00F6205B" w14:paraId="5B98AE76" w14:textId="77777777" w:rsidTr="00726720">
        <w:trPr>
          <w:trHeight w:val="288"/>
          <w:jc w:val="center"/>
        </w:trPr>
        <w:tc>
          <w:tcPr>
            <w:tcW w:w="6353" w:type="dxa"/>
            <w:gridSpan w:val="3"/>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6FE5BD36" w14:textId="77777777" w:rsidR="004336BD" w:rsidRPr="00544E3A" w:rsidRDefault="004336BD" w:rsidP="00726720">
            <w:pPr>
              <w:keepNext/>
              <w:keepLines/>
              <w:spacing w:after="0"/>
              <w:ind w:left="136"/>
              <w:rPr>
                <w:color w:val="FFFFFF" w:themeColor="background1"/>
                <w:sz w:val="20"/>
                <w:szCs w:val="20"/>
              </w:rPr>
            </w:pPr>
            <w:r>
              <w:rPr>
                <w:color w:val="FFFFFF" w:themeColor="background1"/>
                <w:sz w:val="20"/>
                <w:szCs w:val="20"/>
              </w:rPr>
              <w:t>Appliances and lighting</w:t>
            </w:r>
          </w:p>
        </w:tc>
      </w:tr>
      <w:tr w:rsidR="004336BD" w:rsidRPr="00F6205B" w14:paraId="3F88BB38" w14:textId="77777777" w:rsidTr="00726720">
        <w:trPr>
          <w:trHeight w:val="288"/>
          <w:jc w:val="center"/>
        </w:trPr>
        <w:tc>
          <w:tcPr>
            <w:tcW w:w="4021" w:type="dxa"/>
            <w:tcBorders>
              <w:top w:val="single" w:sz="4" w:space="0" w:color="auto"/>
              <w:left w:val="single" w:sz="4" w:space="0" w:color="auto"/>
              <w:bottom w:val="single" w:sz="4" w:space="0" w:color="000000" w:themeColor="text1"/>
              <w:right w:val="single" w:sz="4" w:space="0" w:color="000000" w:themeColor="text1"/>
            </w:tcBorders>
            <w:vAlign w:val="center"/>
          </w:tcPr>
          <w:p w14:paraId="0B69C9CD" w14:textId="77777777" w:rsidR="004336BD" w:rsidRDefault="004336BD" w:rsidP="00726720">
            <w:pPr>
              <w:keepNext/>
              <w:keepLines/>
              <w:spacing w:after="0"/>
              <w:rPr>
                <w:sz w:val="20"/>
                <w:szCs w:val="20"/>
              </w:rPr>
            </w:pPr>
            <w:r>
              <w:rPr>
                <w:sz w:val="20"/>
                <w:szCs w:val="20"/>
              </w:rPr>
              <w:t>Efficient clothes washers</w:t>
            </w:r>
          </w:p>
        </w:tc>
        <w:tc>
          <w:tcPr>
            <w:tcW w:w="11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6F6448" w14:textId="77777777" w:rsidR="004336BD" w:rsidRPr="00F6205B" w:rsidRDefault="004336BD" w:rsidP="00726720">
            <w:pPr>
              <w:keepNext/>
              <w:keepLines/>
              <w:spacing w:after="0"/>
              <w:ind w:left="136"/>
              <w:rPr>
                <w:sz w:val="20"/>
                <w:szCs w:val="20"/>
              </w:rPr>
            </w:pPr>
            <w:r>
              <w:rPr>
                <w:sz w:val="20"/>
                <w:szCs w:val="20"/>
              </w:rPr>
              <w:t>&lt; 1%</w:t>
            </w:r>
          </w:p>
        </w:tc>
        <w:tc>
          <w:tcPr>
            <w:tcW w:w="1166"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06721CD" w14:textId="77777777" w:rsidR="004336BD" w:rsidRPr="00F6205B" w:rsidRDefault="004336BD" w:rsidP="00726720">
            <w:pPr>
              <w:keepNext/>
              <w:keepLines/>
              <w:spacing w:after="0"/>
              <w:ind w:left="136"/>
              <w:rPr>
                <w:sz w:val="20"/>
                <w:szCs w:val="20"/>
              </w:rPr>
            </w:pPr>
            <w:r>
              <w:rPr>
                <w:sz w:val="20"/>
                <w:szCs w:val="20"/>
              </w:rPr>
              <w:t>48%</w:t>
            </w:r>
          </w:p>
        </w:tc>
      </w:tr>
      <w:tr w:rsidR="004336BD" w:rsidRPr="00F6205B" w14:paraId="31F3CD85" w14:textId="77777777" w:rsidTr="00726720">
        <w:trPr>
          <w:trHeight w:val="288"/>
          <w:jc w:val="center"/>
        </w:trPr>
        <w:tc>
          <w:tcPr>
            <w:tcW w:w="4021" w:type="dxa"/>
            <w:tcBorders>
              <w:top w:val="single" w:sz="4" w:space="0" w:color="auto"/>
              <w:left w:val="single" w:sz="4" w:space="0" w:color="auto"/>
              <w:bottom w:val="single" w:sz="4" w:space="0" w:color="000000" w:themeColor="text1"/>
              <w:right w:val="single" w:sz="4" w:space="0" w:color="000000" w:themeColor="text1"/>
            </w:tcBorders>
            <w:vAlign w:val="center"/>
          </w:tcPr>
          <w:p w14:paraId="7B833605" w14:textId="77777777" w:rsidR="004336BD" w:rsidRDefault="004336BD" w:rsidP="00726720">
            <w:pPr>
              <w:keepNext/>
              <w:keepLines/>
              <w:spacing w:after="0"/>
              <w:rPr>
                <w:sz w:val="20"/>
                <w:szCs w:val="20"/>
              </w:rPr>
            </w:pPr>
            <w:r>
              <w:rPr>
                <w:sz w:val="20"/>
                <w:szCs w:val="20"/>
              </w:rPr>
              <w:t>Efficient dishwashers</w:t>
            </w:r>
          </w:p>
        </w:tc>
        <w:tc>
          <w:tcPr>
            <w:tcW w:w="11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BC667C" w14:textId="77777777" w:rsidR="004336BD" w:rsidRPr="00F6205B" w:rsidRDefault="004336BD" w:rsidP="00726720">
            <w:pPr>
              <w:keepNext/>
              <w:keepLines/>
              <w:spacing w:after="0"/>
              <w:ind w:left="136"/>
              <w:rPr>
                <w:sz w:val="20"/>
                <w:szCs w:val="20"/>
              </w:rPr>
            </w:pPr>
            <w:r>
              <w:rPr>
                <w:sz w:val="20"/>
                <w:szCs w:val="20"/>
              </w:rPr>
              <w:t>&lt; 1%</w:t>
            </w:r>
          </w:p>
        </w:tc>
        <w:tc>
          <w:tcPr>
            <w:tcW w:w="1166"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DB488E0" w14:textId="77777777" w:rsidR="004336BD" w:rsidRPr="00F6205B" w:rsidRDefault="004336BD" w:rsidP="00726720">
            <w:pPr>
              <w:keepNext/>
              <w:keepLines/>
              <w:spacing w:after="0"/>
              <w:ind w:left="136"/>
              <w:rPr>
                <w:sz w:val="20"/>
                <w:szCs w:val="20"/>
              </w:rPr>
            </w:pPr>
            <w:r>
              <w:rPr>
                <w:sz w:val="20"/>
                <w:szCs w:val="20"/>
              </w:rPr>
              <w:t>48%</w:t>
            </w:r>
          </w:p>
        </w:tc>
      </w:tr>
      <w:tr w:rsidR="004336BD" w:rsidRPr="00F6205B" w14:paraId="3501CF81" w14:textId="77777777" w:rsidTr="00726720">
        <w:trPr>
          <w:trHeight w:val="288"/>
          <w:jc w:val="center"/>
        </w:trPr>
        <w:tc>
          <w:tcPr>
            <w:tcW w:w="4021" w:type="dxa"/>
            <w:tcBorders>
              <w:top w:val="single" w:sz="4" w:space="0" w:color="auto"/>
              <w:left w:val="single" w:sz="4" w:space="0" w:color="auto"/>
              <w:bottom w:val="single" w:sz="4" w:space="0" w:color="000000" w:themeColor="text1"/>
              <w:right w:val="single" w:sz="4" w:space="0" w:color="000000" w:themeColor="text1"/>
            </w:tcBorders>
            <w:vAlign w:val="center"/>
          </w:tcPr>
          <w:p w14:paraId="7120407A" w14:textId="77777777" w:rsidR="004336BD" w:rsidRDefault="004336BD" w:rsidP="00726720">
            <w:pPr>
              <w:keepNext/>
              <w:keepLines/>
              <w:spacing w:after="0"/>
              <w:rPr>
                <w:sz w:val="20"/>
                <w:szCs w:val="20"/>
              </w:rPr>
            </w:pPr>
            <w:r>
              <w:rPr>
                <w:sz w:val="20"/>
                <w:szCs w:val="20"/>
              </w:rPr>
              <w:t>Efficient refrigerators</w:t>
            </w:r>
          </w:p>
        </w:tc>
        <w:tc>
          <w:tcPr>
            <w:tcW w:w="11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568E5D" w14:textId="77777777" w:rsidR="004336BD" w:rsidRPr="00F6205B" w:rsidRDefault="004336BD" w:rsidP="00726720">
            <w:pPr>
              <w:keepNext/>
              <w:keepLines/>
              <w:spacing w:after="0"/>
              <w:ind w:left="136"/>
              <w:rPr>
                <w:sz w:val="20"/>
                <w:szCs w:val="20"/>
              </w:rPr>
            </w:pPr>
            <w:r>
              <w:rPr>
                <w:sz w:val="20"/>
                <w:szCs w:val="20"/>
              </w:rPr>
              <w:t>1%</w:t>
            </w:r>
          </w:p>
        </w:tc>
        <w:tc>
          <w:tcPr>
            <w:tcW w:w="1166"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CA08456" w14:textId="77777777" w:rsidR="004336BD" w:rsidRPr="00F6205B" w:rsidRDefault="004336BD" w:rsidP="00726720">
            <w:pPr>
              <w:keepNext/>
              <w:keepLines/>
              <w:spacing w:after="0"/>
              <w:ind w:left="136"/>
              <w:rPr>
                <w:sz w:val="20"/>
                <w:szCs w:val="20"/>
              </w:rPr>
            </w:pPr>
            <w:r>
              <w:rPr>
                <w:sz w:val="20"/>
                <w:szCs w:val="20"/>
              </w:rPr>
              <w:t>50%</w:t>
            </w:r>
          </w:p>
        </w:tc>
      </w:tr>
      <w:tr w:rsidR="004336BD" w:rsidRPr="00F6205B" w14:paraId="407733DC" w14:textId="77777777" w:rsidTr="00726720">
        <w:trPr>
          <w:trHeight w:val="288"/>
          <w:jc w:val="center"/>
        </w:trPr>
        <w:tc>
          <w:tcPr>
            <w:tcW w:w="4021" w:type="dxa"/>
            <w:tcBorders>
              <w:top w:val="single" w:sz="4" w:space="0" w:color="auto"/>
              <w:left w:val="single" w:sz="4" w:space="0" w:color="auto"/>
              <w:bottom w:val="single" w:sz="4" w:space="0" w:color="000000" w:themeColor="text1"/>
              <w:right w:val="single" w:sz="4" w:space="0" w:color="000000" w:themeColor="text1"/>
            </w:tcBorders>
            <w:vAlign w:val="center"/>
          </w:tcPr>
          <w:p w14:paraId="21824FDF" w14:textId="77777777" w:rsidR="004336BD" w:rsidRDefault="004336BD" w:rsidP="00726720">
            <w:pPr>
              <w:keepNext/>
              <w:keepLines/>
              <w:spacing w:after="0"/>
              <w:rPr>
                <w:sz w:val="20"/>
                <w:szCs w:val="20"/>
              </w:rPr>
            </w:pPr>
            <w:r>
              <w:rPr>
                <w:sz w:val="20"/>
                <w:szCs w:val="20"/>
              </w:rPr>
              <w:t>Efficient freezers</w:t>
            </w:r>
          </w:p>
        </w:tc>
        <w:tc>
          <w:tcPr>
            <w:tcW w:w="11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3EE6D8" w14:textId="77777777" w:rsidR="004336BD" w:rsidRPr="00F6205B" w:rsidRDefault="004336BD" w:rsidP="00726720">
            <w:pPr>
              <w:keepNext/>
              <w:keepLines/>
              <w:spacing w:after="0"/>
              <w:ind w:left="136"/>
              <w:rPr>
                <w:sz w:val="20"/>
                <w:szCs w:val="20"/>
              </w:rPr>
            </w:pPr>
            <w:r>
              <w:rPr>
                <w:sz w:val="20"/>
                <w:szCs w:val="20"/>
              </w:rPr>
              <w:t>&lt; 1%</w:t>
            </w:r>
          </w:p>
        </w:tc>
        <w:tc>
          <w:tcPr>
            <w:tcW w:w="1166"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B2AB539" w14:textId="77777777" w:rsidR="004336BD" w:rsidRPr="00F6205B" w:rsidRDefault="004336BD" w:rsidP="00726720">
            <w:pPr>
              <w:keepNext/>
              <w:keepLines/>
              <w:spacing w:after="0"/>
              <w:ind w:left="136"/>
              <w:rPr>
                <w:sz w:val="20"/>
                <w:szCs w:val="20"/>
              </w:rPr>
            </w:pPr>
            <w:r>
              <w:rPr>
                <w:sz w:val="20"/>
                <w:szCs w:val="20"/>
              </w:rPr>
              <w:t>50%</w:t>
            </w:r>
          </w:p>
        </w:tc>
      </w:tr>
      <w:tr w:rsidR="004336BD" w:rsidRPr="00F6205B" w14:paraId="3B35F98C" w14:textId="77777777" w:rsidTr="00726720">
        <w:trPr>
          <w:trHeight w:val="288"/>
          <w:jc w:val="center"/>
        </w:trPr>
        <w:tc>
          <w:tcPr>
            <w:tcW w:w="4021" w:type="dxa"/>
            <w:tcBorders>
              <w:top w:val="single" w:sz="4" w:space="0" w:color="auto"/>
              <w:left w:val="single" w:sz="4" w:space="0" w:color="auto"/>
              <w:bottom w:val="single" w:sz="4" w:space="0" w:color="auto"/>
              <w:right w:val="single" w:sz="4" w:space="0" w:color="000000" w:themeColor="text1"/>
            </w:tcBorders>
            <w:vAlign w:val="center"/>
          </w:tcPr>
          <w:p w14:paraId="380D44D5" w14:textId="77777777" w:rsidR="004336BD" w:rsidRDefault="004336BD" w:rsidP="00726720">
            <w:pPr>
              <w:keepNext/>
              <w:keepLines/>
              <w:spacing w:after="0"/>
              <w:rPr>
                <w:sz w:val="20"/>
                <w:szCs w:val="20"/>
              </w:rPr>
            </w:pPr>
            <w:r>
              <w:rPr>
                <w:sz w:val="20"/>
                <w:szCs w:val="20"/>
              </w:rPr>
              <w:t>CFLs</w:t>
            </w:r>
          </w:p>
        </w:tc>
        <w:tc>
          <w:tcPr>
            <w:tcW w:w="11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1664E9" w14:textId="77777777" w:rsidR="004336BD" w:rsidRPr="00F6205B" w:rsidRDefault="004336BD" w:rsidP="00726720">
            <w:pPr>
              <w:keepNext/>
              <w:keepLines/>
              <w:spacing w:after="0"/>
              <w:ind w:left="136"/>
              <w:rPr>
                <w:sz w:val="20"/>
                <w:szCs w:val="20"/>
              </w:rPr>
            </w:pPr>
            <w:r>
              <w:rPr>
                <w:sz w:val="20"/>
                <w:szCs w:val="20"/>
              </w:rPr>
              <w:t>45%</w:t>
            </w:r>
          </w:p>
        </w:tc>
        <w:tc>
          <w:tcPr>
            <w:tcW w:w="1166"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62A2E11" w14:textId="77777777" w:rsidR="004336BD" w:rsidRPr="00F6205B" w:rsidRDefault="004336BD" w:rsidP="00726720">
            <w:pPr>
              <w:keepNext/>
              <w:keepLines/>
              <w:spacing w:after="0"/>
              <w:ind w:left="136"/>
              <w:rPr>
                <w:sz w:val="20"/>
                <w:szCs w:val="20"/>
              </w:rPr>
            </w:pPr>
            <w:r>
              <w:rPr>
                <w:sz w:val="20"/>
                <w:szCs w:val="20"/>
              </w:rPr>
              <w:t>95%**</w:t>
            </w:r>
          </w:p>
        </w:tc>
      </w:tr>
    </w:tbl>
    <w:p w14:paraId="20B3529E" w14:textId="7D8AF417" w:rsidR="004336BD" w:rsidRDefault="004336BD" w:rsidP="004336BD">
      <w:pPr>
        <w:spacing w:after="0"/>
        <w:ind w:left="1627" w:right="1526"/>
        <w:rPr>
          <w:sz w:val="18"/>
        </w:rPr>
      </w:pPr>
      <w:r w:rsidRPr="00544E3A">
        <w:rPr>
          <w:sz w:val="18"/>
        </w:rPr>
        <w:t xml:space="preserve">* </w:t>
      </w:r>
      <w:r w:rsidR="0026689F">
        <w:rPr>
          <w:sz w:val="18"/>
        </w:rPr>
        <w:t>This i</w:t>
      </w:r>
      <w:r>
        <w:rPr>
          <w:sz w:val="18"/>
        </w:rPr>
        <w:t xml:space="preserve">nformation </w:t>
      </w:r>
      <w:r w:rsidR="0026689F">
        <w:rPr>
          <w:sz w:val="18"/>
        </w:rPr>
        <w:t xml:space="preserve">was </w:t>
      </w:r>
      <w:r>
        <w:rPr>
          <w:sz w:val="18"/>
        </w:rPr>
        <w:t xml:space="preserve">not collected during </w:t>
      </w:r>
      <w:r w:rsidR="0026689F">
        <w:rPr>
          <w:sz w:val="18"/>
        </w:rPr>
        <w:t xml:space="preserve">the Connecticut </w:t>
      </w:r>
      <w:r>
        <w:rPr>
          <w:sz w:val="18"/>
        </w:rPr>
        <w:t xml:space="preserve">Weatherization Baseline Assessment on-site visits. This figure </w:t>
      </w:r>
      <w:r w:rsidR="0026689F">
        <w:rPr>
          <w:sz w:val="18"/>
        </w:rPr>
        <w:t xml:space="preserve">was </w:t>
      </w:r>
      <w:r>
        <w:rPr>
          <w:sz w:val="18"/>
        </w:rPr>
        <w:t>taken from the recent Maine Residential Baseline Study.</w:t>
      </w:r>
      <w:r>
        <w:rPr>
          <w:rStyle w:val="FootnoteReference"/>
          <w:sz w:val="18"/>
        </w:rPr>
        <w:footnoteReference w:id="87"/>
      </w:r>
    </w:p>
    <w:p w14:paraId="1A753A50" w14:textId="77777777" w:rsidR="004336BD" w:rsidRPr="00544E3A" w:rsidRDefault="004336BD" w:rsidP="004336BD">
      <w:pPr>
        <w:ind w:left="1620" w:right="1530"/>
        <w:rPr>
          <w:sz w:val="18"/>
        </w:rPr>
      </w:pPr>
      <w:r>
        <w:rPr>
          <w:sz w:val="18"/>
        </w:rPr>
        <w:t>** This figure is approximated, as the percentage from the sample of existing homes is already higher than the estimate from the EPRI study.</w:t>
      </w:r>
    </w:p>
    <w:p w14:paraId="1FFBAAD1" w14:textId="122AE3EA" w:rsidR="00AB14BD" w:rsidRPr="00DD02E5" w:rsidRDefault="00AB14BD" w:rsidP="00DD02E5">
      <w:pPr>
        <w:rPr>
          <w:lang w:bidi="ar-SA"/>
        </w:rPr>
      </w:pPr>
    </w:p>
    <w:sectPr w:rsidR="00AB14BD" w:rsidRPr="00DD02E5" w:rsidSect="00AB14BD">
      <w:footerReference w:type="default" r:id="rId96"/>
      <w:headerReference w:type="first" r:id="rId97"/>
      <w:footerReference w:type="first" r:id="rId98"/>
      <w:pgSz w:w="12240" w:h="15840"/>
      <w:pgMar w:top="1440" w:right="1872" w:bottom="1440" w:left="1440" w:header="0" w:footer="0" w:gutter="0"/>
      <w:pgNumType w:start="1"/>
      <w:cols w:space="720"/>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E772B2" w14:textId="77777777" w:rsidR="00796FE4" w:rsidRDefault="00796FE4" w:rsidP="000D6470">
      <w:r>
        <w:separator/>
      </w:r>
    </w:p>
    <w:p w14:paraId="1D281A2A" w14:textId="77777777" w:rsidR="00796FE4" w:rsidRDefault="00796FE4"/>
    <w:p w14:paraId="26808EB5" w14:textId="77777777" w:rsidR="00796FE4" w:rsidRDefault="00796FE4"/>
    <w:p w14:paraId="2CEF7A3D" w14:textId="77777777" w:rsidR="00796FE4" w:rsidRDefault="00796FE4" w:rsidP="00B54A2D"/>
    <w:p w14:paraId="7A3150BF" w14:textId="77777777" w:rsidR="00796FE4" w:rsidRDefault="00796FE4" w:rsidP="00B54A2D"/>
    <w:p w14:paraId="50F3A061" w14:textId="77777777" w:rsidR="00796FE4" w:rsidRDefault="00796FE4" w:rsidP="006431E2"/>
    <w:p w14:paraId="2D5C7FC8" w14:textId="77777777" w:rsidR="00796FE4" w:rsidRDefault="00796FE4" w:rsidP="00CE7FC8"/>
  </w:endnote>
  <w:endnote w:type="continuationSeparator" w:id="0">
    <w:p w14:paraId="7C0F0862" w14:textId="77777777" w:rsidR="00796FE4" w:rsidRDefault="00796FE4" w:rsidP="000D6470">
      <w:r>
        <w:continuationSeparator/>
      </w:r>
    </w:p>
    <w:p w14:paraId="67C1A211" w14:textId="77777777" w:rsidR="00796FE4" w:rsidRDefault="00796FE4"/>
    <w:p w14:paraId="0A7359CB" w14:textId="77777777" w:rsidR="00796FE4" w:rsidRDefault="00796FE4"/>
    <w:p w14:paraId="06487EA4" w14:textId="77777777" w:rsidR="00796FE4" w:rsidRDefault="00796FE4" w:rsidP="00B54A2D"/>
    <w:p w14:paraId="262F0E68" w14:textId="77777777" w:rsidR="00796FE4" w:rsidRDefault="00796FE4" w:rsidP="00B54A2D"/>
    <w:p w14:paraId="7648616D" w14:textId="77777777" w:rsidR="00796FE4" w:rsidRDefault="00796FE4" w:rsidP="006431E2"/>
    <w:p w14:paraId="51CE94E6" w14:textId="77777777" w:rsidR="00796FE4" w:rsidRDefault="00796FE4" w:rsidP="00CE7F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MS Gothic">
    <w:panose1 w:val="020B0609070205080204"/>
    <w:charset w:val="80"/>
    <w:family w:val="auto"/>
    <w:pitch w:val="variable"/>
    <w:sig w:usb0="E00002FF" w:usb1="6AC7FDFB" w:usb2="08000012" w:usb3="00000000" w:csb0="0002009F" w:csb1="00000000"/>
  </w:font>
  <w:font w:name="MS Mincho">
    <w:panose1 w:val="02020609040205080304"/>
    <w:charset w:val="80"/>
    <w:family w:val="auto"/>
    <w:pitch w:val="variable"/>
    <w:sig w:usb0="E00002FF" w:usb1="6AC7FDFB" w:usb2="08000012" w:usb3="00000000" w:csb0="0002009F" w:csb1="00000000"/>
  </w:font>
  <w:font w:name="Novecento wide Light">
    <w:altName w:val="Courier New"/>
    <w:charset w:val="00"/>
    <w:family w:val="auto"/>
    <w:pitch w:val="variable"/>
    <w:sig w:usb0="00000001" w:usb1="00000000" w:usb2="00000000" w:usb3="00000000" w:csb0="00000093"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E4F9E60" w14:textId="77777777" w:rsidR="009027EC" w:rsidRDefault="009027EC" w:rsidP="00D40A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7BB7B2" w14:textId="77777777" w:rsidR="009027EC" w:rsidRDefault="009027EC" w:rsidP="00D40AE1">
    <w:pPr>
      <w:pStyle w:val="Footer"/>
      <w:ind w:right="360"/>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0732AD2" w14:textId="39A72D30" w:rsidR="009027EC" w:rsidRPr="004F1EBF" w:rsidRDefault="009027EC" w:rsidP="004B2692">
    <w:pPr>
      <w:pStyle w:val="Footer"/>
      <w:framePr w:wrap="around" w:vAnchor="text" w:hAnchor="page" w:x="10871" w:y="-345"/>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247720">
      <w:rPr>
        <w:rStyle w:val="PageNumber"/>
        <w:noProof/>
        <w:color w:val="0F673B"/>
        <w:szCs w:val="20"/>
      </w:rPr>
      <w:t>93</w:t>
    </w:r>
    <w:r w:rsidRPr="004F1EBF">
      <w:rPr>
        <w:rStyle w:val="PageNumber"/>
        <w:color w:val="0F673B"/>
        <w:szCs w:val="20"/>
      </w:rPr>
      <w:fldChar w:fldCharType="end"/>
    </w:r>
  </w:p>
  <w:p w14:paraId="2D3E72F0" w14:textId="77777777" w:rsidR="009027EC" w:rsidRDefault="009027EC" w:rsidP="00D40AE1">
    <w:pPr>
      <w:pStyle w:val="Footer"/>
      <w:ind w:right="360"/>
      <w:jc w:val="right"/>
    </w:pPr>
    <w:r>
      <w:rPr>
        <w:noProof/>
        <w:lang w:bidi="ar-SA"/>
      </w:rPr>
      <w:drawing>
        <wp:anchor distT="0" distB="0" distL="114300" distR="114300" simplePos="0" relativeHeight="251678720" behindDoc="0" locked="0" layoutInCell="1" allowOverlap="1" wp14:anchorId="41664EA0" wp14:editId="27522C98">
          <wp:simplePos x="0" y="0"/>
          <wp:positionH relativeFrom="column">
            <wp:posOffset>-209550</wp:posOffset>
          </wp:positionH>
          <wp:positionV relativeFrom="paragraph">
            <wp:posOffset>-384810</wp:posOffset>
          </wp:positionV>
          <wp:extent cx="1194435" cy="383540"/>
          <wp:effectExtent l="0" t="0" r="5715"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21376" behindDoc="0" locked="0" layoutInCell="1" allowOverlap="1" wp14:anchorId="01663F10" wp14:editId="16858E99">
              <wp:simplePos x="0" y="0"/>
              <wp:positionH relativeFrom="column">
                <wp:posOffset>-311785</wp:posOffset>
              </wp:positionH>
              <wp:positionV relativeFrom="paragraph">
                <wp:posOffset>-292100</wp:posOffset>
              </wp:positionV>
              <wp:extent cx="2069465" cy="53848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F43B954" w14:textId="77777777" w:rsidR="009027EC" w:rsidRDefault="009027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01663F10" id="_x0000_t202" coordsize="21600,21600" o:spt="202" path="m,l,21600r21600,l21600,xe">
              <v:stroke joinstyle="miter"/>
              <v:path gradientshapeok="t" o:connecttype="rect"/>
            </v:shapetype>
            <v:shape id="Text Box 61" o:spid="_x0000_s1046" type="#_x0000_t202" style="position:absolute;left:0;text-align:left;margin-left:-24.55pt;margin-top:-23pt;width:162.95pt;height:42.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o7VvQIAAMUFAAAOAAAAZHJzL2Uyb0RvYy54bWysVFtv2jAUfp+0/2D5nSawQCFqqFIqpkmo&#10;rdZOfTaOXaImPp5tIKzaf9+xk1DW7aXTXhL7+Du371wuLpu6IjthbAkqo8OzmBKhOBSlesrot4fl&#10;YEqJdUwVrAIlMnoQll7OP3642OtUjGADVSEMQSPKpnud0Y1zOo0iyzeiZvYMtFD4KMHUzOHVPEWF&#10;YXu0XlfRKI4n0R5MoQ1wYS1Kr9tHOg/2pRTc3UpphSNVRjE2F74mfNf+G80vWPpkmN6UvAuD/UMU&#10;NSsVOj2aumaOka0p/zBVl9yABenOONQRSFlyEXLAbIbxm2zuN0yLkAuSY/WRJvv/zPKb3Z0hZZHR&#10;yZASxWqs0YNoHLmChqAI+dlrmyLsXiPQNSjHOodcrV4Bf7YIiU4wrYJFtOejkab2f8yUoCKW4HCk&#10;3bvhKBzFk1kyGVPC8W38aZpMQ12iV21trPssoCb+kFGDZQ0RsN3KOu+fpT3EO1OwLKsqlLZSvwkQ&#10;2EpE6I1Wm6UYCR490scU6vayGJ+P8vPxbDDJx8NBMoyngzyPR4PrZR7ncbJczJKrn54ftNnrBx7a&#10;1D0j1h0q4a1W6quQyHJgwAtCf4tFZciOYWcyzoVyge0QIaI9SmIW71Hs8CGPkN97lFtGes+g3FG5&#10;LhWYtuJ+LF/DLp77kGWL7zqhy9tT4Jp1E9pr3LfSGooDdpKBdhat5ssSq7pi1t0xg8OHPYILxd3i&#10;R1awzyh0J0o2YH78Te7xOBP4Sskehzmj9vuWGUFJ9UXhtMyGSeKnP1wSLCxezOnL+vRFbesFYFVw&#10;IDC6cPR4V/VHaaB+xL2Te6/4xBRH3xl1/XHh2hWDe4uLPA8gnHfN3Erda94PkO/Zh+aRGd01tsNG&#10;uoF+7Fn6pr9brC+vgnzrQJah+T3PLasd/7grQlt2e80vo9N7QL1u3/kvAAAA//8DAFBLAwQUAAYA&#10;CAAAACEASUqwud8AAAAKAQAADwAAAGRycy9kb3ducmV2LnhtbEyPQU7DMBBF90jcwZpK7FqnBYWQ&#10;xqkQUgVCbBp6ADc2SZR4bMV2Ejg90xXsZjRPf94vDosZ2KRH31kUsN0kwDTWVnXYCDh/HtcZMB8k&#10;KjlY1AK+tYdDeXtTyFzZGU96qkLDKAR9LgW0Ibicc1+32ki/sU4j3b7saGSgdWy4GuVM4WbguyRJ&#10;uZEd0odWOv3S6rqvohFwjK9vZvrh0b1X9Yyt6+P5oxfibrU874EFvYQ/GK76pA4lOV1sROXZIGD9&#10;8LQl9DqkVIqI3WNKZS4C7rMMeFnw/xXKXwAAAP//AwBQSwECLQAUAAYACAAAACEAtoM4kv4AAADh&#10;AQAAEwAAAAAAAAAAAAAAAAAAAAAAW0NvbnRlbnRfVHlwZXNdLnhtbFBLAQItABQABgAIAAAAIQA4&#10;/SH/1gAAAJQBAAALAAAAAAAAAAAAAAAAAC8BAABfcmVscy8ucmVsc1BLAQItABQABgAIAAAAIQCV&#10;oo7VvQIAAMUFAAAOAAAAAAAAAAAAAAAAAC4CAABkcnMvZTJvRG9jLnhtbFBLAQItABQABgAIAAAA&#10;IQBJSrC53wAAAAoBAAAPAAAAAAAAAAAAAAAAABcFAABkcnMvZG93bnJldi54bWxQSwUGAAAAAAQA&#10;BADzAAAAIwYAAAAA&#10;" filled="f" stroked="f">
              <v:path arrowok="t"/>
              <v:textbox>
                <w:txbxContent>
                  <w:p w14:paraId="1F43B954" w14:textId="77777777" w:rsidR="009027EC" w:rsidRDefault="009027EC"/>
                </w:txbxContent>
              </v:textbox>
            </v:shape>
          </w:pict>
        </mc:Fallback>
      </mc:AlternateConten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24FD42C" w14:textId="5EEEB6FE" w:rsidR="009027EC" w:rsidRPr="004F1EBF" w:rsidRDefault="009027EC" w:rsidP="004B2692">
    <w:pPr>
      <w:pStyle w:val="Footer"/>
      <w:framePr w:wrap="around" w:vAnchor="text" w:hAnchor="page" w:x="10871" w:y="-345"/>
      <w:spacing w:after="360"/>
      <w:rPr>
        <w:rStyle w:val="PageNumber"/>
        <w:color w:val="0F673B"/>
        <w:szCs w:val="20"/>
      </w:rPr>
    </w:pPr>
    <w:r w:rsidRPr="004F1EBF">
      <w:rPr>
        <w:rStyle w:val="PageNumber"/>
        <w:color w:val="0F673B"/>
        <w:szCs w:val="20"/>
      </w:rPr>
      <w:t>A-</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247720">
      <w:rPr>
        <w:rStyle w:val="PageNumber"/>
        <w:noProof/>
        <w:color w:val="0F673B"/>
        <w:szCs w:val="20"/>
      </w:rPr>
      <w:t>2</w:t>
    </w:r>
    <w:r w:rsidRPr="004F1EBF">
      <w:rPr>
        <w:rStyle w:val="PageNumber"/>
        <w:color w:val="0F673B"/>
        <w:szCs w:val="20"/>
      </w:rPr>
      <w:fldChar w:fldCharType="end"/>
    </w:r>
  </w:p>
  <w:p w14:paraId="7B8B8C00" w14:textId="77777777" w:rsidR="009027EC" w:rsidRDefault="009027EC" w:rsidP="00D40AE1">
    <w:pPr>
      <w:pStyle w:val="Footer"/>
      <w:ind w:right="360"/>
      <w:jc w:val="right"/>
    </w:pPr>
    <w:r>
      <w:rPr>
        <w:noProof/>
        <w:lang w:bidi="ar-SA"/>
      </w:rPr>
      <w:drawing>
        <wp:anchor distT="0" distB="0" distL="114300" distR="114300" simplePos="0" relativeHeight="251666432" behindDoc="0" locked="0" layoutInCell="1" allowOverlap="1" wp14:anchorId="433FBE20" wp14:editId="1CBC5315">
          <wp:simplePos x="0" y="0"/>
          <wp:positionH relativeFrom="column">
            <wp:posOffset>-222250</wp:posOffset>
          </wp:positionH>
          <wp:positionV relativeFrom="paragraph">
            <wp:posOffset>-391160</wp:posOffset>
          </wp:positionV>
          <wp:extent cx="1194435" cy="383540"/>
          <wp:effectExtent l="0" t="0" r="5715"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30592" behindDoc="0" locked="0" layoutInCell="1" allowOverlap="1" wp14:anchorId="2EB39641" wp14:editId="7FCC1BC0">
              <wp:simplePos x="0" y="0"/>
              <wp:positionH relativeFrom="column">
                <wp:posOffset>-311785</wp:posOffset>
              </wp:positionH>
              <wp:positionV relativeFrom="paragraph">
                <wp:posOffset>-292100</wp:posOffset>
              </wp:positionV>
              <wp:extent cx="2069465" cy="538480"/>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80ABBA9" w14:textId="77777777" w:rsidR="009027EC" w:rsidRDefault="009027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2EB39641" id="_x0000_t202" coordsize="21600,21600" o:spt="202" path="m,l,21600r21600,l21600,xe">
              <v:stroke joinstyle="miter"/>
              <v:path gradientshapeok="t" o:connecttype="rect"/>
            </v:shapetype>
            <v:shape id="Text Box 63" o:spid="_x0000_s1047" type="#_x0000_t202" style="position:absolute;left:0;text-align:left;margin-left:-24.55pt;margin-top:-23pt;width:162.95pt;height:42.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l/evQIAAMUFAAAOAAAAZHJzL2Uyb0RvYy54bWysVFtv2jAUfp+0/2D5nSbQQCFqqFIqpkmo&#10;rdZOfTaOXaImPp5tIGzaf9+xk1DW7aXTXhL7+Du371wur5q6IjthbAkqo8OzmBKhOBSles7o18fl&#10;YEqJdUwVrAIlMnoQll7NP3643OtUjGADVSEMQSPKpnud0Y1zOo0iyzeiZvYMtFD4KMHUzOHVPEeF&#10;YXu0XlfRKI4n0R5MoQ1wYS1Kb9pHOg/2pRTc3UlphSNVRjE2F74mfNf+G80vWfpsmN6UvAuD/UMU&#10;NSsVOj2aumGOka0p/zBVl9yABenOONQRSFlyEXLAbIbxm2weNkyLkAuSY/WRJvv/zPLb3b0hZZHR&#10;yTklitVYo0fROHINDUER8rPXNkXYg0aga1COdQ65Wr0C/mIREp1gWgWLaM9HI03t/5gpQUUsweFI&#10;u3fDUTiKJ7NkMqaE49v4fJpMQ12iV21trPskoCb+kFGDZQ0RsN3KOu+fpT3EO1OwLKsqlLZSvwkQ&#10;2EpE6I1Wm6UYCR490scU6vZjMb4Y5Rfj2WCSj4eDZBhPB3kejwY3yzzO42S5mCXXPz0/aLPXDzy0&#10;qXtGrDtUwlut1BchkeXAgBeE/haLypAdw85knAvlhp21gPYoiVm8R7HDhzxCfu9RbhlBjeAZlDsq&#10;16UC01bcj+Vr2MVLH7Js8V0ndHl7Clyzbtr26ltpDcUBO8lAO4tW82WJVV0x6+6ZweHDHsGF4u7w&#10;IyvYZxS6EyUbMN//Jvd4nAl8pWSPw5xR+23LjKCk+qxwWmbDJPHTHy4JFhYv5vRlffqitvUCsCpD&#10;XF2ah6PHu6o/SgP1E+6d3HvFJ6Y4+s6o648L164Y3Ftc5HkA4bxr5lbqQfN+gHzPPjZPzOiusR02&#10;0i30Y8/SN/3dYn19FORbB7IMze95blnt+MddEdqy22t+GZ3eA+p1+85/AQAA//8DAFBLAwQUAAYA&#10;CAAAACEASUqwud8AAAAKAQAADwAAAGRycy9kb3ducmV2LnhtbEyPQU7DMBBF90jcwZpK7FqnBYWQ&#10;xqkQUgVCbBp6ADc2SZR4bMV2Ejg90xXsZjRPf94vDosZ2KRH31kUsN0kwDTWVnXYCDh/HtcZMB8k&#10;KjlY1AK+tYdDeXtTyFzZGU96qkLDKAR9LgW0Ibicc1+32ki/sU4j3b7saGSgdWy4GuVM4WbguyRJ&#10;uZEd0odWOv3S6rqvohFwjK9vZvrh0b1X9Yyt6+P5oxfibrU874EFvYQ/GK76pA4lOV1sROXZIGD9&#10;8LQl9DqkVIqI3WNKZS4C7rMMeFnw/xXKXwAAAP//AwBQSwECLQAUAAYACAAAACEAtoM4kv4AAADh&#10;AQAAEwAAAAAAAAAAAAAAAAAAAAAAW0NvbnRlbnRfVHlwZXNdLnhtbFBLAQItABQABgAIAAAAIQA4&#10;/SH/1gAAAJQBAAALAAAAAAAAAAAAAAAAAC8BAABfcmVscy8ucmVsc1BLAQItABQABgAIAAAAIQC7&#10;al/evQIAAMUFAAAOAAAAAAAAAAAAAAAAAC4CAABkcnMvZTJvRG9jLnhtbFBLAQItABQABgAIAAAA&#10;IQBJSrC53wAAAAoBAAAPAAAAAAAAAAAAAAAAABcFAABkcnMvZG93bnJldi54bWxQSwUGAAAAAAQA&#10;BADzAAAAIwYAAAAA&#10;" filled="f" stroked="f">
              <v:path arrowok="t"/>
              <v:textbox>
                <w:txbxContent>
                  <w:p w14:paraId="480ABBA9" w14:textId="77777777" w:rsidR="009027EC" w:rsidRDefault="009027EC"/>
                </w:txbxContent>
              </v:textbox>
            </v:shape>
          </w:pict>
        </mc:Fallback>
      </mc:AlternateContent>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1032447" w14:textId="3C43D5BE" w:rsidR="009027EC" w:rsidRPr="004F1EBF" w:rsidRDefault="009027EC" w:rsidP="00D83BA8">
    <w:pPr>
      <w:pStyle w:val="Footer"/>
      <w:framePr w:wrap="around" w:vAnchor="text" w:hAnchor="page" w:x="10791" w:yAlign="top"/>
      <w:spacing w:after="360"/>
      <w:rPr>
        <w:rStyle w:val="PageNumber"/>
        <w:color w:val="0F673B"/>
        <w:szCs w:val="20"/>
      </w:rPr>
    </w:pPr>
    <w:r w:rsidRPr="004F1EBF">
      <w:rPr>
        <w:rStyle w:val="PageNumber"/>
        <w:color w:val="0F673B"/>
        <w:szCs w:val="20"/>
      </w:rPr>
      <w:t>B-</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247720">
      <w:rPr>
        <w:rStyle w:val="PageNumber"/>
        <w:noProof/>
        <w:color w:val="0F673B"/>
        <w:szCs w:val="20"/>
      </w:rPr>
      <w:t>3</w:t>
    </w:r>
    <w:r w:rsidRPr="004F1EBF">
      <w:rPr>
        <w:rStyle w:val="PageNumber"/>
        <w:color w:val="0F673B"/>
        <w:szCs w:val="20"/>
      </w:rPr>
      <w:fldChar w:fldCharType="end"/>
    </w:r>
  </w:p>
  <w:p w14:paraId="1093814D" w14:textId="2E98FAE0" w:rsidR="009027EC" w:rsidRDefault="00D83BA8" w:rsidP="00D83BA8">
    <w:pPr>
      <w:pStyle w:val="Footer"/>
      <w:ind w:right="360"/>
    </w:pPr>
    <w:r>
      <w:rPr>
        <w:noProof/>
        <w:lang w:bidi="ar-SA"/>
      </w:rPr>
      <w:drawing>
        <wp:anchor distT="0" distB="0" distL="114300" distR="114300" simplePos="0" relativeHeight="251703296" behindDoc="0" locked="0" layoutInCell="1" allowOverlap="1" wp14:anchorId="77705554" wp14:editId="460DFD73">
          <wp:simplePos x="0" y="0"/>
          <wp:positionH relativeFrom="column">
            <wp:posOffset>-298450</wp:posOffset>
          </wp:positionH>
          <wp:positionV relativeFrom="paragraph">
            <wp:posOffset>-142240</wp:posOffset>
          </wp:positionV>
          <wp:extent cx="1194435" cy="383540"/>
          <wp:effectExtent l="0" t="0" r="5715" b="0"/>
          <wp:wrapTopAndBottom/>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sidR="009027EC">
      <w:rPr>
        <w:noProof/>
        <w:lang w:bidi="ar-SA"/>
      </w:rPr>
      <mc:AlternateContent>
        <mc:Choice Requires="wps">
          <w:drawing>
            <wp:anchor distT="0" distB="0" distL="114300" distR="114300" simplePos="0" relativeHeight="251686912" behindDoc="0" locked="0" layoutInCell="1" allowOverlap="1" wp14:anchorId="5D530621" wp14:editId="1B7969E4">
              <wp:simplePos x="0" y="0"/>
              <wp:positionH relativeFrom="column">
                <wp:posOffset>-311785</wp:posOffset>
              </wp:positionH>
              <wp:positionV relativeFrom="paragraph">
                <wp:posOffset>-292100</wp:posOffset>
              </wp:positionV>
              <wp:extent cx="2069465" cy="538480"/>
              <wp:effectExtent l="0" t="0" r="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2DEE9D3" w14:textId="77777777" w:rsidR="009027EC" w:rsidRDefault="009027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5D530621" id="_x0000_t202" coordsize="21600,21600" o:spt="202" path="m,l,21600r21600,l21600,xe">
              <v:stroke joinstyle="miter"/>
              <v:path gradientshapeok="t" o:connecttype="rect"/>
            </v:shapetype>
            <v:shape id="Text Box 100" o:spid="_x0000_s1048" type="#_x0000_t202" style="position:absolute;margin-left:-24.55pt;margin-top:-23pt;width:162.95pt;height:4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zvQIAAMcFAAAOAAAAZHJzL2Uyb0RvYy54bWysVFtv2jAUfp+0/2D5nSawQCFqqFIqpkmo&#10;rdZOfTaOXaImPp5tIKzaf9+xk1DW7aXTXhLb5zu371wuLpu6IjthbAkqo8OzmBKhOBSlesrot4fl&#10;YEqJdUwVrAIlMnoQll7OP3642OtUjGADVSEMQSPKpnud0Y1zOo0iyzeiZvYMtFAolGBq5vBqnqLC&#10;sD1ar6toFMeTaA+m0Aa4sBZfr1shnQf7UgrubqW0wpEqoxibC18Tvmv/jeYXLH0yTG9K3oXB/iGK&#10;mpUKnR5NXTPHyNaUf5iqS27AgnRnHOoIpCy5CDlgNsP4TTb3G6ZFyAXJsfpIk/1/ZvnN7s6QssDa&#10;xciPYjUW6UE0jlxBQ/wbMrTXNkXgvUaoa1CA6JCt1SvgzxYh0QmmVbCI9ow00tT+j7kSVEQnhyPx&#10;3g/Hx1E8mSWTMSUcZeNP02Qa/Eav2tpY91lATfwhowYLGyJgu5V13j9Le4h3pmBZVlUobqV+e0Bg&#10;+yJCd7TaLMVI8OiRPqZQuZfF+HyUn49ng0k+Hg6SYTwd5Hk8Glwv8ziPk+Villz99PygzV4/8NCm&#10;7hmx7lAJb7VSX4VEngMD/iF0uFhUhuwY9ibjXCg37KwFtEdJzOI9ih0+5BHye49yywhqBM+g3FG5&#10;LhWYtuJ+MF/DLp77kGWL7zqhy9tT4Jp1ExrsvG+lNRQH7CQD7TRazZclVnXFrLtjBscPewRXirvF&#10;j6xgn1HoTpRswPz427vH41SglJI9jnNG7fctM4KS6ovCeZkNk8TPf7gkWFi8mFPJ+lSitvUCsCpD&#10;XF6ah6PHu6o/SgP1I26e3HtFEVMcfWfU9ceFa5cMbi4u8jyAcOI1cyt1r3k/QL5nH5pHZnTX2A4b&#10;6Qb6wWfpm/5usb4+CvKtA1mG5vc8t6x2/OO2CG3ZbTa/jk7vAfW6f+e/AAAA//8DAFBLAwQUAAYA&#10;CAAAACEASUqwud8AAAAKAQAADwAAAGRycy9kb3ducmV2LnhtbEyPQU7DMBBF90jcwZpK7FqnBYWQ&#10;xqkQUgVCbBp6ADc2SZR4bMV2Ejg90xXsZjRPf94vDosZ2KRH31kUsN0kwDTWVnXYCDh/HtcZMB8k&#10;KjlY1AK+tYdDeXtTyFzZGU96qkLDKAR9LgW0Ibicc1+32ki/sU4j3b7saGSgdWy4GuVM4WbguyRJ&#10;uZEd0odWOv3S6rqvohFwjK9vZvrh0b1X9Yyt6+P5oxfibrU874EFvYQ/GK76pA4lOV1sROXZIGD9&#10;8LQl9DqkVIqI3WNKZS4C7rMMeFnw/xXKXwAAAP//AwBQSwECLQAUAAYACAAAACEAtoM4kv4AAADh&#10;AQAAEwAAAAAAAAAAAAAAAAAAAAAAW0NvbnRlbnRfVHlwZXNdLnhtbFBLAQItABQABgAIAAAAIQA4&#10;/SH/1gAAAJQBAAALAAAAAAAAAAAAAAAAAC8BAABfcmVscy8ucmVsc1BLAQItABQABgAIAAAAIQB+&#10;aZ+zvQIAAMcFAAAOAAAAAAAAAAAAAAAAAC4CAABkcnMvZTJvRG9jLnhtbFBLAQItABQABgAIAAAA&#10;IQBJSrC53wAAAAoBAAAPAAAAAAAAAAAAAAAAABcFAABkcnMvZG93bnJldi54bWxQSwUGAAAAAAQA&#10;BADzAAAAIwYAAAAA&#10;" filled="f" stroked="f">
              <v:path arrowok="t"/>
              <v:textbox>
                <w:txbxContent>
                  <w:p w14:paraId="22DEE9D3" w14:textId="77777777" w:rsidR="009027EC" w:rsidRDefault="009027EC"/>
                </w:txbxContent>
              </v:textbox>
            </v:shape>
          </w:pict>
        </mc:Fallback>
      </mc:AlternateContent>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BF3C661" w14:textId="0003F1E5" w:rsidR="009027EC" w:rsidRPr="004F1EBF" w:rsidRDefault="009027EC" w:rsidP="00764131">
    <w:pPr>
      <w:pStyle w:val="Footer"/>
      <w:framePr w:wrap="around" w:vAnchor="text" w:hAnchor="page" w:x="10861" w:y="-80"/>
      <w:spacing w:after="360"/>
      <w:rPr>
        <w:rStyle w:val="PageNumber"/>
        <w:color w:val="0F673B"/>
        <w:szCs w:val="20"/>
      </w:rPr>
    </w:pPr>
    <w:r w:rsidRPr="004F1EBF">
      <w:rPr>
        <w:rStyle w:val="PageNumber"/>
        <w:color w:val="0F673B"/>
        <w:szCs w:val="20"/>
      </w:rPr>
      <w:t>B-</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247720">
      <w:rPr>
        <w:rStyle w:val="PageNumber"/>
        <w:noProof/>
        <w:color w:val="0F673B"/>
        <w:szCs w:val="20"/>
      </w:rPr>
      <w:t>1</w:t>
    </w:r>
    <w:r w:rsidRPr="004F1EBF">
      <w:rPr>
        <w:rStyle w:val="PageNumber"/>
        <w:color w:val="0F673B"/>
        <w:szCs w:val="20"/>
      </w:rPr>
      <w:fldChar w:fldCharType="end"/>
    </w:r>
  </w:p>
  <w:p w14:paraId="220E3F65" w14:textId="77777777" w:rsidR="009027EC" w:rsidRDefault="009027EC">
    <w:pPr>
      <w:pStyle w:val="Footer"/>
      <w:jc w:val="right"/>
    </w:pPr>
    <w:r w:rsidRPr="00DB159E">
      <w:rPr>
        <w:i/>
        <w:noProof/>
        <w:lang w:bidi="ar-SA"/>
      </w:rPr>
      <w:drawing>
        <wp:anchor distT="0" distB="0" distL="114300" distR="114300" simplePos="0" relativeHeight="251695104" behindDoc="0" locked="0" layoutInCell="1" allowOverlap="1" wp14:anchorId="216E5FAA" wp14:editId="5081CED1">
          <wp:simplePos x="0" y="0"/>
          <wp:positionH relativeFrom="column">
            <wp:posOffset>-215265</wp:posOffset>
          </wp:positionH>
          <wp:positionV relativeFrom="paragraph">
            <wp:posOffset>-235585</wp:posOffset>
          </wp:positionV>
          <wp:extent cx="1194435" cy="383540"/>
          <wp:effectExtent l="0" t="0" r="5715" b="0"/>
          <wp:wrapTopAndBottom/>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p w14:paraId="17A2DC76" w14:textId="21C10B5B" w:rsidR="009027EC" w:rsidRPr="00DB159E" w:rsidRDefault="009027EC" w:rsidP="00D83BA8">
    <w:pPr>
      <w:pStyle w:val="Footer"/>
      <w:tabs>
        <w:tab w:val="clear" w:pos="4680"/>
        <w:tab w:val="clear" w:pos="9360"/>
        <w:tab w:val="right" w:pos="8928"/>
      </w:tabs>
    </w:pP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38A73A0" w14:textId="7B3F1C80" w:rsidR="00D83BA8" w:rsidRPr="004F1EBF" w:rsidRDefault="00D83BA8" w:rsidP="00D83BA8">
    <w:pPr>
      <w:pStyle w:val="Footer"/>
      <w:framePr w:wrap="around" w:vAnchor="text" w:hAnchor="page" w:x="10791" w:yAlign="top"/>
      <w:spacing w:after="360"/>
      <w:rPr>
        <w:rStyle w:val="PageNumber"/>
        <w:color w:val="0F673B"/>
        <w:szCs w:val="20"/>
      </w:rPr>
    </w:pPr>
    <w:r>
      <w:rPr>
        <w:rStyle w:val="PageNumber"/>
        <w:color w:val="0F673B"/>
        <w:szCs w:val="20"/>
      </w:rPr>
      <w:t>C</w:t>
    </w:r>
    <w:r w:rsidRPr="004F1EBF">
      <w:rPr>
        <w:rStyle w:val="PageNumber"/>
        <w:color w:val="0F673B"/>
        <w:szCs w:val="20"/>
      </w:rPr>
      <w:t>-</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247720">
      <w:rPr>
        <w:rStyle w:val="PageNumber"/>
        <w:noProof/>
        <w:color w:val="0F673B"/>
        <w:szCs w:val="20"/>
      </w:rPr>
      <w:t>2</w:t>
    </w:r>
    <w:r w:rsidRPr="004F1EBF">
      <w:rPr>
        <w:rStyle w:val="PageNumber"/>
        <w:color w:val="0F673B"/>
        <w:szCs w:val="20"/>
      </w:rPr>
      <w:fldChar w:fldCharType="end"/>
    </w:r>
  </w:p>
  <w:p w14:paraId="11827D5F" w14:textId="77777777" w:rsidR="00D83BA8" w:rsidRDefault="00D83BA8" w:rsidP="00D83BA8">
    <w:pPr>
      <w:pStyle w:val="Footer"/>
      <w:ind w:right="360"/>
    </w:pPr>
    <w:r>
      <w:rPr>
        <w:noProof/>
        <w:lang w:bidi="ar-SA"/>
      </w:rPr>
      <w:drawing>
        <wp:anchor distT="0" distB="0" distL="114300" distR="114300" simplePos="0" relativeHeight="251716608" behindDoc="0" locked="0" layoutInCell="1" allowOverlap="1" wp14:anchorId="56105A7C" wp14:editId="4C6C30FF">
          <wp:simplePos x="0" y="0"/>
          <wp:positionH relativeFrom="column">
            <wp:posOffset>-298450</wp:posOffset>
          </wp:positionH>
          <wp:positionV relativeFrom="paragraph">
            <wp:posOffset>-142240</wp:posOffset>
          </wp:positionV>
          <wp:extent cx="1194435" cy="383540"/>
          <wp:effectExtent l="0" t="0" r="5715"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715584" behindDoc="0" locked="0" layoutInCell="1" allowOverlap="1" wp14:anchorId="6DA07A54" wp14:editId="4081E499">
              <wp:simplePos x="0" y="0"/>
              <wp:positionH relativeFrom="column">
                <wp:posOffset>-311785</wp:posOffset>
              </wp:positionH>
              <wp:positionV relativeFrom="paragraph">
                <wp:posOffset>-292100</wp:posOffset>
              </wp:positionV>
              <wp:extent cx="2069465" cy="53848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DDE71E7" w14:textId="77777777" w:rsidR="00D83BA8" w:rsidRDefault="00D83B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DA07A54" id="_x0000_t202" coordsize="21600,21600" o:spt="202" path="m,l,21600r21600,l21600,xe">
              <v:stroke joinstyle="miter"/>
              <v:path gradientshapeok="t" o:connecttype="rect"/>
            </v:shapetype>
            <v:shape id="Text Box 40" o:spid="_x0000_s1049" type="#_x0000_t202" style="position:absolute;margin-left:-24.55pt;margin-top:-23pt;width:162.95pt;height:4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nDvvQIAAMUFAAAOAAAAZHJzL2Uyb0RvYy54bWysVFtv2jAUfp+0/2D5nSawQCFqqFIqpkmo&#10;rdZOfTaOXaImPp5tIKzaf9+xk1DW7aXTXhL7+Du371wuLpu6IjthbAkqo8OzmBKhOBSlesrot4fl&#10;YEqJdUwVrAIlMnoQll7OP3642OtUjGADVSEMQSPKpnud0Y1zOo0iyzeiZvYMtFD4KMHUzOHVPEWF&#10;YXu0XlfRKI4n0R5MoQ1wYS1Kr9tHOg/2pRTc3UpphSNVRjE2F74mfNf+G80vWPpkmN6UvAuD/UMU&#10;NSsVOj2aumaOka0p/zBVl9yABenOONQRSFlyEXLAbIbxm2zuN0yLkAuSY/WRJvv/zPKb3Z0hZZHR&#10;BOlRrMYaPYjGkStoCIqQn722KcLuNQJdg3Ksc8jV6hXwZ4uQ6ATTKlhEez4aaWr/x0wJKqKPw5F2&#10;74ajcBRPZslkTAnHt/GnaTINfqNXbW2s+yygJv6QUYNlDRGw3co675+lPcQ7U7AsqyqUtlK/CRDY&#10;SkTojVabpRgJHj3SxxTq9rIYn4/y8/FsMMnHw0EyjKeDPI9Hg+tlHudxslzMkqufnh+02esHHtrU&#10;PSPWHSrhrVbqq5DIcmDAC0J/i0VlyI5hZzLOhXLDzlpAe5TELN6j2OFDHiG/9yi3jKBG8AzKHZXr&#10;UoFpK+7H8jXs4rkPWbb4rhO6vD0Frlk3ob2mfSutoThgJxloZ9Fqviyxqitm3R0zOHzYI7hQ3C1+&#10;ZAX7jEJ3omQD5sff5B6PM4GvlOxxmDNqv2+ZEZRUXxROy2yY+PZ24ZJgYfFiTl/Wpy9qWy8AqzLE&#10;1aV5OHq8q/qjNFA/4t7JvVd8Yoqj74y6/rhw7YrBvcVFngcQzrtmbqXuNe8HyPfsQ/PIjO4a22Ej&#10;3UA/9ix9098t1tdHQb51IMvQ/J7nltWOf9wVoS27veaX0ek9oF637/wXAAAA//8DAFBLAwQUAAYA&#10;CAAAACEASUqwud8AAAAKAQAADwAAAGRycy9kb3ducmV2LnhtbEyPQU7DMBBF90jcwZpK7FqnBYWQ&#10;xqkQUgVCbBp6ADc2SZR4bMV2Ejg90xXsZjRPf94vDosZ2KRH31kUsN0kwDTWVnXYCDh/HtcZMB8k&#10;KjlY1AK+tYdDeXtTyFzZGU96qkLDKAR9LgW0Ibicc1+32ki/sU4j3b7saGSgdWy4GuVM4WbguyRJ&#10;uZEd0odWOv3S6rqvohFwjK9vZvrh0b1X9Yyt6+P5oxfibrU874EFvYQ/GK76pA4lOV1sROXZIGD9&#10;8LQl9DqkVIqI3WNKZS4C7rMMeFnw/xXKXwAAAP//AwBQSwECLQAUAAYACAAAACEAtoM4kv4AAADh&#10;AQAAEwAAAAAAAAAAAAAAAAAAAAAAW0NvbnRlbnRfVHlwZXNdLnhtbFBLAQItABQABgAIAAAAIQA4&#10;/SH/1gAAAJQBAAALAAAAAAAAAAAAAAAAAC8BAABfcmVscy8ucmVsc1BLAQItABQABgAIAAAAIQA5&#10;6nDvvQIAAMUFAAAOAAAAAAAAAAAAAAAAAC4CAABkcnMvZTJvRG9jLnhtbFBLAQItABQABgAIAAAA&#10;IQBJSrC53wAAAAoBAAAPAAAAAAAAAAAAAAAAABcFAABkcnMvZG93bnJldi54bWxQSwUGAAAAAAQA&#10;BADzAAAAIwYAAAAA&#10;" filled="f" stroked="f">
              <v:path arrowok="t"/>
              <v:textbox>
                <w:txbxContent>
                  <w:p w14:paraId="3DDE71E7" w14:textId="77777777" w:rsidR="00D83BA8" w:rsidRDefault="00D83BA8"/>
                </w:txbxContent>
              </v:textbox>
            </v:shape>
          </w:pict>
        </mc:Fallback>
      </mc:AlternateContent>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5260C25" w14:textId="5428ACAD" w:rsidR="00D83BA8" w:rsidRPr="004F1EBF" w:rsidRDefault="00D83BA8" w:rsidP="00764131">
    <w:pPr>
      <w:pStyle w:val="Footer"/>
      <w:framePr w:wrap="around" w:vAnchor="text" w:hAnchor="page" w:x="10861" w:y="-80"/>
      <w:spacing w:after="360"/>
      <w:rPr>
        <w:rStyle w:val="PageNumber"/>
        <w:color w:val="0F673B"/>
        <w:szCs w:val="20"/>
      </w:rPr>
    </w:pPr>
    <w:r>
      <w:rPr>
        <w:rStyle w:val="PageNumber"/>
        <w:color w:val="0F673B"/>
        <w:szCs w:val="20"/>
      </w:rPr>
      <w:t>C</w:t>
    </w:r>
    <w:r w:rsidRPr="004F1EBF">
      <w:rPr>
        <w:rStyle w:val="PageNumber"/>
        <w:color w:val="0F673B"/>
        <w:szCs w:val="20"/>
      </w:rPr>
      <w:t>-</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247720">
      <w:rPr>
        <w:rStyle w:val="PageNumber"/>
        <w:noProof/>
        <w:color w:val="0F673B"/>
        <w:szCs w:val="20"/>
      </w:rPr>
      <w:t>1</w:t>
    </w:r>
    <w:r w:rsidRPr="004F1EBF">
      <w:rPr>
        <w:rStyle w:val="PageNumber"/>
        <w:color w:val="0F673B"/>
        <w:szCs w:val="20"/>
      </w:rPr>
      <w:fldChar w:fldCharType="end"/>
    </w:r>
  </w:p>
  <w:p w14:paraId="0FACBFEF" w14:textId="77777777" w:rsidR="00D83BA8" w:rsidRDefault="00D83BA8">
    <w:pPr>
      <w:pStyle w:val="Footer"/>
      <w:jc w:val="right"/>
    </w:pPr>
    <w:r w:rsidRPr="00DB159E">
      <w:rPr>
        <w:i/>
        <w:noProof/>
        <w:lang w:bidi="ar-SA"/>
      </w:rPr>
      <w:drawing>
        <wp:anchor distT="0" distB="0" distL="114300" distR="114300" simplePos="0" relativeHeight="251713536" behindDoc="0" locked="0" layoutInCell="1" allowOverlap="1" wp14:anchorId="0AEF0460" wp14:editId="0E879E6F">
          <wp:simplePos x="0" y="0"/>
          <wp:positionH relativeFrom="column">
            <wp:posOffset>-215265</wp:posOffset>
          </wp:positionH>
          <wp:positionV relativeFrom="paragraph">
            <wp:posOffset>-235585</wp:posOffset>
          </wp:positionV>
          <wp:extent cx="1194435" cy="383540"/>
          <wp:effectExtent l="0" t="0" r="5715"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p w14:paraId="714BFB27" w14:textId="77777777" w:rsidR="00D83BA8" w:rsidRPr="00DB159E" w:rsidRDefault="00D83BA8" w:rsidP="00D83BA8">
    <w:pPr>
      <w:pStyle w:val="Footer"/>
      <w:tabs>
        <w:tab w:val="clear" w:pos="4680"/>
        <w:tab w:val="clear" w:pos="9360"/>
        <w:tab w:val="right" w:pos="8928"/>
      </w:tabs>
    </w:pP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5CF8B5A" w14:textId="4922BD67" w:rsidR="00D83BA8" w:rsidRPr="004F1EBF" w:rsidRDefault="00D83BA8" w:rsidP="00764131">
    <w:pPr>
      <w:pStyle w:val="Footer"/>
      <w:framePr w:wrap="around" w:vAnchor="text" w:hAnchor="page" w:x="10861" w:y="-80"/>
      <w:spacing w:after="360"/>
      <w:rPr>
        <w:rStyle w:val="PageNumber"/>
        <w:color w:val="0F673B"/>
        <w:szCs w:val="20"/>
      </w:rPr>
    </w:pPr>
    <w:r>
      <w:rPr>
        <w:rStyle w:val="PageNumber"/>
        <w:color w:val="0F673B"/>
        <w:szCs w:val="20"/>
      </w:rPr>
      <w:t>D</w:t>
    </w:r>
    <w:r w:rsidRPr="004F1EBF">
      <w:rPr>
        <w:rStyle w:val="PageNumber"/>
        <w:color w:val="0F673B"/>
        <w:szCs w:val="20"/>
      </w:rPr>
      <w:t>-</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247720">
      <w:rPr>
        <w:rStyle w:val="PageNumber"/>
        <w:noProof/>
        <w:color w:val="0F673B"/>
        <w:szCs w:val="20"/>
      </w:rPr>
      <w:t>1</w:t>
    </w:r>
    <w:r w:rsidRPr="004F1EBF">
      <w:rPr>
        <w:rStyle w:val="PageNumber"/>
        <w:color w:val="0F673B"/>
        <w:szCs w:val="20"/>
      </w:rPr>
      <w:fldChar w:fldCharType="end"/>
    </w:r>
  </w:p>
  <w:p w14:paraId="6621E6FE" w14:textId="77777777" w:rsidR="00D83BA8" w:rsidRDefault="00D83BA8">
    <w:pPr>
      <w:pStyle w:val="Footer"/>
      <w:jc w:val="right"/>
    </w:pPr>
    <w:r w:rsidRPr="00DB159E">
      <w:rPr>
        <w:i/>
        <w:noProof/>
        <w:lang w:bidi="ar-SA"/>
      </w:rPr>
      <w:drawing>
        <wp:anchor distT="0" distB="0" distL="114300" distR="114300" simplePos="0" relativeHeight="251718656" behindDoc="0" locked="0" layoutInCell="1" allowOverlap="1" wp14:anchorId="5D58BAF7" wp14:editId="30096E86">
          <wp:simplePos x="0" y="0"/>
          <wp:positionH relativeFrom="column">
            <wp:posOffset>-215265</wp:posOffset>
          </wp:positionH>
          <wp:positionV relativeFrom="paragraph">
            <wp:posOffset>-235585</wp:posOffset>
          </wp:positionV>
          <wp:extent cx="1194435" cy="383540"/>
          <wp:effectExtent l="0" t="0" r="5715"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p w14:paraId="3DA77C4F" w14:textId="77777777" w:rsidR="00D83BA8" w:rsidRPr="00DB159E" w:rsidRDefault="00D83BA8" w:rsidP="00D83BA8">
    <w:pPr>
      <w:pStyle w:val="Footer"/>
      <w:tabs>
        <w:tab w:val="clear" w:pos="4680"/>
        <w:tab w:val="clear" w:pos="9360"/>
        <w:tab w:val="right" w:pos="8928"/>
      </w:tabs>
    </w:pP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93E86AB" w14:textId="03B5F6C9" w:rsidR="006B6649" w:rsidRPr="004F1EBF" w:rsidRDefault="006B6649" w:rsidP="00764131">
    <w:pPr>
      <w:pStyle w:val="Footer"/>
      <w:framePr w:wrap="around" w:vAnchor="text" w:hAnchor="page" w:x="10861" w:y="-80"/>
      <w:spacing w:after="360"/>
      <w:rPr>
        <w:rStyle w:val="PageNumber"/>
        <w:color w:val="0F673B"/>
        <w:szCs w:val="20"/>
      </w:rPr>
    </w:pPr>
    <w:r>
      <w:rPr>
        <w:rStyle w:val="PageNumber"/>
        <w:color w:val="0F673B"/>
        <w:szCs w:val="20"/>
      </w:rPr>
      <w:t>D</w:t>
    </w:r>
    <w:r w:rsidRPr="004F1EBF">
      <w:rPr>
        <w:rStyle w:val="PageNumber"/>
        <w:color w:val="0F673B"/>
        <w:szCs w:val="20"/>
      </w:rPr>
      <w:t>-</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247720">
      <w:rPr>
        <w:rStyle w:val="PageNumber"/>
        <w:noProof/>
        <w:color w:val="0F673B"/>
        <w:szCs w:val="20"/>
      </w:rPr>
      <w:t>2</w:t>
    </w:r>
    <w:r w:rsidRPr="004F1EBF">
      <w:rPr>
        <w:rStyle w:val="PageNumber"/>
        <w:color w:val="0F673B"/>
        <w:szCs w:val="20"/>
      </w:rPr>
      <w:fldChar w:fldCharType="end"/>
    </w:r>
  </w:p>
  <w:p w14:paraId="3EC0FDC7" w14:textId="77777777" w:rsidR="006B6649" w:rsidRDefault="006B6649">
    <w:pPr>
      <w:pStyle w:val="Footer"/>
      <w:jc w:val="right"/>
    </w:pPr>
    <w:r w:rsidRPr="00DB159E">
      <w:rPr>
        <w:i/>
        <w:noProof/>
        <w:lang w:bidi="ar-SA"/>
      </w:rPr>
      <w:drawing>
        <wp:anchor distT="0" distB="0" distL="114300" distR="114300" simplePos="0" relativeHeight="251720704" behindDoc="0" locked="0" layoutInCell="1" allowOverlap="1" wp14:anchorId="4FACAA94" wp14:editId="2E18D140">
          <wp:simplePos x="0" y="0"/>
          <wp:positionH relativeFrom="column">
            <wp:posOffset>-215265</wp:posOffset>
          </wp:positionH>
          <wp:positionV relativeFrom="paragraph">
            <wp:posOffset>-235585</wp:posOffset>
          </wp:positionV>
          <wp:extent cx="1194435" cy="383540"/>
          <wp:effectExtent l="0" t="0" r="5715"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p w14:paraId="0CD482DA" w14:textId="77777777" w:rsidR="006B6649" w:rsidRPr="00DB159E" w:rsidRDefault="006B6649" w:rsidP="00D83BA8">
    <w:pPr>
      <w:pStyle w:val="Footer"/>
      <w:tabs>
        <w:tab w:val="clear" w:pos="4680"/>
        <w:tab w:val="clear" w:pos="9360"/>
        <w:tab w:val="right" w:pos="8928"/>
      </w:tabs>
    </w:pP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0EE725A" w14:textId="25947255" w:rsidR="006B6649" w:rsidRPr="004F1EBF" w:rsidRDefault="006B6649" w:rsidP="00764131">
    <w:pPr>
      <w:pStyle w:val="Footer"/>
      <w:framePr w:wrap="around" w:vAnchor="text" w:hAnchor="page" w:x="10861" w:y="-80"/>
      <w:spacing w:after="360"/>
      <w:rPr>
        <w:rStyle w:val="PageNumber"/>
        <w:color w:val="0F673B"/>
        <w:szCs w:val="20"/>
      </w:rPr>
    </w:pPr>
    <w:r>
      <w:rPr>
        <w:rStyle w:val="PageNumber"/>
        <w:color w:val="0F673B"/>
        <w:szCs w:val="20"/>
      </w:rPr>
      <w:t>D</w:t>
    </w:r>
    <w:r w:rsidRPr="004F1EBF">
      <w:rPr>
        <w:rStyle w:val="PageNumber"/>
        <w:color w:val="0F673B"/>
        <w:szCs w:val="20"/>
      </w:rPr>
      <w:t>-</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247720">
      <w:rPr>
        <w:rStyle w:val="PageNumber"/>
        <w:noProof/>
        <w:color w:val="0F673B"/>
        <w:szCs w:val="20"/>
      </w:rPr>
      <w:t>3</w:t>
    </w:r>
    <w:r w:rsidRPr="004F1EBF">
      <w:rPr>
        <w:rStyle w:val="PageNumber"/>
        <w:color w:val="0F673B"/>
        <w:szCs w:val="20"/>
      </w:rPr>
      <w:fldChar w:fldCharType="end"/>
    </w:r>
  </w:p>
  <w:p w14:paraId="66A5C627" w14:textId="77777777" w:rsidR="006B6649" w:rsidRDefault="006B6649">
    <w:pPr>
      <w:pStyle w:val="Footer"/>
      <w:jc w:val="right"/>
    </w:pPr>
    <w:r w:rsidRPr="00DB159E">
      <w:rPr>
        <w:i/>
        <w:noProof/>
        <w:lang w:bidi="ar-SA"/>
      </w:rPr>
      <w:drawing>
        <wp:anchor distT="0" distB="0" distL="114300" distR="114300" simplePos="0" relativeHeight="251722752" behindDoc="0" locked="0" layoutInCell="1" allowOverlap="1" wp14:anchorId="6EF5E33D" wp14:editId="6A1B857B">
          <wp:simplePos x="0" y="0"/>
          <wp:positionH relativeFrom="column">
            <wp:posOffset>-215265</wp:posOffset>
          </wp:positionH>
          <wp:positionV relativeFrom="paragraph">
            <wp:posOffset>-235585</wp:posOffset>
          </wp:positionV>
          <wp:extent cx="1194435" cy="383540"/>
          <wp:effectExtent l="0" t="0" r="5715"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p w14:paraId="00AFAFBF" w14:textId="77777777" w:rsidR="006B6649" w:rsidRPr="00DB159E" w:rsidRDefault="006B6649" w:rsidP="00D83BA8">
    <w:pPr>
      <w:pStyle w:val="Footer"/>
      <w:tabs>
        <w:tab w:val="clear" w:pos="4680"/>
        <w:tab w:val="clear" w:pos="9360"/>
        <w:tab w:val="right" w:pos="8928"/>
      </w:tabs>
    </w:pP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1A109A3" w14:textId="2080D79C" w:rsidR="006B6649" w:rsidRPr="004F1EBF" w:rsidRDefault="006B6649" w:rsidP="00764131">
    <w:pPr>
      <w:pStyle w:val="Footer"/>
      <w:framePr w:wrap="around" w:vAnchor="text" w:hAnchor="page" w:x="10861" w:y="-80"/>
      <w:spacing w:after="360"/>
      <w:rPr>
        <w:rStyle w:val="PageNumber"/>
        <w:color w:val="0F673B"/>
        <w:szCs w:val="20"/>
      </w:rPr>
    </w:pPr>
    <w:r>
      <w:rPr>
        <w:rStyle w:val="PageNumber"/>
        <w:color w:val="0F673B"/>
        <w:szCs w:val="20"/>
      </w:rPr>
      <w:t>D</w:t>
    </w:r>
    <w:r w:rsidRPr="004F1EBF">
      <w:rPr>
        <w:rStyle w:val="PageNumber"/>
        <w:color w:val="0F673B"/>
        <w:szCs w:val="20"/>
      </w:rPr>
      <w:t>-</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247720">
      <w:rPr>
        <w:rStyle w:val="PageNumber"/>
        <w:noProof/>
        <w:color w:val="0F673B"/>
        <w:szCs w:val="20"/>
      </w:rPr>
      <w:t>4</w:t>
    </w:r>
    <w:r w:rsidRPr="004F1EBF">
      <w:rPr>
        <w:rStyle w:val="PageNumber"/>
        <w:color w:val="0F673B"/>
        <w:szCs w:val="20"/>
      </w:rPr>
      <w:fldChar w:fldCharType="end"/>
    </w:r>
  </w:p>
  <w:p w14:paraId="69FB5F65" w14:textId="77777777" w:rsidR="006B6649" w:rsidRDefault="006B6649">
    <w:pPr>
      <w:pStyle w:val="Footer"/>
      <w:jc w:val="right"/>
    </w:pPr>
    <w:r w:rsidRPr="00DB159E">
      <w:rPr>
        <w:i/>
        <w:noProof/>
        <w:lang w:bidi="ar-SA"/>
      </w:rPr>
      <w:drawing>
        <wp:anchor distT="0" distB="0" distL="114300" distR="114300" simplePos="0" relativeHeight="251724800" behindDoc="0" locked="0" layoutInCell="1" allowOverlap="1" wp14:anchorId="4B3F5308" wp14:editId="57612F19">
          <wp:simplePos x="0" y="0"/>
          <wp:positionH relativeFrom="column">
            <wp:posOffset>-215265</wp:posOffset>
          </wp:positionH>
          <wp:positionV relativeFrom="paragraph">
            <wp:posOffset>-235585</wp:posOffset>
          </wp:positionV>
          <wp:extent cx="1194435" cy="383540"/>
          <wp:effectExtent l="0" t="0" r="5715"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p w14:paraId="6B8793D5" w14:textId="77777777" w:rsidR="006B6649" w:rsidRPr="00DB159E" w:rsidRDefault="006B6649" w:rsidP="00D83BA8">
    <w:pPr>
      <w:pStyle w:val="Footer"/>
      <w:tabs>
        <w:tab w:val="clear" w:pos="4680"/>
        <w:tab w:val="clear" w:pos="9360"/>
        <w:tab w:val="right" w:pos="8928"/>
      </w:tabs>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B953AF1" w14:textId="49B9E9A9" w:rsidR="009027EC" w:rsidRPr="00ED291A" w:rsidRDefault="009027EC" w:rsidP="004B2692">
    <w:pPr>
      <w:pStyle w:val="Footer"/>
      <w:framePr w:wrap="around" w:vAnchor="text" w:hAnchor="page" w:x="10871" w:y="-345"/>
      <w:spacing w:after="360"/>
      <w:rPr>
        <w:rStyle w:val="PageNumber"/>
        <w:color w:val="D5D149" w:themeColor="accent3" w:themeShade="BF"/>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A278F2">
      <w:rPr>
        <w:rStyle w:val="PageNumber"/>
        <w:noProof/>
        <w:color w:val="0F673B"/>
        <w:szCs w:val="20"/>
      </w:rPr>
      <w:t>II</w:t>
    </w:r>
    <w:r w:rsidRPr="004F1EBF">
      <w:rPr>
        <w:rStyle w:val="PageNumber"/>
        <w:color w:val="0F673B"/>
        <w:szCs w:val="20"/>
      </w:rPr>
      <w:fldChar w:fldCharType="end"/>
    </w:r>
  </w:p>
  <w:p w14:paraId="270319F3" w14:textId="77777777" w:rsidR="009027EC" w:rsidRDefault="009027EC" w:rsidP="00D40AE1">
    <w:pPr>
      <w:pStyle w:val="Footer"/>
      <w:ind w:right="360"/>
      <w:jc w:val="right"/>
    </w:pPr>
    <w:r>
      <w:rPr>
        <w:noProof/>
        <w:lang w:bidi="ar-SA"/>
      </w:rPr>
      <w:drawing>
        <wp:anchor distT="0" distB="0" distL="114300" distR="114300" simplePos="0" relativeHeight="251670528" behindDoc="0" locked="0" layoutInCell="1" allowOverlap="1" wp14:anchorId="20DD00F2" wp14:editId="26A400FC">
          <wp:simplePos x="0" y="0"/>
          <wp:positionH relativeFrom="column">
            <wp:posOffset>-259715</wp:posOffset>
          </wp:positionH>
          <wp:positionV relativeFrom="paragraph">
            <wp:posOffset>-384810</wp:posOffset>
          </wp:positionV>
          <wp:extent cx="1194435" cy="383540"/>
          <wp:effectExtent l="0" t="0" r="5715"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34688" behindDoc="0" locked="0" layoutInCell="1" allowOverlap="1" wp14:anchorId="395C0EBF" wp14:editId="7CC688DA">
              <wp:simplePos x="0" y="0"/>
              <wp:positionH relativeFrom="column">
                <wp:posOffset>-311785</wp:posOffset>
              </wp:positionH>
              <wp:positionV relativeFrom="paragraph">
                <wp:posOffset>-292100</wp:posOffset>
              </wp:positionV>
              <wp:extent cx="2069465" cy="53848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EAA4BE5" w14:textId="77777777" w:rsidR="009027EC" w:rsidRDefault="009027EC"/>
                        <w:p w14:paraId="062E4F0F" w14:textId="77777777" w:rsidR="009027EC" w:rsidRDefault="009027EC"/>
                        <w:p w14:paraId="399BB523" w14:textId="77777777" w:rsidR="009027EC" w:rsidRDefault="009027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395C0EBF" id="_x0000_t202" coordsize="21600,21600" o:spt="202" path="m,l,21600r21600,l21600,xe">
              <v:stroke joinstyle="miter"/>
              <v:path gradientshapeok="t" o:connecttype="rect"/>
            </v:shapetype>
            <v:shape id="Text Box 4" o:spid="_x0000_s1041" type="#_x0000_t202" style="position:absolute;left:0;text-align:left;margin-left:-24.55pt;margin-top:-23pt;width:162.95pt;height:42.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zZguAIAALwFAAAOAAAAZHJzL2Uyb0RvYy54bWysVFtv2jAUfp+0/2D5nSawwCBqqFIqpkmo&#10;rdZOfTaOXaImPp5tIGzaf9+xkwDr9tJpL4l9/J3bdy6XV01dkZ0wtgSV0eFFTIlQHIpSPWf06+Ny&#10;MKXEOqYKVoESGT0IS6/m799d7nUqRrCBqhCGoBFl073O6MY5nUaR5RtRM3sBWih8lGBq5vBqnqPC&#10;sD1ar6toFMeTaA+m0Aa4sBalN+0jnQf7Ugru7qS0wpEqoxibC18Tvmv/jeaXLH02TG9K3oXB/iGK&#10;mpUKnR5N3TDHyNaUf5iqS27AgnQXHOoIpCy5CDlgNsP4VTYPG6ZFyAXJsfpIk/1/Zvnt7t6Qssho&#10;QoliNZboUTSOXENDEs/OXtsUQQ8aYa5BMVY5ZGr1CviLRUh0hmkVLKI9G400tf9jngQVsQCHI+ne&#10;C0fhKJ7MksmYEo5v4w/TZBqqEp20tbHuk4Ca+ENGDRY1RMB2K+u8f5b2EO9MwbKsqlDYSv0mQGAr&#10;EaEzWm2WYiR49EgfU6jaj8X44yj/OJ4NJvl4OEiG8XSQ5/FocLPM4zxOlotZcv3T84M2e/3AQ5u6&#10;Z8S6QyW81Up9ERI5Dgx4QehusagM2THsS8a5UG7YWQtoj5KYxVsUO3zII+T3FuWWEdQInkG5o3Jd&#10;KjBtxf1QnsIuXvqQZYvvOqHL21PgmnWDHPnjGooDtpCBdgSt5ssSy7li1t0zgzOHzYF7xN3hR1aw&#10;zyh0J0o2YL7/Te7xOAr4SskeZzij9tuWGUFJ9VnhkMyGSeKHPlwSrChezPnL+vxFbesFYDmGuLE0&#10;D0ePd1V/lAbqJ1w3ufeKT0xx9J1R1x8Xrt0suK64yPMAwjHXzK3Ug+b95PhmfWyemNFdRzvsoFvo&#10;p52lrxq7xfrCKMi3DmQZuv7Eakc8rojQj9068zvo/B5Qp6U7/wUAAP//AwBQSwMEFAAGAAgAAAAh&#10;AElKsLnfAAAACgEAAA8AAABkcnMvZG93bnJldi54bWxMj0FOwzAQRfdI3MGaSuxapwWFkMapEFIF&#10;QmwaegA3NkmUeGzFdhI4PdMV7GY0T3/eLw6LGdikR99ZFLDdJMA01lZ12Ag4fx7XGTAfJCo5WNQC&#10;vrWHQ3l7U8hc2RlPeqpCwygEfS4FtCG4nHNft9pIv7FOI92+7GhkoHVsuBrlTOFm4LskSbmRHdKH&#10;Vjr90uq6r6IRcIyvb2b64dG9V/WMrevj+aMX4m61PO+BBb2EPxiu+qQOJTldbETl2SBg/fC0JfQ6&#10;pFSKiN1jSmUuAu6zDHhZ8P8Vyl8AAAD//wMAUEsBAi0AFAAGAAgAAAAhALaDOJL+AAAA4QEAABMA&#10;AAAAAAAAAAAAAAAAAAAAAFtDb250ZW50X1R5cGVzXS54bWxQSwECLQAUAAYACAAAACEAOP0h/9YA&#10;AACUAQAACwAAAAAAAAAAAAAAAAAvAQAAX3JlbHMvLnJlbHNQSwECLQAUAAYACAAAACEAr6s2YLgC&#10;AAC8BQAADgAAAAAAAAAAAAAAAAAuAgAAZHJzL2Uyb0RvYy54bWxQSwECLQAUAAYACAAAACEASUqw&#10;ud8AAAAKAQAADwAAAAAAAAAAAAAAAAASBQAAZHJzL2Rvd25yZXYueG1sUEsFBgAAAAAEAAQA8wAA&#10;AB4GAAAAAA==&#10;" filled="f" stroked="f">
              <v:path arrowok="t"/>
              <v:textbox>
                <w:txbxContent>
                  <w:p w14:paraId="1EAA4BE5" w14:textId="77777777" w:rsidR="009027EC" w:rsidRDefault="009027EC"/>
                  <w:p w14:paraId="062E4F0F" w14:textId="77777777" w:rsidR="009027EC" w:rsidRDefault="009027EC"/>
                  <w:p w14:paraId="399BB523" w14:textId="77777777" w:rsidR="009027EC" w:rsidRDefault="009027EC"/>
                </w:txbxContent>
              </v:textbox>
            </v:shape>
          </w:pict>
        </mc:Fallback>
      </mc:AlternateContent>
    </w:r>
  </w:p>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90C07D9" w14:textId="73EB29ED" w:rsidR="006B6649" w:rsidRPr="004F1EBF" w:rsidRDefault="006B6649" w:rsidP="00D83BA8">
    <w:pPr>
      <w:pStyle w:val="Footer"/>
      <w:framePr w:wrap="around" w:vAnchor="text" w:hAnchor="page" w:x="10791" w:yAlign="top"/>
      <w:spacing w:after="360"/>
      <w:rPr>
        <w:rStyle w:val="PageNumber"/>
        <w:color w:val="0F673B"/>
        <w:szCs w:val="20"/>
      </w:rPr>
    </w:pPr>
    <w:r>
      <w:rPr>
        <w:rStyle w:val="PageNumber"/>
        <w:color w:val="0F673B"/>
        <w:szCs w:val="20"/>
      </w:rPr>
      <w:t>E</w:t>
    </w:r>
    <w:r w:rsidRPr="004F1EBF">
      <w:rPr>
        <w:rStyle w:val="PageNumber"/>
        <w:color w:val="0F673B"/>
        <w:szCs w:val="20"/>
      </w:rPr>
      <w:t>-</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247720">
      <w:rPr>
        <w:rStyle w:val="PageNumber"/>
        <w:noProof/>
        <w:color w:val="0F673B"/>
        <w:szCs w:val="20"/>
      </w:rPr>
      <w:t>1</w:t>
    </w:r>
    <w:r w:rsidRPr="004F1EBF">
      <w:rPr>
        <w:rStyle w:val="PageNumber"/>
        <w:color w:val="0F673B"/>
        <w:szCs w:val="20"/>
      </w:rPr>
      <w:fldChar w:fldCharType="end"/>
    </w:r>
  </w:p>
  <w:p w14:paraId="1D95EF98" w14:textId="77777777" w:rsidR="006B6649" w:rsidRDefault="006B6649" w:rsidP="00D83BA8">
    <w:pPr>
      <w:pStyle w:val="Footer"/>
      <w:ind w:right="360"/>
    </w:pPr>
    <w:r>
      <w:rPr>
        <w:noProof/>
        <w:lang w:bidi="ar-SA"/>
      </w:rPr>
      <w:drawing>
        <wp:anchor distT="0" distB="0" distL="114300" distR="114300" simplePos="0" relativeHeight="251727872" behindDoc="0" locked="0" layoutInCell="1" allowOverlap="1" wp14:anchorId="1C1552F1" wp14:editId="791BAE48">
          <wp:simplePos x="0" y="0"/>
          <wp:positionH relativeFrom="column">
            <wp:posOffset>-298450</wp:posOffset>
          </wp:positionH>
          <wp:positionV relativeFrom="paragraph">
            <wp:posOffset>-142240</wp:posOffset>
          </wp:positionV>
          <wp:extent cx="1194435" cy="383540"/>
          <wp:effectExtent l="0" t="0" r="5715"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726848" behindDoc="0" locked="0" layoutInCell="1" allowOverlap="1" wp14:anchorId="35F9EBFB" wp14:editId="4FDEBE58">
              <wp:simplePos x="0" y="0"/>
              <wp:positionH relativeFrom="column">
                <wp:posOffset>-311785</wp:posOffset>
              </wp:positionH>
              <wp:positionV relativeFrom="paragraph">
                <wp:posOffset>-292100</wp:posOffset>
              </wp:positionV>
              <wp:extent cx="2069465" cy="53848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1DFF9C4" w14:textId="77777777" w:rsidR="006B6649" w:rsidRDefault="006B66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35F9EBFB" id="_x0000_t202" coordsize="21600,21600" o:spt="202" path="m,l,21600r21600,l21600,xe">
              <v:stroke joinstyle="miter"/>
              <v:path gradientshapeok="t" o:connecttype="rect"/>
            </v:shapetype>
            <v:shape id="Text Box 54" o:spid="_x0000_s1050" type="#_x0000_t202" style="position:absolute;margin-left:-24.55pt;margin-top:-23pt;width:162.95pt;height:42.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5hxvgIAAMUFAAAOAAAAZHJzL2Uyb0RvYy54bWysVFtv2jAUfp+0/2D5nSawQCFqqFIqpkmo&#10;rdZOfTaOXaImPp5tIKzaf9+xk1DW7aXTXhL7+Du371wuLpu6IjthbAkqo8OzmBKhOBSlesrot4fl&#10;YEqJdUwVrAIlMnoQll7OP3642OtUjGADVSEMQSPKpnud0Y1zOo0iyzeiZvYMtFD4KMHUzOHVPEWF&#10;YXu0XlfRKI4n0R5MoQ1wYS1Kr9tHOg/2pRTc3UpphSNVRjE2F74mfNf+G80vWPpkmN6UvAuD/UMU&#10;NSsVOj2aumaOka0p/zBVl9yABenOONQRSFlyEXLAbIbxm2zuN0yLkAuSY/WRJvv/zPKb3Z0hZZHR&#10;cUKJYjXW6EE0jlxBQ1CE/Oy1TRF2rxHoGpRjnUOuVq+AP1uERCeYVsEi2vPRSFP7P2ZKUBFLcDjS&#10;7t1wFI7iySyZjCnh+Db+NE2moS7Rq7Y21n0WUBN/yKjBsoYI2G5lnffP0h7inSlYllUVSlup3wQI&#10;bCUi9EarzVKMBI8e6WMKdXtZjM9H+fl4Npjk4+EgGcbTQZ7Ho8H1Mo/zOFkuZsnVT88P2uz1Aw9t&#10;6p4R6w6V8FYr9VVIZDkw4AWhv8WiMmTHsDMZ50K5YWctoD1KYhbvUezwIY+Q33uUW0ZQI3gG5Y7K&#10;danAtBX3Y/kadvHchyxbfNcJXd6eAtesm9Bes76V1lAcsJMMtLNoNV+WWNUVs+6OGRw+7BFcKO4W&#10;P7KCfUahO1GyAfPjb3KPx5nAV0r2OMwZtd+3zAhKqi8Kp2U2TBI//eGSYGHxYk5f1qcvalsvAKsy&#10;xNWleTh6vKv6ozRQP+Leyb1XfGKKo++Muv64cO2Kwb3FRZ4HEM67Zm6l7jXvB8j37EPzyIzuGtth&#10;I91AP/YsfdPfLdbXR0G+dSDL0Pye55bVjn/cFaEtu73ml9HpPaBet+/8FwAAAP//AwBQSwMEFAAG&#10;AAgAAAAhAElKsLnfAAAACgEAAA8AAABkcnMvZG93bnJldi54bWxMj0FOwzAQRfdI3MGaSuxapwWF&#10;kMapEFIFQmwaegA3NkmUeGzFdhI4PdMV7GY0T3/eLw6LGdikR99ZFLDdJMA01lZ12Ag4fx7XGTAf&#10;JCo5WNQCvrWHQ3l7U8hc2RlPeqpCwygEfS4FtCG4nHNft9pIv7FOI92+7GhkoHVsuBrlTOFm4Lsk&#10;SbmRHdKHVjr90uq6r6IRcIyvb2b64dG9V/WMrevj+aMX4m61PO+BBb2EPxiu+qQOJTldbETl2SBg&#10;/fC0JfQ6pFSKiN1jSmUuAu6zDHhZ8P8Vyl8AAAD//wMAUEsBAi0AFAAGAAgAAAAhALaDOJL+AAAA&#10;4QEAABMAAAAAAAAAAAAAAAAAAAAAAFtDb250ZW50X1R5cGVzXS54bWxQSwECLQAUAAYACAAAACEA&#10;OP0h/9YAAACUAQAACwAAAAAAAAAAAAAAAAAvAQAAX3JlbHMvLnJlbHNQSwECLQAUAAYACAAAACEA&#10;SDOYcb4CAADFBQAADgAAAAAAAAAAAAAAAAAuAgAAZHJzL2Uyb0RvYy54bWxQSwECLQAUAAYACAAA&#10;ACEASUqwud8AAAAKAQAADwAAAAAAAAAAAAAAAAAYBQAAZHJzL2Rvd25yZXYueG1sUEsFBgAAAAAE&#10;AAQA8wAAACQGAAAAAA==&#10;" filled="f" stroked="f">
              <v:path arrowok="t"/>
              <v:textbox>
                <w:txbxContent>
                  <w:p w14:paraId="61DFF9C4" w14:textId="77777777" w:rsidR="006B6649" w:rsidRDefault="006B6649"/>
                </w:txbxContent>
              </v:textbox>
            </v:shape>
          </w:pict>
        </mc:Fallback>
      </mc:AlternateContent>
    </w:r>
  </w:p>
</w:ftr>
</file>

<file path=word/footer2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247B547" w14:textId="706C9BB6" w:rsidR="006B6649" w:rsidRPr="004F1EBF" w:rsidRDefault="006B6649" w:rsidP="00D83BA8">
    <w:pPr>
      <w:pStyle w:val="Footer"/>
      <w:framePr w:wrap="around" w:vAnchor="text" w:hAnchor="page" w:x="10791" w:yAlign="top"/>
      <w:spacing w:after="360"/>
      <w:rPr>
        <w:rStyle w:val="PageNumber"/>
        <w:color w:val="0F673B"/>
        <w:szCs w:val="20"/>
      </w:rPr>
    </w:pPr>
    <w:r>
      <w:rPr>
        <w:rStyle w:val="PageNumber"/>
        <w:color w:val="0F673B"/>
        <w:szCs w:val="20"/>
      </w:rPr>
      <w:t>F</w:t>
    </w:r>
    <w:r w:rsidRPr="004F1EBF">
      <w:rPr>
        <w:rStyle w:val="PageNumber"/>
        <w:color w:val="0F673B"/>
        <w:szCs w:val="20"/>
      </w:rPr>
      <w:t>-</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247720">
      <w:rPr>
        <w:rStyle w:val="PageNumber"/>
        <w:noProof/>
        <w:color w:val="0F673B"/>
        <w:szCs w:val="20"/>
      </w:rPr>
      <w:t>3</w:t>
    </w:r>
    <w:r w:rsidRPr="004F1EBF">
      <w:rPr>
        <w:rStyle w:val="PageNumber"/>
        <w:color w:val="0F673B"/>
        <w:szCs w:val="20"/>
      </w:rPr>
      <w:fldChar w:fldCharType="end"/>
    </w:r>
  </w:p>
  <w:p w14:paraId="640213B2" w14:textId="77777777" w:rsidR="006B6649" w:rsidRDefault="006B6649" w:rsidP="00D83BA8">
    <w:pPr>
      <w:pStyle w:val="Footer"/>
      <w:ind w:right="360"/>
    </w:pPr>
    <w:r>
      <w:rPr>
        <w:noProof/>
        <w:lang w:bidi="ar-SA"/>
      </w:rPr>
      <w:drawing>
        <wp:anchor distT="0" distB="0" distL="114300" distR="114300" simplePos="0" relativeHeight="251732992" behindDoc="0" locked="0" layoutInCell="1" allowOverlap="1" wp14:anchorId="3EBA88A1" wp14:editId="151850B9">
          <wp:simplePos x="0" y="0"/>
          <wp:positionH relativeFrom="column">
            <wp:posOffset>-298450</wp:posOffset>
          </wp:positionH>
          <wp:positionV relativeFrom="paragraph">
            <wp:posOffset>-142240</wp:posOffset>
          </wp:positionV>
          <wp:extent cx="1194435" cy="383540"/>
          <wp:effectExtent l="0" t="0" r="5715"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731968" behindDoc="0" locked="0" layoutInCell="1" allowOverlap="1" wp14:anchorId="60DD8094" wp14:editId="2C9A9086">
              <wp:simplePos x="0" y="0"/>
              <wp:positionH relativeFrom="column">
                <wp:posOffset>-311785</wp:posOffset>
              </wp:positionH>
              <wp:positionV relativeFrom="paragraph">
                <wp:posOffset>-292100</wp:posOffset>
              </wp:positionV>
              <wp:extent cx="2069465" cy="53848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49611A1" w14:textId="77777777" w:rsidR="006B6649" w:rsidRDefault="006B66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0DD8094" id="_x0000_t202" coordsize="21600,21600" o:spt="202" path="m,l,21600r21600,l21600,xe">
              <v:stroke joinstyle="miter"/>
              <v:path gradientshapeok="t" o:connecttype="rect"/>
            </v:shapetype>
            <v:shape id="Text Box 57" o:spid="_x0000_s1051" type="#_x0000_t202" style="position:absolute;margin-left:-24.55pt;margin-top:-23pt;width:162.95pt;height:42.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Mq4vQIAAMYFAAAOAAAAZHJzL2Uyb0RvYy54bWysVEtv2zAMvg/YfxB0T21nTpoYdQo3RYYB&#10;wVqsHXpWZKkxaouapCTOhv33UbLzWLdLh11sifr4/EheXbdNTbbC2ApUTpOLmBKhOJSVes7p18fF&#10;YEKJdUyVrAYlcroXll7P3r+72ulMDGENdSkMQSPKZjud07VzOosiy9eiYfYCtFD4KME0zOHVPEel&#10;YTu03tTRMI7H0Q5MqQ1wYS1Kb7tHOgv2pRTc3UlphSN1TjE2F74mfFf+G82uWPZsmF5XvA+D/UMU&#10;DasUOj2aumWOkY2p/jDVVNyABekuODQRSFlxEXLAbJL4VTYPa6ZFyAWLY/WxTPb/meWft/eGVGVO&#10;R5eUKNYgR4+ideQGWoIirM9O2wxhDxqBrkU58hxytXoJ/MUiJDrDdAoW0b4erTSN/2OmBBWRgv2x&#10;7N4NR+EwHk/T8YgSjm+jD5N0EniJTtraWPdRQEP8IacGaQ0RsO3SOu+fZQeId6ZgUdV1oLZWvwkQ&#10;2ElE6I1Om2UYCR490scUePsxH10Oi8vRdDAuRskgTeLJoCji4eB2UcRFnC7m0/Tmp68P2jzohzp0&#10;qfuKWLevhbdaqy9CYpVDBbwg9LeY14ZsGXYm41wol/TWAtqjJGbxFsUeH/II+b1FuasIagTPoNxR&#10;uakUmI5xP5ansMuXQ8iyw/ed0OftS+DaVRvaKwmcetEKyj22koFuGK3miwppXTLr7pnB6cMmwY3i&#10;7vAja9jlFPoTJWsw3/8m93gcCnylZIfTnFP7bcOMoKT+pHBcpkma+vEPlxSZxYs5f1mdv6hNMwek&#10;JcHdpXk4eryrD0dpoHnCxVN4r/jEFEffOXWH49x1OwYXFxdFEUA48Jq5pXrQ/DBBvmkf2ydmdN/Z&#10;DjvpMxzmnmWvGrzDeoIUFBsHsgrdf6pqTwAui9CX/WLz2+j8HlCn9Tv7BQAA//8DAFBLAwQUAAYA&#10;CAAAACEASUqwud8AAAAKAQAADwAAAGRycy9kb3ducmV2LnhtbEyPQU7DMBBF90jcwZpK7FqnBYWQ&#10;xqkQUgVCbBp6ADc2SZR4bMV2Ejg90xXsZjRPf94vDosZ2KRH31kUsN0kwDTWVnXYCDh/HtcZMB8k&#10;KjlY1AK+tYdDeXtTyFzZGU96qkLDKAR9LgW0Ibicc1+32ki/sU4j3b7saGSgdWy4GuVM4WbguyRJ&#10;uZEd0odWOv3S6rqvohFwjK9vZvrh0b1X9Yyt6+P5oxfibrU874EFvYQ/GK76pA4lOV1sROXZIGD9&#10;8LQl9DqkVIqI3WNKZS4C7rMMeFnw/xXKXwAAAP//AwBQSwECLQAUAAYACAAAACEAtoM4kv4AAADh&#10;AQAAEwAAAAAAAAAAAAAAAAAAAAAAW0NvbnRlbnRfVHlwZXNdLnhtbFBLAQItABQABgAIAAAAIQA4&#10;/SH/1gAAAJQBAAALAAAAAAAAAAAAAAAAAC8BAABfcmVscy8ucmVsc1BLAQItABQABgAIAAAAIQDd&#10;lMq4vQIAAMYFAAAOAAAAAAAAAAAAAAAAAC4CAABkcnMvZTJvRG9jLnhtbFBLAQItABQABgAIAAAA&#10;IQBJSrC53wAAAAoBAAAPAAAAAAAAAAAAAAAAABcFAABkcnMvZG93bnJldi54bWxQSwUGAAAAAAQA&#10;BADzAAAAIwYAAAAA&#10;" filled="f" stroked="f">
              <v:path arrowok="t"/>
              <v:textbox>
                <w:txbxContent>
                  <w:p w14:paraId="149611A1" w14:textId="77777777" w:rsidR="006B6649" w:rsidRDefault="006B6649"/>
                </w:txbxContent>
              </v:textbox>
            </v:shape>
          </w:pict>
        </mc:Fallback>
      </mc:AlternateContent>
    </w:r>
  </w:p>
</w:ftr>
</file>

<file path=word/footer2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671FF73" w14:textId="7FCCE72F" w:rsidR="006B6649" w:rsidRPr="004F1EBF" w:rsidRDefault="006B6649" w:rsidP="00764131">
    <w:pPr>
      <w:pStyle w:val="Footer"/>
      <w:framePr w:wrap="around" w:vAnchor="text" w:hAnchor="page" w:x="10861" w:y="-80"/>
      <w:spacing w:after="360"/>
      <w:rPr>
        <w:rStyle w:val="PageNumber"/>
        <w:color w:val="0F673B"/>
        <w:szCs w:val="20"/>
      </w:rPr>
    </w:pPr>
    <w:r>
      <w:rPr>
        <w:rStyle w:val="PageNumber"/>
        <w:color w:val="0F673B"/>
        <w:szCs w:val="20"/>
      </w:rPr>
      <w:t>F</w:t>
    </w:r>
    <w:r w:rsidRPr="004F1EBF">
      <w:rPr>
        <w:rStyle w:val="PageNumber"/>
        <w:color w:val="0F673B"/>
        <w:szCs w:val="20"/>
      </w:rPr>
      <w:t>-</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247720">
      <w:rPr>
        <w:rStyle w:val="PageNumber"/>
        <w:noProof/>
        <w:color w:val="0F673B"/>
        <w:szCs w:val="20"/>
      </w:rPr>
      <w:t>1</w:t>
    </w:r>
    <w:r w:rsidRPr="004F1EBF">
      <w:rPr>
        <w:rStyle w:val="PageNumber"/>
        <w:color w:val="0F673B"/>
        <w:szCs w:val="20"/>
      </w:rPr>
      <w:fldChar w:fldCharType="end"/>
    </w:r>
  </w:p>
  <w:p w14:paraId="1E61C73B" w14:textId="77777777" w:rsidR="006B6649" w:rsidRDefault="006B6649">
    <w:pPr>
      <w:pStyle w:val="Footer"/>
      <w:jc w:val="right"/>
    </w:pPr>
    <w:r w:rsidRPr="00DB159E">
      <w:rPr>
        <w:i/>
        <w:noProof/>
        <w:lang w:bidi="ar-SA"/>
      </w:rPr>
      <w:drawing>
        <wp:anchor distT="0" distB="0" distL="114300" distR="114300" simplePos="0" relativeHeight="251729920" behindDoc="0" locked="0" layoutInCell="1" allowOverlap="1" wp14:anchorId="295FCF9C" wp14:editId="5BAC5E39">
          <wp:simplePos x="0" y="0"/>
          <wp:positionH relativeFrom="column">
            <wp:posOffset>-215265</wp:posOffset>
          </wp:positionH>
          <wp:positionV relativeFrom="paragraph">
            <wp:posOffset>-235585</wp:posOffset>
          </wp:positionV>
          <wp:extent cx="1194435" cy="383540"/>
          <wp:effectExtent l="0" t="0" r="5715"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p w14:paraId="2824DDDA" w14:textId="77777777" w:rsidR="006B6649" w:rsidRPr="00DB159E" w:rsidRDefault="006B6649" w:rsidP="00D83BA8">
    <w:pPr>
      <w:pStyle w:val="Footer"/>
      <w:tabs>
        <w:tab w:val="clear" w:pos="4680"/>
        <w:tab w:val="clear" w:pos="9360"/>
        <w:tab w:val="right" w:pos="8928"/>
      </w:tabs>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C50D8E7" w14:textId="77777777" w:rsidR="009027EC" w:rsidRDefault="009027EC">
    <w:pPr>
      <w:pStyle w:val="Footer"/>
      <w:jc w:val="right"/>
    </w:pPr>
  </w:p>
  <w:p w14:paraId="449E1525" w14:textId="05B4DFBC" w:rsidR="009027EC" w:rsidRPr="00012A1E" w:rsidRDefault="009027EC" w:rsidP="001D0CF7">
    <w:pPr>
      <w:pStyle w:val="Footer"/>
      <w:framePr w:wrap="around" w:vAnchor="text" w:hAnchor="page" w:x="10861"/>
      <w:spacing w:after="360"/>
      <w:rPr>
        <w:rStyle w:val="PageNumber"/>
        <w:color w:val="0F673B" w:themeColor="background2"/>
        <w:szCs w:val="20"/>
      </w:rPr>
    </w:pPr>
    <w:r w:rsidRPr="00012A1E">
      <w:rPr>
        <w:rStyle w:val="PageNumber"/>
        <w:color w:val="0F673B" w:themeColor="background2"/>
        <w:szCs w:val="20"/>
      </w:rPr>
      <w:fldChar w:fldCharType="begin"/>
    </w:r>
    <w:r w:rsidRPr="00012A1E">
      <w:rPr>
        <w:rStyle w:val="PageNumber"/>
        <w:color w:val="0F673B" w:themeColor="background2"/>
        <w:szCs w:val="20"/>
      </w:rPr>
      <w:instrText xml:space="preserve">PAGE  </w:instrText>
    </w:r>
    <w:r w:rsidRPr="00012A1E">
      <w:rPr>
        <w:rStyle w:val="PageNumber"/>
        <w:color w:val="0F673B" w:themeColor="background2"/>
        <w:szCs w:val="20"/>
      </w:rPr>
      <w:fldChar w:fldCharType="separate"/>
    </w:r>
    <w:r w:rsidR="00247720">
      <w:rPr>
        <w:rStyle w:val="PageNumber"/>
        <w:noProof/>
        <w:color w:val="0F673B" w:themeColor="background2"/>
        <w:szCs w:val="20"/>
      </w:rPr>
      <w:t>I</w:t>
    </w:r>
    <w:r w:rsidRPr="00012A1E">
      <w:rPr>
        <w:rStyle w:val="PageNumber"/>
        <w:color w:val="0F673B" w:themeColor="background2"/>
        <w:szCs w:val="20"/>
      </w:rPr>
      <w:fldChar w:fldCharType="end"/>
    </w:r>
  </w:p>
  <w:p w14:paraId="7F9E16C3" w14:textId="77777777" w:rsidR="009027EC" w:rsidRDefault="009027EC" w:rsidP="007C3F25">
    <w:pPr>
      <w:pStyle w:val="Footer"/>
      <w:ind w:left="-360"/>
    </w:pPr>
    <w:r>
      <w:rPr>
        <w:noProof/>
        <w:lang w:bidi="ar-SA"/>
      </w:rPr>
      <w:drawing>
        <wp:inline distT="0" distB="0" distL="0" distR="0" wp14:anchorId="13C4C9B8" wp14:editId="677D1412">
          <wp:extent cx="1194435" cy="38409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5582" cy="384464"/>
                  </a:xfrm>
                  <a:prstGeom prst="rect">
                    <a:avLst/>
                  </a:prstGeom>
                </pic:spPr>
              </pic:pic>
            </a:graphicData>
          </a:graphic>
        </wp:inline>
      </w:drawing>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3CD64A1" w14:textId="0B67C252" w:rsidR="00A278F2" w:rsidRPr="00ED291A" w:rsidRDefault="00A278F2" w:rsidP="004B2692">
    <w:pPr>
      <w:pStyle w:val="Footer"/>
      <w:framePr w:wrap="around" w:vAnchor="text" w:hAnchor="page" w:x="10871" w:y="-345"/>
      <w:spacing w:after="360"/>
      <w:rPr>
        <w:rStyle w:val="PageNumber"/>
        <w:color w:val="D5D149" w:themeColor="accent3" w:themeShade="BF"/>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247720">
      <w:rPr>
        <w:rStyle w:val="PageNumber"/>
        <w:noProof/>
        <w:color w:val="0F673B"/>
        <w:szCs w:val="20"/>
      </w:rPr>
      <w:t>II</w:t>
    </w:r>
    <w:r w:rsidRPr="004F1EBF">
      <w:rPr>
        <w:rStyle w:val="PageNumber"/>
        <w:color w:val="0F673B"/>
        <w:szCs w:val="20"/>
      </w:rPr>
      <w:fldChar w:fldCharType="end"/>
    </w:r>
  </w:p>
  <w:p w14:paraId="799A1DC5" w14:textId="77777777" w:rsidR="00A278F2" w:rsidRDefault="00A278F2" w:rsidP="00D40AE1">
    <w:pPr>
      <w:pStyle w:val="Footer"/>
      <w:ind w:right="360"/>
      <w:jc w:val="right"/>
    </w:pPr>
    <w:r>
      <w:rPr>
        <w:noProof/>
        <w:lang w:bidi="ar-SA"/>
      </w:rPr>
      <w:drawing>
        <wp:anchor distT="0" distB="0" distL="114300" distR="114300" simplePos="0" relativeHeight="251736064" behindDoc="0" locked="0" layoutInCell="1" allowOverlap="1" wp14:anchorId="287511FE" wp14:editId="2E4007D4">
          <wp:simplePos x="0" y="0"/>
          <wp:positionH relativeFrom="column">
            <wp:posOffset>-259715</wp:posOffset>
          </wp:positionH>
          <wp:positionV relativeFrom="paragraph">
            <wp:posOffset>-384810</wp:posOffset>
          </wp:positionV>
          <wp:extent cx="1194435" cy="383540"/>
          <wp:effectExtent l="0" t="0" r="5715" b="0"/>
          <wp:wrapTopAndBottom/>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735040" behindDoc="0" locked="0" layoutInCell="1" allowOverlap="1" wp14:anchorId="69791F96" wp14:editId="66BDB9F2">
              <wp:simplePos x="0" y="0"/>
              <wp:positionH relativeFrom="column">
                <wp:posOffset>-311785</wp:posOffset>
              </wp:positionH>
              <wp:positionV relativeFrom="paragraph">
                <wp:posOffset>-292100</wp:posOffset>
              </wp:positionV>
              <wp:extent cx="2069465" cy="53848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D7D00A2" w14:textId="77777777" w:rsidR="00A278F2" w:rsidRDefault="00A278F2"/>
                        <w:p w14:paraId="4F8E1FCA" w14:textId="77777777" w:rsidR="00A278F2" w:rsidRDefault="00A278F2"/>
                        <w:p w14:paraId="1A667987" w14:textId="77777777" w:rsidR="00A278F2" w:rsidRDefault="00A278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9791F96" id="_x0000_t202" coordsize="21600,21600" o:spt="202" path="m,l,21600r21600,l21600,xe">
              <v:stroke joinstyle="miter"/>
              <v:path gradientshapeok="t" o:connecttype="rect"/>
            </v:shapetype>
            <v:shape id="Text Box 60" o:spid="_x0000_s1042" type="#_x0000_t202" style="position:absolute;left:0;text-align:left;margin-left:-24.55pt;margin-top:-23pt;width:162.95pt;height:42.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phuwIAAMUFAAAOAAAAZHJzL2Uyb0RvYy54bWysVFtv2jAUfp+0/2D5nSawwCBqqFIqpkmo&#10;rdZOfTaOXaImPp5tIGzaf9+xkwDr9tJpL4l9/J3bdy6XV01dkZ0wtgSV0eFFTIlQHIpSPWf06+Ny&#10;MKXEOqYKVoESGT0IS6/m799d7nUqRrCBqhCGoBFl073O6MY5nUaR5RtRM3sBWih8lGBq5vBqnqPC&#10;sD1ar6toFMeTaA+m0Aa4sBalN+0jnQf7Ugru7qS0wpEqoxibC18Tvmv/jeaXLH02TG9K3oXB/iGK&#10;mpUKnR5N3TDHyNaUf5iqS27AgnQXHOoIpCy5CDlgNsP4VTYPG6ZFyAXJsfpIk/1/Zvnt7t6Qssjo&#10;BOlRrMYaPYrGkWtoCIqQn722KcIeNAJdg3Ksc8jV6hXwF4uQ6AzTKlhEez4aaWr/x0wJKqKPw5F2&#10;74ajcBRPZslkTAnHt/GHaTINfqOTtjbWfRJQE3/IqMGyhgjYbmWd98/SHuKdKViWVRVKW6nfBAhs&#10;JSL0RqvNUowEjx7pYwp1+7EYfxzlH8ezwSQfDwfJMJ4O8jweDW6WeZzHyXIxS65/en7QZq8feGhT&#10;94xYd6iEt1qpL0Iiy4EBLwj9LRaVITuGnck4F8oNO2sB7VESs3iLYocPeYT83qLcMoIawTMod1Su&#10;SwWmrbgfy1PYxUsfsmzxXSd0eXsKXLNuQnsFpJesoThgJxloZ9Fqviyxqitm3T0zOHzYI7hQ3B1+&#10;ZAX7jEJ3omQD5vvf5B6PM4GvlOxxmDNqv22ZEZRUnxVOy2yYJH76wyXBwuLFnL+sz1/Utl4AVmWI&#10;q0vzcPR4V/VHaaB+wr2Te6/4xBRH3xl1/XHh2hWDe4uLPA8gnHfN3Eo9aN4PkO/Zx+aJGd01tsNG&#10;uoV+7Fn6qr9brK+PgnzrQJah+U+sdvzjrght2e01v4zO7wF12r7zXwAAAP//AwBQSwMEFAAGAAgA&#10;AAAhAElKsLnfAAAACgEAAA8AAABkcnMvZG93bnJldi54bWxMj0FOwzAQRfdI3MGaSuxapwWFkMap&#10;EFIFQmwaegA3NkmUeGzFdhI4PdMV7GY0T3/eLw6LGdikR99ZFLDdJMA01lZ12Ag4fx7XGTAfJCo5&#10;WNQCvrWHQ3l7U8hc2RlPeqpCwygEfS4FtCG4nHNft9pIv7FOI92+7GhkoHVsuBrlTOFm4LskSbmR&#10;HdKHVjr90uq6r6IRcIyvb2b64dG9V/WMrevj+aMX4m61PO+BBb2EPxiu+qQOJTldbETl2SBg/fC0&#10;JfQ6pFSKiN1jSmUuAu6zDHhZ8P8Vyl8AAAD//wMAUEsBAi0AFAAGAAgAAAAhALaDOJL+AAAA4QEA&#10;ABMAAAAAAAAAAAAAAAAAAAAAAFtDb250ZW50X1R5cGVzXS54bWxQSwECLQAUAAYACAAAACEAOP0h&#10;/9YAAACUAQAACwAAAAAAAAAAAAAAAAAvAQAAX3JlbHMvLnJlbHNQSwECLQAUAAYACAAAACEAnGvq&#10;YbsCAADFBQAADgAAAAAAAAAAAAAAAAAuAgAAZHJzL2Uyb0RvYy54bWxQSwECLQAUAAYACAAAACEA&#10;SUqwud8AAAAKAQAADwAAAAAAAAAAAAAAAAAVBQAAZHJzL2Rvd25yZXYueG1sUEsFBgAAAAAEAAQA&#10;8wAAACEGAAAAAA==&#10;" filled="f" stroked="f">
              <v:path arrowok="t"/>
              <v:textbox>
                <w:txbxContent>
                  <w:p w14:paraId="4D7D00A2" w14:textId="77777777" w:rsidR="00A278F2" w:rsidRDefault="00A278F2"/>
                  <w:p w14:paraId="4F8E1FCA" w14:textId="77777777" w:rsidR="00A278F2" w:rsidRDefault="00A278F2"/>
                  <w:p w14:paraId="1A667987" w14:textId="77777777" w:rsidR="00A278F2" w:rsidRDefault="00A278F2"/>
                </w:txbxContent>
              </v:textbox>
            </v:shape>
          </w:pict>
        </mc:Fallback>
      </mc:AlternateConten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CD3E954" w14:textId="7DBACF79" w:rsidR="009027EC" w:rsidRPr="00ED291A" w:rsidRDefault="009027EC" w:rsidP="004B2692">
    <w:pPr>
      <w:pStyle w:val="Footer"/>
      <w:framePr w:wrap="around" w:vAnchor="text" w:hAnchor="page" w:x="10871" w:y="-345"/>
      <w:spacing w:after="360"/>
      <w:rPr>
        <w:rStyle w:val="PageNumber"/>
        <w:color w:val="D5D149" w:themeColor="accent3" w:themeShade="BF"/>
        <w:szCs w:val="20"/>
      </w:rPr>
    </w:pPr>
  </w:p>
  <w:p w14:paraId="08AAF2BE" w14:textId="77777777" w:rsidR="009027EC" w:rsidRDefault="009027EC" w:rsidP="00D40AE1">
    <w:pPr>
      <w:pStyle w:val="Footer"/>
      <w:ind w:right="360"/>
      <w:jc w:val="right"/>
    </w:pPr>
    <w:r>
      <w:rPr>
        <w:noProof/>
        <w:lang w:bidi="ar-SA"/>
      </w:rPr>
      <w:drawing>
        <wp:anchor distT="0" distB="0" distL="114300" distR="114300" simplePos="0" relativeHeight="251709440" behindDoc="0" locked="0" layoutInCell="1" allowOverlap="1" wp14:anchorId="212F117B" wp14:editId="25BE66D7">
          <wp:simplePos x="0" y="0"/>
          <wp:positionH relativeFrom="column">
            <wp:posOffset>-259715</wp:posOffset>
          </wp:positionH>
          <wp:positionV relativeFrom="paragraph">
            <wp:posOffset>-384810</wp:posOffset>
          </wp:positionV>
          <wp:extent cx="1194435" cy="383540"/>
          <wp:effectExtent l="0" t="0" r="5715"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708416" behindDoc="0" locked="0" layoutInCell="1" allowOverlap="1" wp14:anchorId="147C00B4" wp14:editId="7433AE83">
              <wp:simplePos x="0" y="0"/>
              <wp:positionH relativeFrom="column">
                <wp:posOffset>-311785</wp:posOffset>
              </wp:positionH>
              <wp:positionV relativeFrom="paragraph">
                <wp:posOffset>-292100</wp:posOffset>
              </wp:positionV>
              <wp:extent cx="2069465" cy="53848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E303E64" w14:textId="77777777" w:rsidR="009027EC" w:rsidRDefault="009027EC"/>
                        <w:p w14:paraId="5BD653A0" w14:textId="77777777" w:rsidR="009027EC" w:rsidRDefault="009027EC"/>
                        <w:p w14:paraId="4852FE09" w14:textId="77777777" w:rsidR="009027EC" w:rsidRDefault="009027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147C00B4" id="_x0000_t202" coordsize="21600,21600" o:spt="202" path="m,l,21600r21600,l21600,xe">
              <v:stroke joinstyle="miter"/>
              <v:path gradientshapeok="t" o:connecttype="rect"/>
            </v:shapetype>
            <v:shape id="Text Box 26" o:spid="_x0000_s1043" type="#_x0000_t202" style="position:absolute;left:0;text-align:left;margin-left:-24.55pt;margin-top:-23pt;width:162.95pt;height:42.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pFhvQIAAMUFAAAOAAAAZHJzL2Uyb0RvYy54bWysVFtv2jAUfp+0/2D5nSawQCFqqFIqpkmo&#10;rdZOfTaOXaImPp5tIKzaf9+xk1DW7aXTXhL7+Du371wuLpu6IjthbAkqo8OzmBKhOBSlesrot4fl&#10;YEqJdUwVrAIlMnoQll7OP3642OtUjGADVSEMQSPKpnud0Y1zOo0iyzeiZvYMtFD4KMHUzOHVPEWF&#10;YXu0XlfRKI4n0R5MoQ1wYS1Kr9tHOg/2pRTc3UpphSNVRjE2F74mfNf+G80vWPpkmN6UvAuD/UMU&#10;NSsVOj2aumaOka0p/zBVl9yABenOONQRSFlyEXLAbIbxm2zuN0yLkAuSY/WRJvv/zPKb3Z0hZZHR&#10;0YQSxWqs0YNoHLmChqAI+dlrmyLsXiPQNSjHOodcrV4Bf7YIiU4wrYJFtOejkab2f8yUoCKW4HCk&#10;3bvhKBzFk1kyGVPC8W38aZpMQ12iV21trPssoCb+kFGDZQ0RsN3KOu+fpT3EO1OwLKsqlLZSvwkQ&#10;2EpE6I1Wm6UYCR490scU6vayGJ+P8vPxbDDJx8NBMoyngzyPR4PrZR7ncbJczJKrn54ftNnrBx7a&#10;1D0j1h0q4a1W6quQyHJgwAtCf4tFZciOYWcyzoVyw85aQHuUxCzeo9jhQx4hv/cot4ygRvAMyh2V&#10;61KBaSvux/I17OK5D1m2+K4Turw9Ba5ZN2179a20huKAnWSgnUWr+bLEqq6YdXfM4PBhj+BCcbf4&#10;kRXsMwrdiZINmB9/k3s8zgS+UrLHYc6o/b5lRlBSfVE4LbNhkvjpD5cEC4sXc/qyPn1R23oBWJUh&#10;ri7Nw9HjXdUfpYH6EfdO7r3iE1McfWfU9ceFa1cM7i0u8jyAcN41cyt1r3k/QL5nH5pHZnTX2A4b&#10;6Qb6sWfpm/5usb4+CvKtA1mG5vc8t6x2/OOuCG3Z7TW/jE7vAfW6fee/AAAA//8DAFBLAwQUAAYA&#10;CAAAACEASUqwud8AAAAKAQAADwAAAGRycy9kb3ducmV2LnhtbEyPQU7DMBBF90jcwZpK7FqnBYWQ&#10;xqkQUgVCbBp6ADc2SZR4bMV2Ejg90xXsZjRPf94vDosZ2KRH31kUsN0kwDTWVnXYCDh/HtcZMB8k&#10;KjlY1AK+tYdDeXtTyFzZGU96qkLDKAR9LgW0Ibicc1+32ki/sU4j3b7saGSgdWy4GuVM4WbguyRJ&#10;uZEd0odWOv3S6rqvohFwjK9vZvrh0b1X9Yyt6+P5oxfibrU874EFvYQ/GK76pA4lOV1sROXZIGD9&#10;8LQl9DqkVIqI3WNKZS4C7rMMeFnw/xXKXwAAAP//AwBQSwECLQAUAAYACAAAACEAtoM4kv4AAADh&#10;AQAAEwAAAAAAAAAAAAAAAAAAAAAAW0NvbnRlbnRfVHlwZXNdLnhtbFBLAQItABQABgAIAAAAIQA4&#10;/SH/1gAAAJQBAAALAAAAAAAAAAAAAAAAAC8BAABfcmVscy8ucmVsc1BLAQItABQABgAIAAAAIQDh&#10;6pFhvQIAAMUFAAAOAAAAAAAAAAAAAAAAAC4CAABkcnMvZTJvRG9jLnhtbFBLAQItABQABgAIAAAA&#10;IQBJSrC53wAAAAoBAAAPAAAAAAAAAAAAAAAAABcFAABkcnMvZG93bnJldi54bWxQSwUGAAAAAAQA&#10;BADzAAAAIwYAAAAA&#10;" filled="f" stroked="f">
              <v:path arrowok="t"/>
              <v:textbox>
                <w:txbxContent>
                  <w:p w14:paraId="3E303E64" w14:textId="77777777" w:rsidR="009027EC" w:rsidRDefault="009027EC"/>
                  <w:p w14:paraId="5BD653A0" w14:textId="77777777" w:rsidR="009027EC" w:rsidRDefault="009027EC"/>
                  <w:p w14:paraId="4852FE09" w14:textId="77777777" w:rsidR="009027EC" w:rsidRDefault="009027EC"/>
                </w:txbxContent>
              </v:textbox>
            </v:shape>
          </w:pict>
        </mc:Fallback>
      </mc:AlternateConten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F544AE0" w14:textId="77777777" w:rsidR="009027EC" w:rsidRDefault="009027EC">
    <w:pPr>
      <w:pStyle w:val="Footer"/>
      <w:jc w:val="right"/>
    </w:pPr>
  </w:p>
  <w:p w14:paraId="0FC977A0" w14:textId="1705F4A8" w:rsidR="009027EC" w:rsidRPr="00012A1E" w:rsidRDefault="009027EC" w:rsidP="001D0CF7">
    <w:pPr>
      <w:pStyle w:val="Footer"/>
      <w:framePr w:wrap="around" w:vAnchor="text" w:hAnchor="page" w:x="10861"/>
      <w:spacing w:after="360"/>
      <w:rPr>
        <w:rStyle w:val="PageNumber"/>
        <w:color w:val="0F673B" w:themeColor="background2"/>
        <w:szCs w:val="20"/>
      </w:rPr>
    </w:pPr>
  </w:p>
  <w:p w14:paraId="3EFEFF87" w14:textId="77777777" w:rsidR="009027EC" w:rsidRDefault="009027EC" w:rsidP="007C3F25">
    <w:pPr>
      <w:pStyle w:val="Footer"/>
      <w:ind w:left="-360"/>
    </w:pPr>
    <w:r>
      <w:rPr>
        <w:noProof/>
        <w:lang w:bidi="ar-SA"/>
      </w:rPr>
      <w:drawing>
        <wp:inline distT="0" distB="0" distL="0" distR="0" wp14:anchorId="579DC60B" wp14:editId="5AC37254">
          <wp:extent cx="1194435" cy="3840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5582" cy="384464"/>
                  </a:xfrm>
                  <a:prstGeom prst="rect">
                    <a:avLst/>
                  </a:prstGeom>
                </pic:spPr>
              </pic:pic>
            </a:graphicData>
          </a:graphic>
        </wp:inline>
      </w:drawing>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8942BBC" w14:textId="3559695A" w:rsidR="00833F6C" w:rsidRPr="00ED291A" w:rsidRDefault="00833F6C" w:rsidP="004B2692">
    <w:pPr>
      <w:pStyle w:val="Footer"/>
      <w:framePr w:wrap="around" w:vAnchor="text" w:hAnchor="page" w:x="10871" w:y="-345"/>
      <w:spacing w:after="360"/>
      <w:rPr>
        <w:rStyle w:val="PageNumber"/>
        <w:color w:val="D5D149" w:themeColor="accent3" w:themeShade="BF"/>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247720">
      <w:rPr>
        <w:rStyle w:val="PageNumber"/>
        <w:noProof/>
        <w:color w:val="0F673B"/>
        <w:szCs w:val="20"/>
      </w:rPr>
      <w:t>XIV</w:t>
    </w:r>
    <w:r w:rsidRPr="004F1EBF">
      <w:rPr>
        <w:rStyle w:val="PageNumber"/>
        <w:color w:val="0F673B"/>
        <w:szCs w:val="20"/>
      </w:rPr>
      <w:fldChar w:fldCharType="end"/>
    </w:r>
  </w:p>
  <w:p w14:paraId="475EAAAE" w14:textId="77777777" w:rsidR="00833F6C" w:rsidRDefault="00833F6C" w:rsidP="00D40AE1">
    <w:pPr>
      <w:pStyle w:val="Footer"/>
      <w:ind w:right="360"/>
      <w:jc w:val="right"/>
    </w:pPr>
    <w:r>
      <w:rPr>
        <w:noProof/>
        <w:lang w:bidi="ar-SA"/>
      </w:rPr>
      <w:drawing>
        <wp:anchor distT="0" distB="0" distL="114300" distR="114300" simplePos="0" relativeHeight="251739136" behindDoc="0" locked="0" layoutInCell="1" allowOverlap="1" wp14:anchorId="61687693" wp14:editId="7F99E17B">
          <wp:simplePos x="0" y="0"/>
          <wp:positionH relativeFrom="column">
            <wp:posOffset>-259715</wp:posOffset>
          </wp:positionH>
          <wp:positionV relativeFrom="paragraph">
            <wp:posOffset>-384810</wp:posOffset>
          </wp:positionV>
          <wp:extent cx="1194435" cy="383540"/>
          <wp:effectExtent l="0" t="0" r="5715" b="0"/>
          <wp:wrapTopAndBottom/>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738112" behindDoc="0" locked="0" layoutInCell="1" allowOverlap="1" wp14:anchorId="4D6C2418" wp14:editId="48B182A9">
              <wp:simplePos x="0" y="0"/>
              <wp:positionH relativeFrom="column">
                <wp:posOffset>-311785</wp:posOffset>
              </wp:positionH>
              <wp:positionV relativeFrom="paragraph">
                <wp:posOffset>-292100</wp:posOffset>
              </wp:positionV>
              <wp:extent cx="2069465" cy="53848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F47554B" w14:textId="77777777" w:rsidR="00833F6C" w:rsidRDefault="00833F6C"/>
                        <w:p w14:paraId="4E9FFAEF" w14:textId="77777777" w:rsidR="00833F6C" w:rsidRDefault="00833F6C"/>
                        <w:p w14:paraId="6A6A70BF" w14:textId="77777777" w:rsidR="00833F6C" w:rsidRDefault="00833F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4D6C2418" id="_x0000_t202" coordsize="21600,21600" o:spt="202" path="m,l,21600r21600,l21600,xe">
              <v:stroke joinstyle="miter"/>
              <v:path gradientshapeok="t" o:connecttype="rect"/>
            </v:shapetype>
            <v:shape id="Text Box 22" o:spid="_x0000_s1044" type="#_x0000_t202" style="position:absolute;left:0;text-align:left;margin-left:-24.55pt;margin-top:-23pt;width:162.95pt;height:42.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08xvgIAAMUFAAAOAAAAZHJzL2Uyb0RvYy54bWysVFtv2jAUfp+0/2D5nSbQQCFqqFIqpkmo&#10;rdZOfTaOXaImPp5tIGzaf9+xk1DW7aXTXhL7+Du371wur5q6IjthbAkqo8OzmBKhOBSles7o18fl&#10;YEqJdUwVrAIlMnoQll7NP3643OtUjGADVSEMQSPKpnud0Y1zOo0iyzeiZvYMtFD4KMHUzOHVPEeF&#10;YXu0XlfRKI4n0R5MoQ1wYS1Kb9pHOg/2pRTc3UlphSNVRjE2F74mfNf+G80vWfpsmN6UvAuD/UMU&#10;NSsVOj2aumGOka0p/zBVl9yABenOONQRSFlyEXLAbIbxm2weNkyLkAuSY/WRJvv/zPLb3b0hZZHR&#10;0YgSxWqs0aNoHLmGhqAI+dlrmyLsQSPQNSjHOodcrV4Bf7EIiU4wrYJFtOejkab2f8yUoCKW4HCk&#10;3bvhKBzFk1kyGVPC8W18Pk2moS7Rq7Y21n0SUBN/yKjBsoYI2G5lnffP0h7inSlYllUVSlup3wQI&#10;bCUi9EarzVKMBI8e6WMKdfuxGF+M8ovxbDDJx8NBMoyngzyPR4ObZR7ncbJczJLrn54ftNnrBx7a&#10;1D0j1h0q4a1W6ouQyHJgwAtCf4tFZciOYWcyzoVyw85aQHuUxCzeo9jhQx4hv/cot4ygRvAMyh2V&#10;61KBaSvux/I17OKlD1m2+K4Turw9Ba5ZN6G9zvtWWkNxwE4y0M6i1XxZYlVXzLp7ZnD4sEdwobg7&#10;/MgK9hmF7kTJBsz3v8k9HmcCXynZ4zBn1H7bMiMoqT4rnJbZMEn89IdLgoXFizl9WZ++qG29AKzK&#10;EFeX5uHo8a7qj9JA/YR7J/de8Ykpjr4z6vrjwrUrBvcWF3keQDjvmrmVetC8HyDfs4/NEzO6a2yH&#10;jXQL/diz9E1/t1hfHwX51oEsQ/N7nltWO/5xV4S27PaaX0an94B63b7zXwAAAP//AwBQSwMEFAAG&#10;AAgAAAAhAElKsLnfAAAACgEAAA8AAABkcnMvZG93bnJldi54bWxMj0FOwzAQRfdI3MGaSuxapwWF&#10;kMapEFIFQmwaegA3NkmUeGzFdhI4PdMV7GY0T3/eLw6LGdikR99ZFLDdJMA01lZ12Ag4fx7XGTAf&#10;JCo5WNQCvrWHQ3l7U8hc2RlPeqpCwygEfS4FtCG4nHNft9pIv7FOI92+7GhkoHVsuBrlTOFm4Lsk&#10;SbmRHdKHVjr90uq6r6IRcIyvb2b64dG9V/WMrevj+aMX4m61PO+BBb2EPxiu+qQOJTldbETl2SBg&#10;/fC0JfQ6pFSKiN1jSmUuAu6zDHhZ8P8Vyl8AAAD//wMAUEsBAi0AFAAGAAgAAAAhALaDOJL+AAAA&#10;4QEAABMAAAAAAAAAAAAAAAAAAAAAAFtDb250ZW50X1R5cGVzXS54bWxQSwECLQAUAAYACAAAACEA&#10;OP0h/9YAAACUAQAACwAAAAAAAAAAAAAAAAAvAQAAX3JlbHMvLnJlbHNQSwECLQAUAAYACAAAACEA&#10;A29PMb4CAADFBQAADgAAAAAAAAAAAAAAAAAuAgAAZHJzL2Uyb0RvYy54bWxQSwECLQAUAAYACAAA&#10;ACEASUqwud8AAAAKAQAADwAAAAAAAAAAAAAAAAAYBQAAZHJzL2Rvd25yZXYueG1sUEsFBgAAAAAE&#10;AAQA8wAAACQGAAAAAA==&#10;" filled="f" stroked="f">
              <v:path arrowok="t"/>
              <v:textbox>
                <w:txbxContent>
                  <w:p w14:paraId="5F47554B" w14:textId="77777777" w:rsidR="00833F6C" w:rsidRDefault="00833F6C"/>
                  <w:p w14:paraId="4E9FFAEF" w14:textId="77777777" w:rsidR="00833F6C" w:rsidRDefault="00833F6C"/>
                  <w:p w14:paraId="6A6A70BF" w14:textId="77777777" w:rsidR="00833F6C" w:rsidRDefault="00833F6C"/>
                </w:txbxContent>
              </v:textbox>
            </v:shape>
          </w:pict>
        </mc:Fallback>
      </mc:AlternateConten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D4BB6DF" w14:textId="05121E1A" w:rsidR="009027EC" w:rsidRPr="004F1EBF" w:rsidRDefault="009027EC" w:rsidP="004B2692">
    <w:pPr>
      <w:pStyle w:val="Footer"/>
      <w:framePr w:wrap="around" w:vAnchor="text" w:hAnchor="page" w:x="10871" w:y="-345"/>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247720">
      <w:rPr>
        <w:rStyle w:val="PageNumber"/>
        <w:noProof/>
        <w:color w:val="0F673B"/>
        <w:szCs w:val="20"/>
      </w:rPr>
      <w:t>17</w:t>
    </w:r>
    <w:r w:rsidRPr="004F1EBF">
      <w:rPr>
        <w:rStyle w:val="PageNumber"/>
        <w:color w:val="0F673B"/>
        <w:szCs w:val="20"/>
      </w:rPr>
      <w:fldChar w:fldCharType="end"/>
    </w:r>
  </w:p>
  <w:p w14:paraId="3CB377AE" w14:textId="77777777" w:rsidR="009027EC" w:rsidRDefault="009027EC" w:rsidP="00D40AE1">
    <w:pPr>
      <w:pStyle w:val="Footer"/>
      <w:ind w:right="360"/>
      <w:jc w:val="right"/>
    </w:pPr>
    <w:r>
      <w:rPr>
        <w:noProof/>
        <w:lang w:bidi="ar-SA"/>
      </w:rPr>
      <w:drawing>
        <wp:anchor distT="0" distB="0" distL="114300" distR="114300" simplePos="0" relativeHeight="251706368" behindDoc="1" locked="0" layoutInCell="1" allowOverlap="1" wp14:anchorId="4C0332EA" wp14:editId="31C519A5">
          <wp:simplePos x="0" y="0"/>
          <wp:positionH relativeFrom="column">
            <wp:posOffset>-220980</wp:posOffset>
          </wp:positionH>
          <wp:positionV relativeFrom="paragraph">
            <wp:posOffset>-397510</wp:posOffset>
          </wp:positionV>
          <wp:extent cx="1194435" cy="383540"/>
          <wp:effectExtent l="0" t="0" r="5715" b="0"/>
          <wp:wrapTight wrapText="bothSides">
            <wp:wrapPolygon edited="0">
              <wp:start x="1722" y="0"/>
              <wp:lineTo x="0" y="13947"/>
              <wp:lineTo x="0" y="16093"/>
              <wp:lineTo x="5167" y="20384"/>
              <wp:lineTo x="17914" y="20384"/>
              <wp:lineTo x="21359" y="16093"/>
              <wp:lineTo x="21359" y="6437"/>
              <wp:lineTo x="18947" y="0"/>
              <wp:lineTo x="1722"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705344" behindDoc="0" locked="0" layoutInCell="1" allowOverlap="1" wp14:anchorId="71759239" wp14:editId="46779941">
              <wp:simplePos x="0" y="0"/>
              <wp:positionH relativeFrom="column">
                <wp:posOffset>-267335</wp:posOffset>
              </wp:positionH>
              <wp:positionV relativeFrom="paragraph">
                <wp:posOffset>-292100</wp:posOffset>
              </wp:positionV>
              <wp:extent cx="2069465" cy="53848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F523284" w14:textId="77777777" w:rsidR="009027EC" w:rsidRDefault="009027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71759239" id="_x0000_t202" coordsize="21600,21600" o:spt="202" path="m,l,21600r21600,l21600,xe">
              <v:stroke joinstyle="miter"/>
              <v:path gradientshapeok="t" o:connecttype="rect"/>
            </v:shapetype>
            <v:shape id="Text Box 25" o:spid="_x0000_s1044" type="#_x0000_t202" style="position:absolute;left:0;text-align:left;margin-left:-21.05pt;margin-top:-23pt;width:162.95pt;height:4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ZMvQIAAMUFAAAOAAAAZHJzL2Uyb0RvYy54bWysVFtv2jAUfp+0/2D5nSbQQCFqqFIqpkmo&#10;rdZOfTaOXaImPp5tIGzaf9+xk1DW7aXTXhL7+Du371wur5q6IjthbAkqo8OzmBKhOBSles7o18fl&#10;YEqJdUwVrAIlMnoQll7NP3643OtUjGADVSEMQSPKpnud0Y1zOo0iyzeiZvYMtFD4KMHUzOHVPEeF&#10;YXu0XlfRKI4n0R5MoQ1wYS1Kb9pHOg/2pRTc3UlphSNVRjE2F74mfNf+G80vWfpsmN6UvAuD/UMU&#10;NSsVOj2aumGOka0p/zBVl9yABenOONQRSFlyEXLAbIbxm2weNkyLkAuSY/WRJvv/zPLb3b0hZZHR&#10;0ZgSxWqs0aNoHLmGhqAI+dlrmyLsQSPQNSjHOodcrV4Bf7EIiU4wrYJFtOejkab2f8yUoCKW4HCk&#10;3bvhKBzFk1kyQfcc38bn02Qa6hK9amtj3ScBNfGHjBosa4iA7VbWef8s7SHemYJlWVWhtJX6TYDA&#10;ViJCb7TaLMVI8OiRPqZQtx+L8cUovxjPBpN8PBwkw3g6yPN4NLhZ5nEeJ8vFLLn+6flBm71+4KFN&#10;3TNi3aES3mqlvgiJLAcGvCD0t1hUhuwYdibjXCg37KwFtEdJzOI9ih0+5BHye49yywhqBM+g3FG5&#10;LhWYtuJ+LF/DLl76kGWL7zqhy9tT4Jp1E9rrvG+lNRQH7CQD7SxazZclVnXFrLtnBocPewQXirvD&#10;j6xgn1HoTpRswHz/m9zjcSbwlZI9DnNG7bctM4KS6rPCaZkNk8RPf7gkWFi8mNOX9emL2tYLwKoM&#10;cXVpHo4e76r+KA3UT7h3cu8Vn5ji6Dujrj8uXLticG9xkecBhPOumVupB837AfI9+9g8MaO7xnbY&#10;SLfQjz1L3/R3i/X1UZBvHcgyNL/nuWW14x93RWjLbq/5ZXR6D6jX7Tv/BQAA//8DAFBLAwQUAAYA&#10;CAAAACEAkPOcKt4AAAAKAQAADwAAAGRycy9kb3ducmV2LnhtbEyPwUrEMBCG74LvEEbwtptuV5ZS&#10;my4iLIp4se4DZJvYlDaT0CRt9emdPelthvn45/ur42pHNusp9A4F7LYZMI2tUz12As6fp00BLESJ&#10;So4OtYBvHeBY395UslRuwQ89N7FjFIKhlAJMjL7kPLRGWxm2zmuk25ebrIy0Th1Xk1wo3I48z7ID&#10;t7JH+mCk189Gt0OTrIBTenm18w9P/q1pFzR+SOf3QYj7u/XpEVjUa/yD4apP6lCT08UlVIGNAjYP&#10;+Y7Q63CgUkTkxZ7KXATsiwJ4XfH/FepfAAAA//8DAFBLAQItABQABgAIAAAAIQC2gziS/gAAAOEB&#10;AAATAAAAAAAAAAAAAAAAAAAAAABbQ29udGVudF9UeXBlc10ueG1sUEsBAi0AFAAGAAgAAAAhADj9&#10;If/WAAAAlAEAAAsAAAAAAAAAAAAAAAAALwEAAF9yZWxzLy5yZWxzUEsBAi0AFAAGAAgAAAAhAAdM&#10;Fky9AgAAxQUAAA4AAAAAAAAAAAAAAAAALgIAAGRycy9lMm9Eb2MueG1sUEsBAi0AFAAGAAgAAAAh&#10;AJDznCreAAAACgEAAA8AAAAAAAAAAAAAAAAAFwUAAGRycy9kb3ducmV2LnhtbFBLBQYAAAAABAAE&#10;APMAAAAiBgAAAAA=&#10;" filled="f" stroked="f">
              <v:path arrowok="t"/>
              <v:textbox>
                <w:txbxContent>
                  <w:p w14:paraId="1F523284" w14:textId="77777777" w:rsidR="009027EC" w:rsidRDefault="009027EC"/>
                </w:txbxContent>
              </v:textbox>
            </v:shape>
          </w:pict>
        </mc:Fallback>
      </mc:AlternateConten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3F16F0E" w14:textId="1BC800B6" w:rsidR="009027EC" w:rsidRPr="004F1EBF" w:rsidRDefault="009027EC" w:rsidP="004B2692">
    <w:pPr>
      <w:pStyle w:val="Footer"/>
      <w:framePr w:wrap="around" w:vAnchor="text" w:hAnchor="page" w:x="10871" w:y="-345"/>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247720">
      <w:rPr>
        <w:rStyle w:val="PageNumber"/>
        <w:noProof/>
        <w:color w:val="0F673B"/>
        <w:szCs w:val="20"/>
      </w:rPr>
      <w:t>32</w:t>
    </w:r>
    <w:r w:rsidRPr="004F1EBF">
      <w:rPr>
        <w:rStyle w:val="PageNumber"/>
        <w:color w:val="0F673B"/>
        <w:szCs w:val="20"/>
      </w:rPr>
      <w:fldChar w:fldCharType="end"/>
    </w:r>
  </w:p>
  <w:p w14:paraId="703E5415" w14:textId="77777777" w:rsidR="009027EC" w:rsidRDefault="009027EC" w:rsidP="00D40AE1">
    <w:pPr>
      <w:pStyle w:val="Footer"/>
      <w:ind w:right="360"/>
      <w:jc w:val="right"/>
    </w:pPr>
    <w:r>
      <w:rPr>
        <w:noProof/>
        <w:lang w:bidi="ar-SA"/>
      </w:rPr>
      <w:drawing>
        <wp:anchor distT="0" distB="0" distL="114300" distR="114300" simplePos="0" relativeHeight="251644928" behindDoc="0" locked="0" layoutInCell="1" allowOverlap="1" wp14:anchorId="40FD6D2C" wp14:editId="75871E6A">
          <wp:simplePos x="0" y="0"/>
          <wp:positionH relativeFrom="column">
            <wp:posOffset>-209550</wp:posOffset>
          </wp:positionH>
          <wp:positionV relativeFrom="paragraph">
            <wp:posOffset>-422910</wp:posOffset>
          </wp:positionV>
          <wp:extent cx="1194435" cy="383540"/>
          <wp:effectExtent l="0" t="0" r="5715"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39808" behindDoc="0" locked="0" layoutInCell="1" allowOverlap="1" wp14:anchorId="49813AC9" wp14:editId="5BA6C14A">
              <wp:simplePos x="0" y="0"/>
              <wp:positionH relativeFrom="column">
                <wp:posOffset>-311785</wp:posOffset>
              </wp:positionH>
              <wp:positionV relativeFrom="paragraph">
                <wp:posOffset>-292100</wp:posOffset>
              </wp:positionV>
              <wp:extent cx="2069465" cy="53848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C6C2BD1" w14:textId="77777777" w:rsidR="009027EC" w:rsidRDefault="009027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49813AC9" id="_x0000_t202" coordsize="21600,21600" o:spt="202" path="m,l,21600r21600,l21600,xe">
              <v:stroke joinstyle="miter"/>
              <v:path gradientshapeok="t" o:connecttype="rect"/>
            </v:shapetype>
            <v:shape id="Text Box 59" o:spid="_x0000_s1045" type="#_x0000_t202" style="position:absolute;left:0;text-align:left;margin-left:-24.55pt;margin-top:-23pt;width:162.95pt;height:42.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rlZvgIAAMUFAAAOAAAAZHJzL2Uyb0RvYy54bWysVFtv2jAUfp+0/2D5nSawQCFqqFIqpkmo&#10;rdZOfTaOXaImPp5tIKzaf9+xk1DW7aXTXhL7+Du371wuLpu6IjthbAkqo8OzmBKhOBSlesrot4fl&#10;YEqJdUwVrAIlMnoQll7OP3642OtUjGADVSEMQSPKpnud0Y1zOo0iyzeiZvYMtFD4KMHUzOHVPEWF&#10;YXu0XlfRKI4n0R5MoQ1wYS1Kr9tHOg/2pRTc3UpphSNVRjE2F74mfNf+G80vWPpkmN6UvAuD/UMU&#10;NSsVOj2aumaOka0p/zBVl9yABenOONQRSFlyEXLAbIbxm2zuN0yLkAuSY/WRJvv/zPKb3Z0hZZHR&#10;8YwSxWqs0YNoHLmChqAI+dlrmyLsXiPQNSjHOodcrV4Bf7YIiU4wrYJFtOejkab2f8yUoCKW4HCk&#10;3bvhKBzFk1kyGVPC8W38aZpMQ12iV21trPssoCb+kFGDZQ0RsN3KOu+fpT3EO1OwLKsqlLZSvwkQ&#10;2EpE6I1Wm6UYCR490scU6vayGJ+P8vPxbDDJx8NBMoyngzyPR4PrZR7ncbJczJKrn54ftNnrBx7a&#10;1D0j1h0q4a1W6quQyHJgwAtCf4tFZciOYWcyzoVyw85aQHuUxCzeo9jhQx4hv/cot4ygRvAMyh2V&#10;61KBaSvux/I17OK5D1m2+K4Turw9Ba5ZN6G9kr6V1lAcsJMMtLNoNV+WWNUVs+6OGRw+7BFcKO4W&#10;P7KCfUahO1GyAfPjb3KPx5nAV0r2OMwZtd+3zAhKqi8Kp2U2TBI//eGSYGHxYk5f1qcvalsvAKsy&#10;xNWleTh6vKv6ozRQP+Leyb1XfGKKo++Muv64cO2Kwb3FRZ4HEM67Zm6l7jXvB8j37EPzyIzuGtth&#10;I91AP/YsfdPfLdbXR0G+dSDL0Pye55bVjn/cFaEtu73ml9HpPaBet+/8FwAAAP//AwBQSwMEFAAG&#10;AAgAAAAhAElKsLnfAAAACgEAAA8AAABkcnMvZG93bnJldi54bWxMj0FOwzAQRfdI3MGaSuxapwWF&#10;kMapEFIFQmwaegA3NkmUeGzFdhI4PdMV7GY0T3/eLw6LGdikR99ZFLDdJMA01lZ12Ag4fx7XGTAf&#10;JCo5WNQCvrWHQ3l7U8hc2RlPeqpCwygEfS4FtCG4nHNft9pIv7FOI92+7GhkoHVsuBrlTOFm4Lsk&#10;SbmRHdKHVjr90uq6r6IRcIyvb2b64dG9V/WMrevj+aMX4m61PO+BBb2EPxiu+qQOJTldbETl2SBg&#10;/fC0JfQ6pFSKiN1jSmUuAu6zDHhZ8P8Vyl8AAAD//wMAUEsBAi0AFAAGAAgAAAAhALaDOJL+AAAA&#10;4QEAABMAAAAAAAAAAAAAAAAAAAAAAFtDb250ZW50X1R5cGVzXS54bWxQSwECLQAUAAYACAAAACEA&#10;OP0h/9YAAACUAQAACwAAAAAAAAAAAAAAAAAvAQAAX3JlbHMvLnJlbHNQSwECLQAUAAYACAAAACEA&#10;ZZq5Wb4CAADFBQAADgAAAAAAAAAAAAAAAAAuAgAAZHJzL2Uyb0RvYy54bWxQSwECLQAUAAYACAAA&#10;ACEASUqwud8AAAAKAQAADwAAAAAAAAAAAAAAAAAYBQAAZHJzL2Rvd25yZXYueG1sUEsFBgAAAAAE&#10;AAQA8wAAACQGAAAAAA==&#10;" filled="f" stroked="f">
              <v:path arrowok="t"/>
              <v:textbox>
                <w:txbxContent>
                  <w:p w14:paraId="6C6C2BD1" w14:textId="77777777" w:rsidR="009027EC" w:rsidRDefault="009027EC"/>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81DFD0" w14:textId="77777777" w:rsidR="00796FE4" w:rsidRDefault="00796FE4" w:rsidP="000D6470">
      <w:r>
        <w:separator/>
      </w:r>
    </w:p>
  </w:footnote>
  <w:footnote w:type="continuationSeparator" w:id="0">
    <w:p w14:paraId="109E1BA5" w14:textId="77777777" w:rsidR="00796FE4" w:rsidRDefault="00796FE4" w:rsidP="000D6470">
      <w:r>
        <w:continuationSeparator/>
      </w:r>
    </w:p>
  </w:footnote>
  <w:footnote w:id="1">
    <w:p w14:paraId="3E4CEC18" w14:textId="59BEC28F" w:rsidR="009027EC" w:rsidRDefault="009027EC">
      <w:pPr>
        <w:pStyle w:val="FootnoteText"/>
      </w:pPr>
      <w:r>
        <w:rPr>
          <w:rStyle w:val="FootnoteReference"/>
        </w:rPr>
        <w:footnoteRef/>
      </w:r>
      <w:r>
        <w:t xml:space="preserve"> A technically feasible upgrade, for the purposes of this study, is an upgrade that can possibly be installed in a house given its configuration and existing characteristics. For instance, vaulted ceiling insulation upgrades were only applied to homes where vaulted ceilings are present.</w:t>
      </w:r>
    </w:p>
  </w:footnote>
  <w:footnote w:id="2">
    <w:p w14:paraId="68447E65" w14:textId="77777777" w:rsidR="009027EC" w:rsidRDefault="009027EC" w:rsidP="00CF4190">
      <w:pPr>
        <w:pStyle w:val="FootnoteText"/>
      </w:pPr>
      <w:r>
        <w:rPr>
          <w:rStyle w:val="FootnoteReference"/>
        </w:rPr>
        <w:footnoteRef/>
      </w:r>
      <w:r>
        <w:t xml:space="preserve"> Many of the measures considered for the potential study are not currently incentivized by the Companies and as a result they cannot be screened for cost-effectiveness using the Utility Cost Test.  For this reason, the Total Resource Cost test was used to determine whether or not measures were cost-effective.</w:t>
      </w:r>
    </w:p>
  </w:footnote>
  <w:footnote w:id="3">
    <w:p w14:paraId="79C301D1" w14:textId="3BE397FF" w:rsidR="009027EC" w:rsidRDefault="009027EC">
      <w:pPr>
        <w:pStyle w:val="FootnoteText"/>
      </w:pPr>
      <w:r>
        <w:rPr>
          <w:rStyle w:val="FootnoteReference"/>
        </w:rPr>
        <w:footnoteRef/>
      </w:r>
      <w:r>
        <w:t xml:space="preserve"> The in-progress R113 Ductless Heat Pump Evaluation will provide additional information on this technology.  </w:t>
      </w:r>
    </w:p>
  </w:footnote>
  <w:footnote w:id="4">
    <w:p w14:paraId="06FCA6BE" w14:textId="77777777" w:rsidR="009027EC" w:rsidRDefault="009027EC" w:rsidP="00055C47">
      <w:pPr>
        <w:pStyle w:val="FootnoteText"/>
      </w:pPr>
      <w:r>
        <w:rPr>
          <w:rStyle w:val="FootnoteReference"/>
        </w:rPr>
        <w:footnoteRef/>
      </w:r>
      <w:r>
        <w:t xml:space="preserve"> That is to say, the mean TRC ratio among all the site models to which the measure was applied was greater than 1.0. Not all sites had ratios greater than 1.0 for these measures.</w:t>
      </w:r>
    </w:p>
  </w:footnote>
  <w:footnote w:id="5">
    <w:p w14:paraId="1556A44A" w14:textId="259BDF4A" w:rsidR="009027EC" w:rsidRPr="00181DB3" w:rsidRDefault="009027EC">
      <w:pPr>
        <w:pStyle w:val="FootnoteText"/>
      </w:pPr>
      <w:r>
        <w:rPr>
          <w:rStyle w:val="FootnoteReference"/>
        </w:rPr>
        <w:footnoteRef/>
      </w:r>
      <w:r>
        <w:t xml:space="preserve"> Note that the popularity of the attic and wall insulation incentives in HES coupled with low free ridership rates provide additional justification for this recommendation. NMR Group, Inc. Forthcoming. </w:t>
      </w:r>
      <w:r>
        <w:rPr>
          <w:i/>
        </w:rPr>
        <w:t>HES and HES-IE Process Evaluation (R4)</w:t>
      </w:r>
      <w:r>
        <w:t xml:space="preserve">. To be delivered for public review in January 2016. </w:t>
      </w:r>
    </w:p>
  </w:footnote>
  <w:footnote w:id="6">
    <w:p w14:paraId="10195663" w14:textId="77777777" w:rsidR="009027EC" w:rsidRDefault="009027EC" w:rsidP="00921C8C">
      <w:pPr>
        <w:pStyle w:val="FootnoteText"/>
      </w:pPr>
      <w:r>
        <w:rPr>
          <w:rStyle w:val="FootnoteReference"/>
        </w:rPr>
        <w:footnoteRef/>
      </w:r>
      <w:r>
        <w:t xml:space="preserve"> NMR Group, Inc. “Single-Family Weatherization Baseline Assessment (R5), Final Report” Submitted to </w:t>
      </w:r>
      <w:r w:rsidRPr="009B321A">
        <w:rPr>
          <w:i/>
        </w:rPr>
        <w:t>The Connecticut Energy Efficiency Fund, Connecticut Light and Power, and The United Illuminating Company</w:t>
      </w:r>
      <w:r>
        <w:rPr>
          <w:i/>
        </w:rPr>
        <w:t xml:space="preserve">, </w:t>
      </w:r>
      <w:r>
        <w:t>June 3</w:t>
      </w:r>
      <w:r w:rsidRPr="00725935">
        <w:rPr>
          <w:vertAlign w:val="superscript"/>
        </w:rPr>
        <w:t>rd</w:t>
      </w:r>
      <w:r>
        <w:t>, 2014.</w:t>
      </w:r>
    </w:p>
  </w:footnote>
  <w:footnote w:id="7">
    <w:p w14:paraId="3713BFF3" w14:textId="77777777" w:rsidR="009027EC" w:rsidRDefault="009027EC" w:rsidP="00921C8C">
      <w:pPr>
        <w:pStyle w:val="FootnoteText"/>
      </w:pPr>
      <w:r>
        <w:rPr>
          <w:rStyle w:val="FootnoteReference"/>
        </w:rPr>
        <w:footnoteRef/>
      </w:r>
      <w:r>
        <w:t xml:space="preserve"> For example, a home with an oil boiler that is upgraded to a higher efficiency oil boiler in the core potential study may have the same boiler replaced by a high efficiency gas boiler in the fuel switching analysis; the savings from these two measure upgrades are duplicative.</w:t>
      </w:r>
    </w:p>
  </w:footnote>
  <w:footnote w:id="8">
    <w:p w14:paraId="28269874" w14:textId="77777777" w:rsidR="009027EC" w:rsidRDefault="009027EC" w:rsidP="00506409">
      <w:pPr>
        <w:pStyle w:val="FootnoteText"/>
      </w:pPr>
      <w:r>
        <w:rPr>
          <w:rStyle w:val="FootnoteReference"/>
        </w:rPr>
        <w:footnoteRef/>
      </w:r>
      <w:r>
        <w:t xml:space="preserve"> A technically feasible upgrade, for the purposes of this study, is an upgrade that can possibly be installed in a house given its configuration and existing characteristics. For instance, vaulted ceiling insulation upgrades were only applied to homes where vaulted ceilings are present.</w:t>
      </w:r>
    </w:p>
  </w:footnote>
  <w:footnote w:id="9">
    <w:p w14:paraId="6BB3607F" w14:textId="77777777" w:rsidR="009027EC" w:rsidRDefault="009027EC" w:rsidP="00506409">
      <w:pPr>
        <w:pStyle w:val="FootnoteText"/>
      </w:pPr>
      <w:r>
        <w:rPr>
          <w:rStyle w:val="FootnoteReference"/>
        </w:rPr>
        <w:footnoteRef/>
      </w:r>
      <w:r>
        <w:t xml:space="preserve"> Many of the measures considered for the potential study are not currently incentivized by the Companies and as a result they cannot be screened for cost-effectiveness using the Utility Cost Test.  For this reason, the Total Resource Cost test was used to determine whether or not measures were cost-effective.</w:t>
      </w:r>
    </w:p>
  </w:footnote>
  <w:footnote w:id="10">
    <w:p w14:paraId="1466A376" w14:textId="77777777" w:rsidR="009027EC" w:rsidRDefault="009027EC" w:rsidP="00142EBB">
      <w:pPr>
        <w:pStyle w:val="FootnoteText"/>
      </w:pPr>
      <w:r>
        <w:rPr>
          <w:rStyle w:val="FootnoteReference"/>
        </w:rPr>
        <w:footnoteRef/>
      </w:r>
      <w:r>
        <w:t xml:space="preserve"> REM/Rate is a residential energy analysis software that is commonly used to model the performance of residential buildings—the software is most notably used by the ENERGY STAR® Homes program.</w:t>
      </w:r>
    </w:p>
  </w:footnote>
  <w:footnote w:id="11">
    <w:p w14:paraId="3484780E" w14:textId="77777777" w:rsidR="009027EC" w:rsidRDefault="009027EC" w:rsidP="00921C8C">
      <w:pPr>
        <w:pStyle w:val="FootnoteText"/>
      </w:pPr>
      <w:r>
        <w:rPr>
          <w:rStyle w:val="FootnoteReference"/>
        </w:rPr>
        <w:footnoteRef/>
      </w:r>
      <w:r>
        <w:t xml:space="preserve"> Of the 180 homes audited for this study, 111 were primarily heated by fuel oil. </w:t>
      </w:r>
    </w:p>
  </w:footnote>
  <w:footnote w:id="12">
    <w:p w14:paraId="42C1C6B5" w14:textId="0B63661A" w:rsidR="009027EC" w:rsidRDefault="009027EC" w:rsidP="00921C8C">
      <w:pPr>
        <w:pStyle w:val="FootnoteText"/>
      </w:pPr>
      <w:r>
        <w:rPr>
          <w:rStyle w:val="FootnoteReference"/>
        </w:rPr>
        <w:footnoteRef/>
      </w:r>
      <w:r>
        <w:t xml:space="preserve"> </w:t>
      </w:r>
      <w:r>
        <w:rPr>
          <w:lang w:bidi="ar-SA"/>
        </w:rPr>
        <w:t>REM/Rate does not include photovoltaics, one of the upgrades in the potential study, in estimates of demand savings. However, i</w:t>
      </w:r>
      <w:r>
        <w:t>t is unlikely that photovoltaics would influence winter peak demand savings as the winter peak in New England is from 5-7 PM during the months of December and January.</w:t>
      </w:r>
      <w:r>
        <w:rPr>
          <w:rStyle w:val="FootnoteReference"/>
        </w:rPr>
        <w:footnoteRef/>
      </w:r>
      <w:r>
        <w:rPr>
          <w:lang w:bidi="ar-SA"/>
        </w:rPr>
        <w:t xml:space="preserve"> It should also be noted that photovoltaics are not cost-effective at any of the 180 sites and as a result the exclusion of photovoltaics from demand estimates does not impact cost-effective or achievable demand savings estimates.</w:t>
      </w:r>
    </w:p>
  </w:footnote>
  <w:footnote w:id="13">
    <w:p w14:paraId="1C1C7671" w14:textId="77777777" w:rsidR="009027EC" w:rsidRDefault="009027EC" w:rsidP="00921C8C">
      <w:pPr>
        <w:pStyle w:val="FootnoteText"/>
      </w:pPr>
      <w:r>
        <w:rPr>
          <w:rStyle w:val="FootnoteReference"/>
        </w:rPr>
        <w:footnoteRef/>
      </w:r>
      <w:r>
        <w:t xml:space="preserve"> This is based on annual growth projections (see </w:t>
      </w:r>
      <w:r>
        <w:fldChar w:fldCharType="begin"/>
      </w:r>
      <w:r>
        <w:instrText xml:space="preserve"> REF _Ref373236996 \n \h </w:instrText>
      </w:r>
      <w:r>
        <w:fldChar w:fldCharType="separate"/>
      </w:r>
      <w:r>
        <w:t>Appendix D</w:t>
      </w:r>
      <w:r>
        <w:fldChar w:fldCharType="end"/>
      </w:r>
      <w:r>
        <w:t>).</w:t>
      </w:r>
    </w:p>
  </w:footnote>
  <w:footnote w:id="14">
    <w:p w14:paraId="70922DAC" w14:textId="77777777" w:rsidR="00833F6C" w:rsidRDefault="00833F6C" w:rsidP="00833F6C">
      <w:pPr>
        <w:pStyle w:val="FootnoteText"/>
      </w:pPr>
      <w:r>
        <w:rPr>
          <w:rStyle w:val="FootnoteReference"/>
        </w:rPr>
        <w:footnoteRef/>
      </w:r>
      <w:r>
        <w:t xml:space="preserve"> The in-progress R113 Ductless Heat Pump Evaluation will provide additional information on this technology.  </w:t>
      </w:r>
    </w:p>
  </w:footnote>
  <w:footnote w:id="15">
    <w:p w14:paraId="32EF04B7" w14:textId="77777777" w:rsidR="00833F6C" w:rsidRDefault="00833F6C" w:rsidP="00833F6C">
      <w:pPr>
        <w:pStyle w:val="FootnoteText"/>
      </w:pPr>
      <w:r>
        <w:rPr>
          <w:rStyle w:val="FootnoteReference"/>
        </w:rPr>
        <w:footnoteRef/>
      </w:r>
      <w:r>
        <w:t xml:space="preserve"> That is to say, the mean TRC ratio among all the site models to which the measure was applied was greater than 1.0. Not all sites had ratios greater than 1.0 for these measures.</w:t>
      </w:r>
    </w:p>
  </w:footnote>
  <w:footnote w:id="16">
    <w:p w14:paraId="1694A33F" w14:textId="77777777" w:rsidR="00833F6C" w:rsidRPr="00181DB3" w:rsidRDefault="00833F6C" w:rsidP="00833F6C">
      <w:pPr>
        <w:pStyle w:val="FootnoteText"/>
      </w:pPr>
      <w:r>
        <w:rPr>
          <w:rStyle w:val="FootnoteReference"/>
        </w:rPr>
        <w:footnoteRef/>
      </w:r>
      <w:r>
        <w:t xml:space="preserve"> Note that the popularity of the attic and wall insulation incentives in HES coupled with low free ridership rates provide additional justification for this recommendation. NMR Group, Inc. Forthcoming. </w:t>
      </w:r>
      <w:r>
        <w:rPr>
          <w:i/>
        </w:rPr>
        <w:t>HES and HES-IE Process Evaluation (R4)</w:t>
      </w:r>
      <w:r>
        <w:t xml:space="preserve">. To be delivered for public review in January 2016. </w:t>
      </w:r>
    </w:p>
  </w:footnote>
  <w:footnote w:id="17">
    <w:p w14:paraId="745C0282" w14:textId="77777777" w:rsidR="009027EC" w:rsidRDefault="009027EC" w:rsidP="00960380">
      <w:pPr>
        <w:pStyle w:val="FootnoteText"/>
      </w:pPr>
      <w:r>
        <w:rPr>
          <w:rStyle w:val="FootnoteReference"/>
        </w:rPr>
        <w:footnoteRef/>
      </w:r>
      <w:r>
        <w:t xml:space="preserve"> NMR Group, Inc. “Single-Family Weatherization Baseline Assessment (R5), Final Report” Submitted to </w:t>
      </w:r>
      <w:r w:rsidRPr="009B321A">
        <w:rPr>
          <w:i/>
        </w:rPr>
        <w:t>The Connecticut Energy Efficiency Fund, Connecticut Light and Power, and The United Illuminating Company</w:t>
      </w:r>
      <w:r>
        <w:rPr>
          <w:i/>
        </w:rPr>
        <w:t xml:space="preserve">, </w:t>
      </w:r>
      <w:r>
        <w:t>June 3</w:t>
      </w:r>
      <w:r w:rsidRPr="00725935">
        <w:rPr>
          <w:vertAlign w:val="superscript"/>
        </w:rPr>
        <w:t>rd</w:t>
      </w:r>
      <w:r>
        <w:t>, 2014.</w:t>
      </w:r>
    </w:p>
  </w:footnote>
  <w:footnote w:id="18">
    <w:p w14:paraId="45DE6F8C" w14:textId="77777777" w:rsidR="009027EC" w:rsidRDefault="009027EC" w:rsidP="00E320CA">
      <w:pPr>
        <w:pStyle w:val="FootnoteText"/>
      </w:pPr>
      <w:r>
        <w:rPr>
          <w:rStyle w:val="FootnoteReference"/>
        </w:rPr>
        <w:footnoteRef/>
      </w:r>
      <w:r>
        <w:t xml:space="preserve"> For example, a home with an oil boiler that is upgraded to a higher efficiency oil boiler in the core potential study may have the same boiler replaced by a high efficiency gas boiler in the fuel switching analysis; the savings from these two measure upgrades are duplicative.</w:t>
      </w:r>
    </w:p>
  </w:footnote>
  <w:footnote w:id="19">
    <w:p w14:paraId="154EB443" w14:textId="77777777" w:rsidR="009027EC" w:rsidRDefault="009027EC" w:rsidP="00506409">
      <w:pPr>
        <w:pStyle w:val="FootnoteText"/>
      </w:pPr>
      <w:r>
        <w:rPr>
          <w:rStyle w:val="FootnoteReference"/>
        </w:rPr>
        <w:footnoteRef/>
      </w:r>
      <w:r>
        <w:t xml:space="preserve"> A technically feasible upgrade, for the purposes of this study, is an upgrade that can possibly be installed in a house given its configuration and existing characteristics. For instance, vaulted ceiling insulation upgrades were only applied to homes where vaulted ceilings are present.</w:t>
      </w:r>
    </w:p>
  </w:footnote>
  <w:footnote w:id="20">
    <w:p w14:paraId="076639A6" w14:textId="77777777" w:rsidR="009027EC" w:rsidRDefault="009027EC" w:rsidP="00506409">
      <w:pPr>
        <w:pStyle w:val="FootnoteText"/>
      </w:pPr>
      <w:r>
        <w:rPr>
          <w:rStyle w:val="FootnoteReference"/>
        </w:rPr>
        <w:footnoteRef/>
      </w:r>
      <w:r>
        <w:t xml:space="preserve"> Many of the measures considered for the potential study are not currently incentivized by the Companies and as a result they cannot be screened for cost-effectiveness using the Utility Cost Test.  For this reason, the Total Resource Cost test was used to determine whether or not measures were cost-effective.</w:t>
      </w:r>
    </w:p>
  </w:footnote>
  <w:footnote w:id="21">
    <w:p w14:paraId="2DCB1B14" w14:textId="77777777" w:rsidR="009027EC" w:rsidRDefault="009027EC" w:rsidP="004B753B">
      <w:pPr>
        <w:pStyle w:val="FootnoteText"/>
      </w:pPr>
      <w:r>
        <w:rPr>
          <w:rStyle w:val="FootnoteReference"/>
        </w:rPr>
        <w:footnoteRef/>
      </w:r>
      <w:r>
        <w:t xml:space="preserve"> REM/Rate is a residential energy analysis software that is commonly used to model the performance of residential buildings—the software is most notably used by the ENERGY STAR® Homes program.</w:t>
      </w:r>
    </w:p>
  </w:footnote>
  <w:footnote w:id="22">
    <w:p w14:paraId="71DDB925" w14:textId="77777777" w:rsidR="009027EC" w:rsidRDefault="009027EC" w:rsidP="00657AB9">
      <w:pPr>
        <w:pStyle w:val="FootnoteText"/>
      </w:pPr>
      <w:r>
        <w:rPr>
          <w:rStyle w:val="FootnoteReference"/>
        </w:rPr>
        <w:footnoteRef/>
      </w:r>
      <w:r>
        <w:t xml:space="preserve"> REM/Rate is a residential energy analysis software that is commonly used to model the performance of residential buildings—the software is most notably used by the ENERGY STAR</w:t>
      </w:r>
      <w:r w:rsidRPr="001C4B47">
        <w:rPr>
          <w:vertAlign w:val="superscript"/>
        </w:rPr>
        <w:t>®</w:t>
      </w:r>
      <w:r>
        <w:t xml:space="preserve"> Homes program.</w:t>
      </w:r>
    </w:p>
  </w:footnote>
  <w:footnote w:id="23">
    <w:p w14:paraId="2AD2BFBA" w14:textId="4542956C" w:rsidR="009027EC" w:rsidRDefault="009027EC" w:rsidP="00C153D7">
      <w:pPr>
        <w:pStyle w:val="FootnoteText"/>
      </w:pPr>
      <w:r>
        <w:rPr>
          <w:rStyle w:val="FootnoteReference"/>
        </w:rPr>
        <w:footnoteRef/>
      </w:r>
      <w:r>
        <w:t xml:space="preserve"> </w:t>
      </w:r>
      <w:r w:rsidRPr="00366299">
        <w:t>http://www.epa.gov/sites/production/files/2015-08/documents/potential_guide_0.pdf</w:t>
      </w:r>
    </w:p>
  </w:footnote>
  <w:footnote w:id="24">
    <w:p w14:paraId="72120C12" w14:textId="77777777" w:rsidR="009027EC" w:rsidRDefault="009027EC" w:rsidP="00C153D7">
      <w:pPr>
        <w:pStyle w:val="FootnoteText"/>
      </w:pPr>
      <w:r>
        <w:rPr>
          <w:rStyle w:val="FootnoteReference"/>
        </w:rPr>
        <w:footnoteRef/>
      </w:r>
      <w:r>
        <w:t xml:space="preserve"> Clothes washers, which are an input into the REM/Rate software, were also modeled outside of REM/Rate because the software’s model for clothes washers requires complete data on the machine from the Energy Guide label, which was not always available.</w:t>
      </w:r>
    </w:p>
  </w:footnote>
  <w:footnote w:id="25">
    <w:p w14:paraId="39661603" w14:textId="77777777" w:rsidR="009027EC" w:rsidRDefault="009027EC" w:rsidP="00C153D7">
      <w:pPr>
        <w:pStyle w:val="FootnoteText"/>
      </w:pPr>
      <w:r>
        <w:rPr>
          <w:rStyle w:val="FootnoteReference"/>
        </w:rPr>
        <w:footnoteRef/>
      </w:r>
      <w:r>
        <w:t xml:space="preserve"> </w:t>
      </w:r>
      <w:hyperlink r:id="rId1" w:history="1">
        <w:r w:rsidRPr="00F23285">
          <w:rPr>
            <w:color w:val="0000FF"/>
            <w:u w:val="single"/>
          </w:rPr>
          <w:t>http://www.ctenergyinfo.com/2013%20Program%20Savings%20Documentation%20-%20Final.pdf</w:t>
        </w:r>
      </w:hyperlink>
    </w:p>
  </w:footnote>
  <w:footnote w:id="26">
    <w:p w14:paraId="1C673427" w14:textId="77777777" w:rsidR="009027EC" w:rsidRDefault="009027EC" w:rsidP="00C153D7">
      <w:pPr>
        <w:pStyle w:val="FootnoteText"/>
      </w:pPr>
      <w:r>
        <w:rPr>
          <w:rStyle w:val="FootnoteReference"/>
        </w:rPr>
        <w:footnoteRef/>
      </w:r>
      <w:r>
        <w:t xml:space="preserve"> NMR believes this is appropriate for assessing technical potential given the versatility of the ductless mini-split technology. </w:t>
      </w:r>
    </w:p>
  </w:footnote>
  <w:footnote w:id="27">
    <w:p w14:paraId="3E488573" w14:textId="198DD3FC" w:rsidR="009027EC" w:rsidRDefault="009027EC" w:rsidP="00C153D7">
      <w:pPr>
        <w:pStyle w:val="FootnoteText"/>
      </w:pPr>
      <w:r>
        <w:rPr>
          <w:rStyle w:val="FootnoteReference"/>
        </w:rPr>
        <w:footnoteRef/>
      </w:r>
      <w:r>
        <w:t xml:space="preserve"> </w:t>
      </w:r>
      <w:r w:rsidRPr="00141401">
        <w:t>http://energizect.com/sites/default/files/2013_2015_CLM%20PLAN_11_01_12_FINAL.pdf</w:t>
      </w:r>
    </w:p>
  </w:footnote>
  <w:footnote w:id="28">
    <w:p w14:paraId="1646649C" w14:textId="6007E76F" w:rsidR="009027EC" w:rsidRDefault="009027EC" w:rsidP="00C153D7">
      <w:pPr>
        <w:pStyle w:val="FootnoteText"/>
      </w:pPr>
      <w:r>
        <w:rPr>
          <w:rStyle w:val="FootnoteReference"/>
        </w:rPr>
        <w:footnoteRef/>
      </w:r>
      <w:r>
        <w:t xml:space="preserve"> The analysis identified an incentive-to-program cost ratio of 0.67 using Connecticut’s 2013-2015 Electric and Natural Gas Conservation and Load Management Plan for residential programs. This factor, in conjunction with the incentive levels provided by the Companies, was used to calculate administrative costs for cost-effectiveness screening.</w:t>
      </w:r>
    </w:p>
  </w:footnote>
  <w:footnote w:id="29">
    <w:p w14:paraId="7FFCF061" w14:textId="77777777" w:rsidR="009027EC" w:rsidRDefault="009027EC" w:rsidP="003C732B">
      <w:pPr>
        <w:pStyle w:val="FootnoteText"/>
      </w:pPr>
      <w:r>
        <w:rPr>
          <w:rStyle w:val="FootnoteReference"/>
        </w:rPr>
        <w:footnoteRef/>
      </w:r>
      <w:r>
        <w:t xml:space="preserve"> </w:t>
      </w:r>
      <w:r>
        <w:rPr>
          <w:lang w:bidi="ar-SA"/>
        </w:rPr>
        <w:t>If the existing equipment is brand new, then the NMC is equal to the full cost. Conversely, if the existing equipment has reached the end of its effective useful life, then the NMC will be equal to the incremental cost between a federal minimum efficiency unit and a high efficiency upgrade unit.</w:t>
      </w:r>
    </w:p>
  </w:footnote>
  <w:footnote w:id="30">
    <w:p w14:paraId="7EE02AA9" w14:textId="77777777" w:rsidR="009027EC" w:rsidRDefault="009027EC" w:rsidP="00264A9E">
      <w:pPr>
        <w:pStyle w:val="FootnoteText"/>
      </w:pPr>
      <w:r>
        <w:rPr>
          <w:rStyle w:val="FootnoteReference"/>
        </w:rPr>
        <w:footnoteRef/>
      </w:r>
      <w:r>
        <w:t xml:space="preserve"> Brailove, Rachel, John Plunkett, and Jonathan Wallach. “Retrofit Economics 201: Correcting Common Errors in Demand-Side Management Cost-Benefit Analysis.” </w:t>
      </w:r>
      <w:r w:rsidRPr="00F52E2F">
        <w:rPr>
          <w:i/>
        </w:rPr>
        <w:t>IGT’s Eighth International Symposium on Energy Modeling</w:t>
      </w:r>
      <w:r>
        <w:t>. Atlanta, GA. 1995.</w:t>
      </w:r>
    </w:p>
  </w:footnote>
  <w:footnote w:id="31">
    <w:p w14:paraId="64E34B03" w14:textId="77777777" w:rsidR="009027EC" w:rsidRDefault="009027EC" w:rsidP="0075483F">
      <w:pPr>
        <w:pStyle w:val="FootnoteText"/>
      </w:pPr>
      <w:r>
        <w:rPr>
          <w:rStyle w:val="FootnoteReference"/>
        </w:rPr>
        <w:footnoteRef/>
      </w:r>
      <w:r>
        <w:t xml:space="preserve"> Information on future standards was derived partially from the Federal Register, but mostly from the Appliance Standards Awareness Project (ASAP): </w:t>
      </w:r>
      <w:hyperlink r:id="rId2" w:history="1">
        <w:r w:rsidRPr="00340D1F">
          <w:rPr>
            <w:rStyle w:val="Hyperlink"/>
          </w:rPr>
          <w:t>http://www.appliance-standards.org/national</w:t>
        </w:r>
      </w:hyperlink>
      <w:r>
        <w:t xml:space="preserve"> </w:t>
      </w:r>
    </w:p>
  </w:footnote>
  <w:footnote w:id="32">
    <w:p w14:paraId="7EC19E95" w14:textId="66623865" w:rsidR="009027EC" w:rsidRDefault="009027EC" w:rsidP="0075483F">
      <w:pPr>
        <w:pStyle w:val="FootnoteText"/>
      </w:pPr>
      <w:r>
        <w:rPr>
          <w:rStyle w:val="FootnoteReference"/>
        </w:rPr>
        <w:footnoteRef/>
      </w:r>
      <w:r>
        <w:t xml:space="preserve"> For measures where efficiency is measured as a quantity (e.g. refrigerator kWh/year) rather than a proportion (e.g. boiler AFUE), the ratio E/F is reversed to F/E.</w:t>
      </w:r>
    </w:p>
  </w:footnote>
  <w:footnote w:id="33">
    <w:p w14:paraId="6657A7C8" w14:textId="77777777" w:rsidR="009027EC" w:rsidRDefault="009027EC" w:rsidP="00C153D7">
      <w:pPr>
        <w:pStyle w:val="FootnoteText"/>
      </w:pPr>
      <w:r>
        <w:rPr>
          <w:rStyle w:val="FootnoteReference"/>
        </w:rPr>
        <w:footnoteRef/>
      </w:r>
      <w:r w:rsidRPr="00FA69FD">
        <w:t>http://neep.o</w:t>
      </w:r>
      <w:r>
        <w:t>rg/Assets/uploads/files/emv/emv-</w:t>
      </w:r>
      <w:r w:rsidRPr="00FA69FD">
        <w:t>products/Incremental%20Cost_study_FINAL_REPORT_2011Sep23.pdf</w:t>
      </w:r>
    </w:p>
  </w:footnote>
  <w:footnote w:id="34">
    <w:p w14:paraId="4BCC8A88" w14:textId="77777777" w:rsidR="009027EC" w:rsidRDefault="009027EC" w:rsidP="00C153D7">
      <w:pPr>
        <w:pStyle w:val="FootnoteText"/>
      </w:pPr>
      <w:r>
        <w:rPr>
          <w:rStyle w:val="FootnoteReference"/>
        </w:rPr>
        <w:footnoteRef/>
      </w:r>
      <w:r>
        <w:t xml:space="preserve"> </w:t>
      </w:r>
      <w:r w:rsidRPr="00A10930">
        <w:t>http://neep.org/Assets/uploads/files/emv/emv-products/NEEP%20ICS2%20FINAL%20REPORT%202013Feb11-Website.pdf</w:t>
      </w:r>
    </w:p>
  </w:footnote>
  <w:footnote w:id="35">
    <w:p w14:paraId="00EB6C4F" w14:textId="77777777" w:rsidR="009027EC" w:rsidRDefault="009027EC" w:rsidP="00C153D7">
      <w:pPr>
        <w:pStyle w:val="FootnoteText"/>
      </w:pPr>
      <w:r>
        <w:rPr>
          <w:rStyle w:val="FootnoteReference"/>
        </w:rPr>
        <w:footnoteRef/>
      </w:r>
      <w:r>
        <w:t xml:space="preserve"> </w:t>
      </w:r>
      <w:r w:rsidRPr="002677DF">
        <w:t>http://neep.org/emv/forum-products-guidelines/index#incrementalcost</w:t>
      </w:r>
    </w:p>
  </w:footnote>
  <w:footnote w:id="36">
    <w:p w14:paraId="62A6D190" w14:textId="77777777" w:rsidR="009027EC" w:rsidRDefault="009027EC" w:rsidP="00C153D7">
      <w:pPr>
        <w:pStyle w:val="FootnoteText"/>
      </w:pPr>
      <w:r>
        <w:rPr>
          <w:rStyle w:val="FootnoteReference"/>
        </w:rPr>
        <w:footnoteRef/>
      </w:r>
      <w:r w:rsidRPr="00255725">
        <w:t>http://www.ma-eeac.org/Docs/8.1_EMV%20Page/2013/Residential%20Program%20Studies/Residential%20New%20Construction%20Program%20Incremental%20Cost%20Final%20Report%206-11-13.pdf</w:t>
      </w:r>
      <w:r>
        <w:tab/>
      </w:r>
    </w:p>
  </w:footnote>
  <w:footnote w:id="37">
    <w:p w14:paraId="34C26A5D" w14:textId="77777777" w:rsidR="009027EC" w:rsidRDefault="009027EC" w:rsidP="00C153D7">
      <w:pPr>
        <w:pStyle w:val="FootnoteText"/>
      </w:pPr>
      <w:r>
        <w:rPr>
          <w:rStyle w:val="FootnoteReference"/>
        </w:rPr>
        <w:footnoteRef/>
      </w:r>
      <w:r w:rsidRPr="00255725">
        <w:t>http://www.energizect.com/sites/default/files/CT%20GSHP%20Impact%20Eval%20and%20Market%20Assessment%20%28R7%29%20-%20final%20report.pdf</w:t>
      </w:r>
    </w:p>
  </w:footnote>
  <w:footnote w:id="38">
    <w:p w14:paraId="21774A0E" w14:textId="77777777" w:rsidR="009027EC" w:rsidRDefault="009027EC" w:rsidP="00C153D7">
      <w:pPr>
        <w:pStyle w:val="FootnoteText"/>
      </w:pPr>
      <w:r>
        <w:rPr>
          <w:rStyle w:val="FootnoteReference"/>
        </w:rPr>
        <w:footnoteRef/>
      </w:r>
      <w:r>
        <w:t xml:space="preserve"> </w:t>
      </w:r>
      <w:r w:rsidRPr="001142ED">
        <w:t>http://www.deeresources.com/</w:t>
      </w:r>
    </w:p>
  </w:footnote>
  <w:footnote w:id="39">
    <w:p w14:paraId="2FED5DCC" w14:textId="6F495D28" w:rsidR="009027EC" w:rsidRDefault="009027EC" w:rsidP="00C153D7">
      <w:pPr>
        <w:pStyle w:val="FootnoteText"/>
      </w:pPr>
      <w:r>
        <w:rPr>
          <w:rStyle w:val="FootnoteReference"/>
        </w:rPr>
        <w:footnoteRef/>
      </w:r>
      <w:r>
        <w:t xml:space="preserve"> </w:t>
      </w:r>
      <w:r w:rsidRPr="00E408CC">
        <w:t>http://www.ct.gov/deep/lib/deep/energy/aescinnewengland2015.pdf</w:t>
      </w:r>
    </w:p>
  </w:footnote>
  <w:footnote w:id="40">
    <w:p w14:paraId="4C8B5578" w14:textId="77777777" w:rsidR="009027EC" w:rsidRDefault="009027EC" w:rsidP="00264A9E">
      <w:pPr>
        <w:pStyle w:val="FootnoteText"/>
      </w:pPr>
      <w:r>
        <w:rPr>
          <w:rStyle w:val="FootnoteReference"/>
        </w:rPr>
        <w:footnoteRef/>
      </w:r>
      <w:r>
        <w:t xml:space="preserve"> Connecticut Program Savings Document: 8</w:t>
      </w:r>
      <w:r w:rsidRPr="00F52E2F">
        <w:rPr>
          <w:vertAlign w:val="superscript"/>
        </w:rPr>
        <w:t>th</w:t>
      </w:r>
      <w:r>
        <w:t xml:space="preserve"> Edition for 2013 Program Year. February 21, 2013. Pages 264-266.</w:t>
      </w:r>
    </w:p>
  </w:footnote>
  <w:footnote w:id="41">
    <w:p w14:paraId="270BD226" w14:textId="1561E984" w:rsidR="009027EC" w:rsidRDefault="009027EC">
      <w:pPr>
        <w:pStyle w:val="FootnoteText"/>
      </w:pPr>
      <w:r>
        <w:rPr>
          <w:rStyle w:val="FootnoteReference"/>
        </w:rPr>
        <w:footnoteRef/>
      </w:r>
      <w:r>
        <w:t xml:space="preserve"> Electric Power Research Institute (EPRI). “Assessment of Achievable Potential from Energy Efficiency and Demand Response Programs in the U.S.” January 2009. Appendix F. Available at: </w:t>
      </w:r>
      <w:r w:rsidRPr="00A92C5D">
        <w:t>http://www.edisonfoundation.net/iei/Documents/EPRI_AssessmentAchievableEEPotential0109.pdf</w:t>
      </w:r>
    </w:p>
  </w:footnote>
  <w:footnote w:id="42">
    <w:p w14:paraId="66A82AEC" w14:textId="77777777" w:rsidR="009027EC" w:rsidRDefault="009027EC" w:rsidP="00C153D7">
      <w:pPr>
        <w:pStyle w:val="FootnoteText"/>
      </w:pPr>
      <w:r>
        <w:rPr>
          <w:rStyle w:val="FootnoteReference"/>
        </w:rPr>
        <w:footnoteRef/>
      </w:r>
      <w:r>
        <w:t xml:space="preserve"> </w:t>
      </w:r>
      <w:hyperlink r:id="rId3" w:history="1">
        <w:r w:rsidRPr="00F23285">
          <w:rPr>
            <w:color w:val="0000FF"/>
            <w:u w:val="single"/>
          </w:rPr>
          <w:t>http://www.ctenergyinfo.com/2013%20Program%20Savings%20Documentation%20-%20Final.pdf</w:t>
        </w:r>
      </w:hyperlink>
    </w:p>
  </w:footnote>
  <w:footnote w:id="43">
    <w:p w14:paraId="5C837CA5" w14:textId="77777777" w:rsidR="009027EC" w:rsidRDefault="009027EC" w:rsidP="00C153D7">
      <w:pPr>
        <w:pStyle w:val="FootnoteText"/>
      </w:pPr>
      <w:r>
        <w:rPr>
          <w:rStyle w:val="FootnoteReference"/>
        </w:rPr>
        <w:footnoteRef/>
      </w:r>
      <w:r>
        <w:t xml:space="preserve"> </w:t>
      </w:r>
      <w:hyperlink r:id="rId4" w:history="1">
        <w:r w:rsidRPr="009F3465">
          <w:rPr>
            <w:rStyle w:val="Hyperlink"/>
          </w:rPr>
          <w:t>https://app.box.com/s/o1f3bhbunib2av2wiblu</w:t>
        </w:r>
      </w:hyperlink>
      <w:r>
        <w:t xml:space="preserve"> </w:t>
      </w:r>
    </w:p>
  </w:footnote>
  <w:footnote w:id="44">
    <w:p w14:paraId="3B51A8C6" w14:textId="77777777" w:rsidR="009027EC" w:rsidRDefault="009027EC" w:rsidP="00C153D7">
      <w:pPr>
        <w:pStyle w:val="FootnoteText"/>
      </w:pPr>
      <w:r>
        <w:rPr>
          <w:rStyle w:val="FootnoteReference"/>
        </w:rPr>
        <w:footnoteRef/>
      </w:r>
      <w:r>
        <w:t xml:space="preserve"> </w:t>
      </w:r>
      <w:hyperlink r:id="rId5" w:history="1">
        <w:r>
          <w:rPr>
            <w:rStyle w:val="Hyperlink"/>
          </w:rPr>
          <w:t>http://www.nrel.gov/docs/fy09osti/44816.pdf</w:t>
        </w:r>
      </w:hyperlink>
    </w:p>
  </w:footnote>
  <w:footnote w:id="45">
    <w:p w14:paraId="46C47DCF" w14:textId="77777777" w:rsidR="009027EC" w:rsidRDefault="009027EC" w:rsidP="00C153D7">
      <w:pPr>
        <w:pStyle w:val="FootnoteText"/>
      </w:pPr>
      <w:r>
        <w:rPr>
          <w:rStyle w:val="FootnoteReference"/>
        </w:rPr>
        <w:footnoteRef/>
      </w:r>
      <w:r>
        <w:t xml:space="preserve"> </w:t>
      </w:r>
      <w:r w:rsidRPr="009E2807">
        <w:t>http://iso-ne.com/regulatory/tariff/sect_1/sect_i.pdf</w:t>
      </w:r>
    </w:p>
  </w:footnote>
  <w:footnote w:id="46">
    <w:p w14:paraId="7B1B4BC8" w14:textId="77777777" w:rsidR="009027EC" w:rsidRDefault="009027EC" w:rsidP="00C153D7">
      <w:pPr>
        <w:pStyle w:val="FootnoteText"/>
      </w:pPr>
      <w:r>
        <w:rPr>
          <w:rStyle w:val="FootnoteReference"/>
        </w:rPr>
        <w:footnoteRef/>
      </w:r>
      <w:r>
        <w:t xml:space="preserve"> Lisa Skumatz, email message to author, September 26</w:t>
      </w:r>
      <w:r w:rsidRPr="0010108D">
        <w:rPr>
          <w:vertAlign w:val="superscript"/>
        </w:rPr>
        <w:t>th</w:t>
      </w:r>
      <w:r>
        <w:t>, 2013.</w:t>
      </w:r>
    </w:p>
  </w:footnote>
  <w:footnote w:id="47">
    <w:p w14:paraId="613732D6" w14:textId="77777777" w:rsidR="009027EC" w:rsidRDefault="009027EC" w:rsidP="00C153D7">
      <w:pPr>
        <w:pStyle w:val="FootnoteText"/>
      </w:pPr>
      <w:r>
        <w:rPr>
          <w:rStyle w:val="FootnoteReference"/>
        </w:rPr>
        <w:footnoteRef/>
      </w:r>
      <w:r>
        <w:t xml:space="preserve"> NMR Group, Inc. “Technical Savings Potential for Single-Family Homes in Connecticut.” Submitted to the Connecticut Energy Efficiency Board (EEB), September 13</w:t>
      </w:r>
      <w:r w:rsidRPr="00652FDD">
        <w:rPr>
          <w:vertAlign w:val="superscript"/>
        </w:rPr>
        <w:t>th</w:t>
      </w:r>
      <w:r>
        <w:t>, 2013.</w:t>
      </w:r>
    </w:p>
  </w:footnote>
  <w:footnote w:id="48">
    <w:p w14:paraId="1DA62D43" w14:textId="77777777" w:rsidR="009027EC" w:rsidRDefault="009027EC" w:rsidP="00C153D7">
      <w:pPr>
        <w:pStyle w:val="FootnoteText"/>
      </w:pPr>
      <w:r>
        <w:rPr>
          <w:rStyle w:val="FootnoteReference"/>
        </w:rPr>
        <w:footnoteRef/>
      </w:r>
      <w:r>
        <w:t xml:space="preserve"> </w:t>
      </w:r>
      <w:r w:rsidRPr="00CB5941">
        <w:rPr>
          <w:i/>
        </w:rPr>
        <w:t>2013 Comprehensive Energy Strategy for Connecticut</w:t>
      </w:r>
      <w:r>
        <w:t>. The Connecticut Department of Energy and Environmental Protection. Hartford, CT. February 19, 2013. Page 132, Table 5.</w:t>
      </w:r>
    </w:p>
  </w:footnote>
  <w:footnote w:id="49">
    <w:p w14:paraId="0B231DF0" w14:textId="77777777" w:rsidR="009027EC" w:rsidRDefault="009027EC" w:rsidP="00C153D7">
      <w:pPr>
        <w:pStyle w:val="FootnoteText"/>
      </w:pPr>
      <w:r>
        <w:rPr>
          <w:rStyle w:val="FootnoteReference"/>
        </w:rPr>
        <w:footnoteRef/>
      </w:r>
      <w:r>
        <w:t xml:space="preserve"> The list of towns served by gas lines was determined using a map found on the Yankee Gas website. Available here: </w:t>
      </w:r>
      <w:hyperlink r:id="rId6" w:history="1">
        <w:r>
          <w:rPr>
            <w:rStyle w:val="Hyperlink"/>
          </w:rPr>
          <w:t>http://www.yankeegas.com/downloads/servicemap.pdf?id=4294988935&amp;dl=t</w:t>
        </w:r>
      </w:hyperlink>
      <w:r>
        <w:t xml:space="preserve"> </w:t>
      </w:r>
    </w:p>
  </w:footnote>
  <w:footnote w:id="50">
    <w:p w14:paraId="5D40354F" w14:textId="77777777" w:rsidR="009027EC" w:rsidRDefault="009027EC" w:rsidP="00C153D7">
      <w:pPr>
        <w:pStyle w:val="FootnoteText"/>
      </w:pPr>
      <w:r>
        <w:rPr>
          <w:rStyle w:val="FootnoteReference"/>
        </w:rPr>
        <w:footnoteRef/>
      </w:r>
      <w:r>
        <w:t xml:space="preserve"> Ductless mini-splits are also often easier to retrofit into a home than conventional air source heat pumps or ground source heat pumps, particularly for homes that do not have existing duct work. </w:t>
      </w:r>
    </w:p>
  </w:footnote>
  <w:footnote w:id="51">
    <w:p w14:paraId="034A0F97" w14:textId="77777777" w:rsidR="009027EC" w:rsidRDefault="009027EC" w:rsidP="00C153D7">
      <w:pPr>
        <w:pStyle w:val="FootnoteText"/>
      </w:pPr>
      <w:r>
        <w:rPr>
          <w:rStyle w:val="FootnoteReference"/>
        </w:rPr>
        <w:footnoteRef/>
      </w:r>
      <w:r>
        <w:t xml:space="preserve"> NMR assumes that it would be unlikely for these homeowners to switch to heat pump water heaters if an incentive is not offered, and impractical for them to switch to an electric storage water heater given the high cost of electricity and the fact that oil/propane heating equipment remains as a backup to the ductless mini-splits.</w:t>
      </w:r>
    </w:p>
  </w:footnote>
  <w:footnote w:id="52">
    <w:p w14:paraId="5FE23237" w14:textId="77777777" w:rsidR="009027EC" w:rsidRDefault="009027EC" w:rsidP="00494699">
      <w:pPr>
        <w:pStyle w:val="FootnoteText"/>
      </w:pPr>
      <w:r>
        <w:rPr>
          <w:rStyle w:val="FootnoteReference"/>
        </w:rPr>
        <w:footnoteRef/>
      </w:r>
      <w:r>
        <w:t xml:space="preserve"> The sources used to calculate growth rates can be found in </w:t>
      </w:r>
      <w:r>
        <w:fldChar w:fldCharType="begin"/>
      </w:r>
      <w:r>
        <w:instrText xml:space="preserve"> REF _Ref373236996 \n \h </w:instrText>
      </w:r>
      <w:r>
        <w:fldChar w:fldCharType="separate"/>
      </w:r>
      <w:r>
        <w:t>Appendix D</w:t>
      </w:r>
      <w:r>
        <w:fldChar w:fldCharType="end"/>
      </w:r>
      <w:r>
        <w:t xml:space="preserve">. </w:t>
      </w:r>
    </w:p>
  </w:footnote>
  <w:footnote w:id="53">
    <w:p w14:paraId="5099F06F" w14:textId="77777777" w:rsidR="009027EC" w:rsidRPr="00FC4029" w:rsidRDefault="009027EC" w:rsidP="00494699">
      <w:pPr>
        <w:pStyle w:val="FootnoteText"/>
      </w:pPr>
      <w:r>
        <w:rPr>
          <w:rStyle w:val="FootnoteReference"/>
        </w:rPr>
        <w:footnoteRef/>
      </w:r>
      <w:r>
        <w:t xml:space="preserve"> NMR Group, Inc. “Weatherization Baseline Assessment-Revised Draft Report” Submitted to </w:t>
      </w:r>
      <w:r w:rsidRPr="009326B3">
        <w:rPr>
          <w:i/>
        </w:rPr>
        <w:t>The Connecticut Energy Efficiency Fund, Connecticut Light and Power, and The United Illuminating Company</w:t>
      </w:r>
      <w:r>
        <w:rPr>
          <w:i/>
        </w:rPr>
        <w:t xml:space="preserve">, </w:t>
      </w:r>
      <w:r>
        <w:t>September 11</w:t>
      </w:r>
      <w:r w:rsidRPr="009326B3">
        <w:rPr>
          <w:vertAlign w:val="superscript"/>
        </w:rPr>
        <w:t>th</w:t>
      </w:r>
      <w:r>
        <w:t>, 2013.</w:t>
      </w:r>
    </w:p>
  </w:footnote>
  <w:footnote w:id="54">
    <w:p w14:paraId="3CA9A0C6" w14:textId="77777777" w:rsidR="009027EC" w:rsidRDefault="009027EC" w:rsidP="00494699">
      <w:pPr>
        <w:pStyle w:val="FootnoteText"/>
      </w:pPr>
      <w:r>
        <w:rPr>
          <w:rStyle w:val="FootnoteReference"/>
        </w:rPr>
        <w:footnoteRef/>
      </w:r>
      <w:r>
        <w:t xml:space="preserve"> The coefficient of variation measures the dispersion of data in a series of data points; it is commonly used to estimate sampling error when measuring the efficiency of measures installed in weatherization efforts. </w:t>
      </w:r>
    </w:p>
  </w:footnote>
  <w:footnote w:id="55">
    <w:p w14:paraId="5289AC96" w14:textId="77777777" w:rsidR="009027EC" w:rsidRDefault="009027EC" w:rsidP="00494699">
      <w:pPr>
        <w:pStyle w:val="FootnoteText"/>
      </w:pPr>
      <w:r>
        <w:rPr>
          <w:rStyle w:val="FootnoteReference"/>
        </w:rPr>
        <w:footnoteRef/>
      </w:r>
      <w:r>
        <w:t xml:space="preserve"> Underrepresentation of renters and low-income respondents is common in telephone surveys. For example, see Galesic, M., R. </w:t>
      </w:r>
      <w:r w:rsidRPr="004208A7">
        <w:t>Tourangeau</w:t>
      </w:r>
      <w:r>
        <w:t>, M.P. Couper (2006), “</w:t>
      </w:r>
      <w:r w:rsidRPr="004208A7">
        <w:rPr>
          <w:bCs/>
        </w:rPr>
        <w:t>Complementing Random-Digit-Dial Telephone Surveys with Other Approaches to Collecting Sensitive Data</w:t>
      </w:r>
      <w:r>
        <w:rPr>
          <w:bCs/>
        </w:rPr>
        <w:t xml:space="preserve">,” </w:t>
      </w:r>
      <w:r>
        <w:rPr>
          <w:bCs/>
          <w:i/>
        </w:rPr>
        <w:t>American Journal of Preventive Medicine</w:t>
      </w:r>
      <w:r>
        <w:rPr>
          <w:bCs/>
        </w:rPr>
        <w:t>, Volume 35, Number 5.</w:t>
      </w:r>
    </w:p>
  </w:footnote>
  <w:footnote w:id="56">
    <w:p w14:paraId="06AEDC79" w14:textId="77777777" w:rsidR="009027EC" w:rsidRDefault="009027EC" w:rsidP="00494699">
      <w:pPr>
        <w:pStyle w:val="FootnoteText"/>
      </w:pPr>
      <w:r>
        <w:rPr>
          <w:rStyle w:val="FootnoteReference"/>
        </w:rPr>
        <w:footnoteRef/>
      </w:r>
      <w:r>
        <w:t xml:space="preserve"> NMR Group, Inc. “Weatherization Baseline Assessment-Revised Draft Report” Submitted to </w:t>
      </w:r>
      <w:r w:rsidRPr="001178FB">
        <w:rPr>
          <w:i/>
        </w:rPr>
        <w:t>The Connecticut Energy Efficiency Fund, Connecticut Light and Power, and The United Illuminating Company</w:t>
      </w:r>
      <w:r>
        <w:rPr>
          <w:i/>
        </w:rPr>
        <w:t xml:space="preserve">, </w:t>
      </w:r>
      <w:r>
        <w:t>September 11</w:t>
      </w:r>
      <w:r w:rsidRPr="001178FB">
        <w:rPr>
          <w:vertAlign w:val="superscript"/>
        </w:rPr>
        <w:t>th</w:t>
      </w:r>
      <w:r>
        <w:t>, 2013.</w:t>
      </w:r>
    </w:p>
  </w:footnote>
  <w:footnote w:id="57">
    <w:p w14:paraId="3E548AAD" w14:textId="77777777" w:rsidR="009027EC" w:rsidRDefault="009027EC" w:rsidP="00436707">
      <w:pPr>
        <w:pStyle w:val="FootnoteText"/>
      </w:pPr>
      <w:r>
        <w:rPr>
          <w:rStyle w:val="FootnoteReference"/>
        </w:rPr>
        <w:footnoteRef/>
      </w:r>
      <w:r>
        <w:t xml:space="preserve"> </w:t>
      </w:r>
      <w:hyperlink r:id="rId7" w:history="1">
        <w:r>
          <w:rPr>
            <w:rStyle w:val="Hyperlink"/>
          </w:rPr>
          <w:t>http://www.epa.gov/cleanenergy/documents/suca/resource_planning.pdf</w:t>
        </w:r>
      </w:hyperlink>
    </w:p>
  </w:footnote>
  <w:footnote w:id="58">
    <w:p w14:paraId="4C58D7D4" w14:textId="77777777" w:rsidR="009027EC" w:rsidRDefault="009027EC" w:rsidP="00436707">
      <w:pPr>
        <w:pStyle w:val="FootnoteText"/>
      </w:pPr>
      <w:r>
        <w:rPr>
          <w:rStyle w:val="FootnoteReference"/>
        </w:rPr>
        <w:footnoteRef/>
      </w:r>
      <w:r>
        <w:t xml:space="preserve"> The EIA does not present information on propane consumption by end use and as a result propane was excluded from this analysis. </w:t>
      </w:r>
    </w:p>
  </w:footnote>
  <w:footnote w:id="59">
    <w:p w14:paraId="075CB6B6" w14:textId="77777777" w:rsidR="009027EC" w:rsidRDefault="009027EC" w:rsidP="00436707">
      <w:pPr>
        <w:pStyle w:val="FootnoteText"/>
      </w:pPr>
      <w:r>
        <w:rPr>
          <w:rStyle w:val="FootnoteReference"/>
        </w:rPr>
        <w:footnoteRef/>
      </w:r>
      <w:r>
        <w:t xml:space="preserve"> </w:t>
      </w:r>
      <w:hyperlink r:id="rId8" w:history="1">
        <w:r>
          <w:rPr>
            <w:rStyle w:val="Hyperlink"/>
          </w:rPr>
          <w:t>http://www.eia.gov/consumption/residential/index.cfm</w:t>
        </w:r>
      </w:hyperlink>
    </w:p>
  </w:footnote>
  <w:footnote w:id="60">
    <w:p w14:paraId="0ADA1DAA" w14:textId="77777777" w:rsidR="009027EC" w:rsidRDefault="009027EC" w:rsidP="00436707">
      <w:pPr>
        <w:pStyle w:val="FootnoteText"/>
      </w:pPr>
      <w:r>
        <w:rPr>
          <w:rStyle w:val="FootnoteReference"/>
        </w:rPr>
        <w:footnoteRef/>
      </w:r>
      <w:r>
        <w:t xml:space="preserve"> Million Btus (British thermal units).</w:t>
      </w:r>
    </w:p>
  </w:footnote>
  <w:footnote w:id="61">
    <w:p w14:paraId="6CB0C96A" w14:textId="056AD129" w:rsidR="009027EC" w:rsidRDefault="009027EC" w:rsidP="00436707">
      <w:pPr>
        <w:pStyle w:val="FootnoteText"/>
      </w:pPr>
      <w:r>
        <w:rPr>
          <w:rStyle w:val="FootnoteReference"/>
        </w:rPr>
        <w:footnoteRef/>
      </w:r>
      <w:r>
        <w:t xml:space="preserve"> This 60% figure was adopted after interviews with several solar contractors in Connecticut suggested that about that proportion of single-family homes in the state could feasibly support the installation of a solar array without incurring the substantial extra costs associated with roof reinforcement, electrical system upgrade, or trimming or removing trees.</w:t>
      </w:r>
    </w:p>
  </w:footnote>
  <w:footnote w:id="62">
    <w:p w14:paraId="552BCC5C" w14:textId="77777777" w:rsidR="009027EC" w:rsidRDefault="009027EC" w:rsidP="00436707">
      <w:pPr>
        <w:pStyle w:val="FootnoteText"/>
      </w:pPr>
      <w:r>
        <w:rPr>
          <w:rStyle w:val="FootnoteReference"/>
        </w:rPr>
        <w:footnoteRef/>
      </w:r>
      <w:r>
        <w:t xml:space="preserve"> In the individual measure model runs, the savings due to the ductless mini-split upgrade exceeded the combined savings from upgrading existing heating and cooling equipment for every site. Because the individual measure upgrade resulting in the most savings was applied in the comprehensive model, ductless mini-splits were modeled for every site in the comprehensive model runs.</w:t>
      </w:r>
    </w:p>
  </w:footnote>
  <w:footnote w:id="63">
    <w:p w14:paraId="0C4BD225" w14:textId="77777777" w:rsidR="009027EC" w:rsidRDefault="009027EC" w:rsidP="00436707">
      <w:pPr>
        <w:pStyle w:val="FootnoteText"/>
      </w:pPr>
      <w:r>
        <w:rPr>
          <w:rStyle w:val="FootnoteReference"/>
        </w:rPr>
        <w:footnoteRef/>
      </w:r>
      <w:r>
        <w:t xml:space="preserve"> </w:t>
      </w:r>
      <w:r w:rsidRPr="009E2807">
        <w:t>http://iso-ne.com/regulatory/tariff/sect_1/sect_i.pdf</w:t>
      </w:r>
    </w:p>
  </w:footnote>
  <w:footnote w:id="64">
    <w:p w14:paraId="53C99E6C" w14:textId="77777777" w:rsidR="009027EC" w:rsidRDefault="009027EC" w:rsidP="00436707">
      <w:pPr>
        <w:pStyle w:val="FootnoteText"/>
      </w:pPr>
      <w:r>
        <w:rPr>
          <w:rStyle w:val="FootnoteReference"/>
        </w:rPr>
        <w:footnoteRef/>
      </w:r>
      <w:r>
        <w:t xml:space="preserve"> While ductless mini-splits reduce overall heating energy consumption, they increase electricity consumption, in particular during the winter.</w:t>
      </w:r>
    </w:p>
  </w:footnote>
  <w:footnote w:id="65">
    <w:p w14:paraId="78CF6BEC" w14:textId="77777777" w:rsidR="009027EC" w:rsidRDefault="009027EC" w:rsidP="00436707">
      <w:pPr>
        <w:pStyle w:val="FootnoteText"/>
      </w:pPr>
      <w:r>
        <w:rPr>
          <w:rStyle w:val="FootnoteReference"/>
        </w:rPr>
        <w:footnoteRef/>
      </w:r>
      <w:r>
        <w:t xml:space="preserve"> ISO-New England defines the summer on-peak period as non-holiday weekdays in June, July, and August between 1:00pm and 5:00pm.</w:t>
      </w:r>
    </w:p>
  </w:footnote>
  <w:footnote w:id="66">
    <w:p w14:paraId="486C4301" w14:textId="77777777" w:rsidR="009027EC" w:rsidRDefault="009027EC" w:rsidP="00436707">
      <w:pPr>
        <w:pStyle w:val="FootnoteText"/>
      </w:pPr>
      <w:r>
        <w:rPr>
          <w:rStyle w:val="FootnoteReference"/>
        </w:rPr>
        <w:footnoteRef/>
      </w:r>
      <w:r>
        <w:t xml:space="preserve"> The 2013 Connecticut Program Savings Documentation assumes a summer peak coincident factor of 59% for central air conditioning and 30% for room air-conditioners.</w:t>
      </w:r>
    </w:p>
  </w:footnote>
  <w:footnote w:id="67">
    <w:p w14:paraId="7C536A61" w14:textId="77777777" w:rsidR="009027EC" w:rsidRDefault="009027EC" w:rsidP="00436707">
      <w:pPr>
        <w:pStyle w:val="FootnoteText"/>
      </w:pPr>
      <w:r>
        <w:rPr>
          <w:rStyle w:val="FootnoteReference"/>
        </w:rPr>
        <w:footnoteRef/>
      </w:r>
      <w:r>
        <w:t xml:space="preserve"> </w:t>
      </w:r>
      <w:hyperlink r:id="rId9" w:history="1">
        <w:r w:rsidRPr="00F23285">
          <w:rPr>
            <w:color w:val="0000FF"/>
            <w:u w:val="single"/>
          </w:rPr>
          <w:t>http://www.ctenergyinfo.com/2013%20Program%20Savings%20Documentation%20-%20Final.pdf</w:t>
        </w:r>
      </w:hyperlink>
    </w:p>
  </w:footnote>
  <w:footnote w:id="68">
    <w:p w14:paraId="27251675" w14:textId="77777777" w:rsidR="009027EC" w:rsidRDefault="009027EC" w:rsidP="00436707">
      <w:pPr>
        <w:pStyle w:val="FootnoteText"/>
      </w:pPr>
      <w:r>
        <w:rPr>
          <w:rStyle w:val="FootnoteReference"/>
        </w:rPr>
        <w:footnoteRef/>
      </w:r>
      <w:hyperlink r:id="rId10" w:history="1">
        <w:r w:rsidRPr="00C64CF8">
          <w:rPr>
            <w:rStyle w:val="Hyperlink"/>
          </w:rPr>
          <w:t>http://publicservice.vermont.gov/sites/psd/files/Topics/Energy_Efficiency/EVT_Performance_Eval/VT%20SF%20Existing%20Homes%20Onsite%20Report%20-%20final%20021513.pdf</w:t>
        </w:r>
      </w:hyperlink>
      <w:r>
        <w:t xml:space="preserve">. </w:t>
      </w:r>
    </w:p>
  </w:footnote>
  <w:footnote w:id="69">
    <w:p w14:paraId="59DFEFCC" w14:textId="7557ADA1" w:rsidR="009027EC" w:rsidRDefault="009027EC">
      <w:pPr>
        <w:pStyle w:val="FootnoteText"/>
      </w:pPr>
      <w:r>
        <w:rPr>
          <w:rStyle w:val="FootnoteReference"/>
        </w:rPr>
        <w:footnoteRef/>
      </w:r>
      <w:r>
        <w:t xml:space="preserve"> In this analysis and others like it, all fuels—including electricity---are converted to MMBtu solely to facilitate direct comparison between fuels.</w:t>
      </w:r>
    </w:p>
  </w:footnote>
  <w:footnote w:id="70">
    <w:p w14:paraId="4F378E2A" w14:textId="77777777" w:rsidR="009027EC" w:rsidRDefault="009027EC" w:rsidP="006C2782">
      <w:pPr>
        <w:pStyle w:val="FootnoteText"/>
      </w:pPr>
      <w:r>
        <w:rPr>
          <w:rStyle w:val="FootnoteReference"/>
        </w:rPr>
        <w:footnoteRef/>
      </w:r>
      <w:r>
        <w:t xml:space="preserve"> The Energy Independence and Security Act of 2007 (EISA) includes a timeline by which inefficient lighting products such as incandescent lamps are gradually phased out.</w:t>
      </w:r>
    </w:p>
  </w:footnote>
  <w:footnote w:id="71">
    <w:p w14:paraId="73C9ED50" w14:textId="77777777" w:rsidR="009027EC" w:rsidRDefault="009027EC" w:rsidP="0025245A">
      <w:pPr>
        <w:pStyle w:val="FootnoteText"/>
      </w:pPr>
      <w:r>
        <w:rPr>
          <w:rStyle w:val="FootnoteReference"/>
        </w:rPr>
        <w:footnoteRef/>
      </w:r>
      <w:r>
        <w:t xml:space="preserve"> Eversource provided an estimate of projected 2016 statewide program savings for the purposes of this comparison.</w:t>
      </w:r>
    </w:p>
  </w:footnote>
  <w:footnote w:id="72">
    <w:p w14:paraId="712E1151" w14:textId="5F4E8585" w:rsidR="009027EC" w:rsidRDefault="009027EC">
      <w:pPr>
        <w:pStyle w:val="FootnoteText"/>
      </w:pPr>
      <w:r>
        <w:rPr>
          <w:rStyle w:val="FootnoteReference"/>
        </w:rPr>
        <w:footnoteRef/>
      </w:r>
      <w:r>
        <w:t xml:space="preserve"> Projected costs and savings take into account the HES, HES-IE, residential HVAC, and retail products programs. They do not take into account residential new construction or behavioral programs.</w:t>
      </w:r>
    </w:p>
  </w:footnote>
  <w:footnote w:id="73">
    <w:p w14:paraId="6CE45430" w14:textId="77777777" w:rsidR="009027EC" w:rsidRDefault="009027EC" w:rsidP="00231AE4">
      <w:pPr>
        <w:pStyle w:val="FootnoteText"/>
      </w:pPr>
      <w:r>
        <w:rPr>
          <w:rStyle w:val="FootnoteReference"/>
        </w:rPr>
        <w:footnoteRef/>
      </w:r>
      <w:r>
        <w:t xml:space="preserve"> Converting consumption figures to MMBtu makes them directly comparable across fuel types and makes it possible to discern the overall impact of fuel switching.</w:t>
      </w:r>
    </w:p>
  </w:footnote>
  <w:footnote w:id="74">
    <w:p w14:paraId="0E7EA2C3" w14:textId="77777777" w:rsidR="009027EC" w:rsidRDefault="009027EC" w:rsidP="00231AE4">
      <w:pPr>
        <w:pStyle w:val="FootnoteText"/>
      </w:pPr>
      <w:r>
        <w:rPr>
          <w:rStyle w:val="FootnoteReference"/>
        </w:rPr>
        <w:footnoteRef/>
      </w:r>
      <w:r>
        <w:t xml:space="preserve"> Specifically, these values assume that the number of homes with gas heating and water heating equipment would increase from 34% to 53%, which is the number of residences that the Connecticut Comprehensive Energy Strategy suggests is technically feasible in the near term. Additionally, these values assume that the remaining 47% of homes convert to heat pumps. </w:t>
      </w:r>
    </w:p>
  </w:footnote>
  <w:footnote w:id="75">
    <w:p w14:paraId="2B36C6EB" w14:textId="77777777" w:rsidR="009027EC" w:rsidRDefault="009027EC" w:rsidP="00231AE4">
      <w:pPr>
        <w:pStyle w:val="FootnoteText"/>
      </w:pPr>
      <w:r>
        <w:rPr>
          <w:rStyle w:val="FootnoteReference"/>
        </w:rPr>
        <w:footnoteRef/>
      </w:r>
      <w:r>
        <w:t xml:space="preserve"> These are homes in Groups B and C, which were switched from oil or propane to ductless mini-splits in the models. NMR assumes that it would be unlikely for these homeowners to switch to heat pump water heaters if an incentive is not offered, and impractical for them to switch to an electric storage water heater given the high cost of electricity and the fact that oil/propane heating equipment remains as a backup to the ductless mini-splits.</w:t>
      </w:r>
    </w:p>
  </w:footnote>
  <w:footnote w:id="76">
    <w:p w14:paraId="6F79E20F" w14:textId="77777777" w:rsidR="009027EC" w:rsidRDefault="009027EC" w:rsidP="00231AE4">
      <w:r>
        <w:rPr>
          <w:rStyle w:val="FootnoteReference"/>
        </w:rPr>
        <w:footnoteRef/>
      </w:r>
      <w:r>
        <w:t xml:space="preserve"> </w:t>
      </w:r>
      <w:r w:rsidRPr="00A81E5A">
        <w:rPr>
          <w:sz w:val="20"/>
          <w:szCs w:val="20"/>
        </w:rPr>
        <w:t>This is because the increase in water heating efficiency from an Energy Factor of 0.62 to 0.93 saves more fuel than the increase in space heating AFUE from 92.4% to 95% (for boilers) or 97% (for furnaces).</w:t>
      </w:r>
    </w:p>
    <w:p w14:paraId="31E25E99" w14:textId="77777777" w:rsidR="009027EC" w:rsidRDefault="009027EC" w:rsidP="00231AE4">
      <w:pPr>
        <w:pStyle w:val="FootnoteText"/>
      </w:pPr>
    </w:p>
  </w:footnote>
  <w:footnote w:id="77">
    <w:p w14:paraId="5453E4E1" w14:textId="77777777" w:rsidR="009027EC" w:rsidRDefault="009027EC" w:rsidP="00231AE4">
      <w:r>
        <w:rPr>
          <w:rStyle w:val="FootnoteReference"/>
        </w:rPr>
        <w:footnoteRef/>
      </w:r>
      <w:r>
        <w:t xml:space="preserve"> </w:t>
      </w:r>
      <w:r w:rsidRPr="00A81E5A">
        <w:rPr>
          <w:sz w:val="20"/>
          <w:szCs w:val="20"/>
        </w:rPr>
        <w:t>Heat pump water heaters draw heat from the air around them, so oil and propane heating equipment used in a backup capacity to ductless mini-splits must produce more heat to make up the difference.</w:t>
      </w:r>
    </w:p>
  </w:footnote>
  <w:footnote w:id="78">
    <w:p w14:paraId="574039F7" w14:textId="77777777" w:rsidR="009027EC" w:rsidRDefault="009027EC" w:rsidP="00DD02E5">
      <w:pPr>
        <w:pStyle w:val="FootnoteText"/>
      </w:pPr>
      <w:r>
        <w:rPr>
          <w:rStyle w:val="FootnoteReference"/>
        </w:rPr>
        <w:footnoteRef/>
      </w:r>
      <w:r>
        <w:t xml:space="preserve"> Ductless mini splits were modeled with the same efficiency levels as they would be normally (though converted to EER and COP), but they were modeled using the ground source heat pump library with no fan and no pump-based energy consumption.</w:t>
      </w:r>
    </w:p>
  </w:footnote>
  <w:footnote w:id="79">
    <w:p w14:paraId="55FCAAD8" w14:textId="77777777" w:rsidR="009027EC" w:rsidRDefault="009027EC" w:rsidP="00DD02E5">
      <w:pPr>
        <w:pStyle w:val="FootnoteText"/>
        <w:contextualSpacing/>
      </w:pPr>
      <w:r>
        <w:rPr>
          <w:rStyle w:val="FootnoteReference"/>
        </w:rPr>
        <w:footnoteRef/>
      </w:r>
      <w:r>
        <w:t xml:space="preserve"> This study was an add-on task that utilized data from the Weatherization Baseline Assessment site visits. As a result, the data collection was not designed for this study and therefore baseline information was not available for all measures. </w:t>
      </w:r>
    </w:p>
  </w:footnote>
  <w:footnote w:id="80">
    <w:p w14:paraId="593312CF" w14:textId="77777777" w:rsidR="009027EC" w:rsidRDefault="009027EC" w:rsidP="00DD02E5">
      <w:pPr>
        <w:pStyle w:val="FootnoteText"/>
        <w:contextualSpacing/>
      </w:pPr>
      <w:r>
        <w:rPr>
          <w:rStyle w:val="FootnoteReference"/>
        </w:rPr>
        <w:footnoteRef/>
      </w:r>
      <w:r>
        <w:t xml:space="preserve"> REM/Rate requires information on light fixtures not light bulbs.</w:t>
      </w:r>
    </w:p>
  </w:footnote>
  <w:footnote w:id="81">
    <w:p w14:paraId="17657016" w14:textId="77777777" w:rsidR="009027EC" w:rsidRPr="005B062A" w:rsidRDefault="009027EC" w:rsidP="00DD02E5">
      <w:pPr>
        <w:pStyle w:val="FootnoteText"/>
      </w:pPr>
      <w:r>
        <w:rPr>
          <w:rStyle w:val="FootnoteReference"/>
        </w:rPr>
        <w:footnoteRef/>
      </w:r>
      <w:r>
        <w:t xml:space="preserve"> </w:t>
      </w:r>
      <w:r>
        <w:rPr>
          <w:i/>
        </w:rPr>
        <w:t xml:space="preserve">Connecticut Efficient Lighting Saturation and Market Assessment, </w:t>
      </w:r>
      <w:r>
        <w:t xml:space="preserve">Submitted to the Connecticut Energy Efficiency Fund, Connecticut Light and Power, and The United Illuminating Company by NMR Group, Inc. October 2012. </w:t>
      </w:r>
    </w:p>
  </w:footnote>
  <w:footnote w:id="82">
    <w:p w14:paraId="2989AA26" w14:textId="77777777" w:rsidR="009027EC" w:rsidRPr="006C4B4C" w:rsidRDefault="009027EC" w:rsidP="00DD02E5">
      <w:pPr>
        <w:pStyle w:val="FootnoteText"/>
      </w:pPr>
      <w:r>
        <w:rPr>
          <w:rStyle w:val="FootnoteReference"/>
        </w:rPr>
        <w:footnoteRef/>
      </w:r>
      <w:hyperlink r:id="rId11" w:history="1">
        <w:r w:rsidRPr="00C64CF8">
          <w:rPr>
            <w:rStyle w:val="Hyperlink"/>
          </w:rPr>
          <w:t>http://publicservice.vermont.gov/sites/psd/files/Topics/Energy_Efficiency/EVT_Performance_Eval/VT%20SF%20Existing%20Homes%20Onsite%20Report%20-%20final%20021513.pdf</w:t>
        </w:r>
      </w:hyperlink>
      <w:r>
        <w:t>.</w:t>
      </w:r>
    </w:p>
  </w:footnote>
  <w:footnote w:id="83">
    <w:p w14:paraId="21514973" w14:textId="77777777" w:rsidR="009027EC" w:rsidRDefault="009027EC" w:rsidP="00DD02E5">
      <w:pPr>
        <w:pStyle w:val="FootnoteText"/>
      </w:pPr>
      <w:r>
        <w:rPr>
          <w:rStyle w:val="FootnoteReference"/>
        </w:rPr>
        <w:footnoteRef/>
      </w:r>
      <w:r>
        <w:t xml:space="preserve"> Ibid.</w:t>
      </w:r>
    </w:p>
  </w:footnote>
  <w:footnote w:id="84">
    <w:p w14:paraId="1C8DB78F" w14:textId="3C175462" w:rsidR="009027EC" w:rsidRDefault="009027EC" w:rsidP="00EE00C4">
      <w:pPr>
        <w:pStyle w:val="FootnoteText"/>
      </w:pPr>
      <w:r>
        <w:rPr>
          <w:rStyle w:val="FootnoteReference"/>
        </w:rPr>
        <w:footnoteRef/>
      </w:r>
      <w:r>
        <w:t xml:space="preserve"> Because </w:t>
      </w:r>
      <w:r w:rsidR="00380843">
        <w:t>t</w:t>
      </w:r>
      <w:r>
        <w:t>he table assumes a 100% conversion rate, the numbers contained in it should be considered maximum impacts.</w:t>
      </w:r>
    </w:p>
  </w:footnote>
  <w:footnote w:id="85">
    <w:p w14:paraId="3643CC3A" w14:textId="77777777" w:rsidR="009027EC" w:rsidRPr="00091400" w:rsidRDefault="009027EC" w:rsidP="004336BD">
      <w:pPr>
        <w:pStyle w:val="FootnoteText"/>
        <w:rPr>
          <w:rFonts w:cs="Times New Roman"/>
        </w:rPr>
      </w:pPr>
      <w:r w:rsidRPr="00091400">
        <w:rPr>
          <w:rStyle w:val="FootnoteReference"/>
          <w:rFonts w:cs="Times New Roman"/>
        </w:rPr>
        <w:footnoteRef/>
      </w:r>
      <w:r w:rsidRPr="00091400">
        <w:rPr>
          <w:rFonts w:cs="Times New Roman"/>
        </w:rPr>
        <w:t xml:space="preserve"> </w:t>
      </w:r>
      <w:r>
        <w:rPr>
          <w:rFonts w:cs="Times New Roman"/>
        </w:rPr>
        <w:t xml:space="preserve">U.S. Department of Energy, Office of Energy Efficiency &amp; Renewable Energy. Standards and Test Procedures. </w:t>
      </w:r>
      <w:hyperlink r:id="rId12" w:history="1">
        <w:r w:rsidRPr="001B042B">
          <w:rPr>
            <w:rStyle w:val="Hyperlink"/>
            <w:rFonts w:cs="Times New Roman"/>
          </w:rPr>
          <w:t>http://energy.gov/eere/buildings/standards-and-test-procedures</w:t>
        </w:r>
      </w:hyperlink>
    </w:p>
  </w:footnote>
  <w:footnote w:id="86">
    <w:p w14:paraId="61FE9BBE" w14:textId="77777777" w:rsidR="009027EC" w:rsidRPr="00FD465E" w:rsidRDefault="009027EC" w:rsidP="004336BD">
      <w:pPr>
        <w:pStyle w:val="FootnoteText"/>
        <w:rPr>
          <w:rFonts w:cs="Times New Roman"/>
        </w:rPr>
      </w:pPr>
      <w:r w:rsidRPr="00FD465E">
        <w:rPr>
          <w:rStyle w:val="FootnoteReference"/>
          <w:rFonts w:cs="Times New Roman"/>
        </w:rPr>
        <w:footnoteRef/>
      </w:r>
      <w:r w:rsidRPr="00FD465E">
        <w:rPr>
          <w:rFonts w:cs="Times New Roman"/>
        </w:rPr>
        <w:t xml:space="preserve"> Appliance Standards Awareness Project. National Standards. </w:t>
      </w:r>
      <w:hyperlink r:id="rId13" w:history="1">
        <w:r w:rsidRPr="001B042B">
          <w:rPr>
            <w:rStyle w:val="Hyperlink"/>
            <w:rFonts w:cs="Times New Roman"/>
          </w:rPr>
          <w:t>http://www.appliance-standards.org/national</w:t>
        </w:r>
      </w:hyperlink>
    </w:p>
  </w:footnote>
  <w:footnote w:id="87">
    <w:p w14:paraId="7FA9BD95" w14:textId="77777777" w:rsidR="009027EC" w:rsidRDefault="009027EC" w:rsidP="004336BD">
      <w:pPr>
        <w:pStyle w:val="FootnoteText"/>
      </w:pPr>
      <w:r>
        <w:rPr>
          <w:rStyle w:val="FootnoteReference"/>
        </w:rPr>
        <w:footnoteRef/>
      </w:r>
      <w:r>
        <w:t xml:space="preserve"> </w:t>
      </w:r>
      <w:r w:rsidRPr="00544E3A">
        <w:t>http://www.efficiencymaine.com/docs/2015-Maine-Residential-Baseline-Study-Report-NMR.pdf</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E76A569" w14:textId="6945D4C1" w:rsidR="009027EC" w:rsidRPr="009A1FEF" w:rsidRDefault="009027EC" w:rsidP="00193853">
    <w:pPr>
      <w:pStyle w:val="Header"/>
      <w:tabs>
        <w:tab w:val="clear" w:pos="9360"/>
        <w:tab w:val="right" w:pos="10260"/>
      </w:tabs>
      <w:ind w:right="-900"/>
    </w:pPr>
    <w:r>
      <w:t>Connecticut Single-Family Potential Study</w: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61E52E8" w14:textId="0583E41B" w:rsidR="009027EC" w:rsidRPr="00CE7FC8" w:rsidRDefault="009027EC" w:rsidP="007C3F25">
    <w:pPr>
      <w:pStyle w:val="Header"/>
      <w:tabs>
        <w:tab w:val="clear" w:pos="9360"/>
        <w:tab w:val="right" w:pos="10260"/>
      </w:tabs>
      <w:ind w:right="-1332"/>
    </w:pPr>
    <w:r>
      <w:t>Connecticut Single-Family Potential Study</w:t>
    </w:r>
  </w:p>
  <w:p w14:paraId="445F5790" w14:textId="77777777" w:rsidR="009027EC" w:rsidRDefault="009027EC" w:rsidP="00FA1926">
    <w:pPr>
      <w:pStyle w:val="Header"/>
      <w:ind w:right="-1332"/>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5CD2351" w14:textId="77777777" w:rsidR="009027EC" w:rsidRDefault="00796FE4">
    <w:pPr>
      <w:pStyle w:val="Header"/>
    </w:pPr>
    <w:r>
      <w:rPr>
        <w:noProof/>
      </w:rPr>
      <w:pict w14:anchorId="4F8AEB4A">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277" o:spid="_x0000_s2053" type="#_x0000_t136" style="position:absolute;left:0;text-align:left;margin-left:0;margin-top:0;width:471.3pt;height:188.5pt;rotation:315;z-index:-25165209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17901BC" w14:textId="1E494077" w:rsidR="009027EC" w:rsidRDefault="00796FE4" w:rsidP="00193853">
    <w:pPr>
      <w:pStyle w:val="Header"/>
    </w:pPr>
    <w:r>
      <w:rPr>
        <w:noProof/>
      </w:rPr>
      <w:pict w14:anchorId="1F714B02">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278" o:spid="_x0000_s2054" type="#_x0000_t136" style="position:absolute;left:0;text-align:left;margin-left:0;margin-top:0;width:471.3pt;height:188.5pt;rotation:315;z-index:-2516510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9027EC" w:rsidRPr="00DE359D">
      <w:t xml:space="preserve"> </w:t>
    </w:r>
    <w:r w:rsidR="009027EC">
      <w:t>Connecticut Single-Family Potential Study</w: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2D5B1C5" w14:textId="77777777" w:rsidR="009027EC" w:rsidRDefault="00796FE4">
    <w:pPr>
      <w:pStyle w:val="Header"/>
    </w:pPr>
    <w:r>
      <w:rPr>
        <w:noProof/>
      </w:rPr>
      <w:pict w14:anchorId="58573D07">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276" o:spid="_x0000_s2052" type="#_x0000_t136" style="position:absolute;left:0;text-align:left;margin-left:0;margin-top:0;width:471.3pt;height:188.5pt;rotation:315;z-index:-2516531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C2FA19B" w14:textId="0287CB90" w:rsidR="00D83BA8" w:rsidRDefault="00D83BA8" w:rsidP="00D83BA8">
    <w:pPr>
      <w:pStyle w:val="Header"/>
      <w:ind w:right="-432"/>
    </w:pPr>
    <w:r>
      <w:t>Connecticut Single-Family Potential Study</w:t>
    </w:r>
    <w:r w:rsidR="00796FE4">
      <w:rPr>
        <w:noProof/>
      </w:rPr>
      <w:pict w14:anchorId="0225B8CF">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left:0;text-align:left;margin-left:0;margin-top:0;width:471.3pt;height:188.5pt;rotation:315;z-index:-2516049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D8B2A39" w14:textId="77777777" w:rsidR="009027EC" w:rsidRPr="00CE7FC8" w:rsidRDefault="009027EC" w:rsidP="007C3F25">
    <w:pPr>
      <w:pStyle w:val="Header"/>
      <w:tabs>
        <w:tab w:val="clear" w:pos="9360"/>
        <w:tab w:val="right" w:pos="10260"/>
      </w:tabs>
      <w:ind w:right="-1332"/>
    </w:pPr>
    <w:r w:rsidRPr="00CE7FC8">
      <w:t>DOCUMENT TITLE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577E1F3" w14:textId="46E71219" w:rsidR="00D83BA8" w:rsidRPr="00CE7FC8" w:rsidRDefault="00D83BA8" w:rsidP="007C3F25">
    <w:pPr>
      <w:pStyle w:val="Header"/>
      <w:tabs>
        <w:tab w:val="clear" w:pos="9360"/>
        <w:tab w:val="right" w:pos="10260"/>
      </w:tabs>
      <w:ind w:right="-1332"/>
    </w:pPr>
    <w:r>
      <w:t>Connecticut Single-Family Potential Study</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7B589C1" w14:textId="120E0095" w:rsidR="00D83BA8" w:rsidRPr="00CE7FC8" w:rsidRDefault="00D83BA8" w:rsidP="007C3F25">
    <w:pPr>
      <w:pStyle w:val="Header"/>
      <w:tabs>
        <w:tab w:val="clear" w:pos="9360"/>
        <w:tab w:val="right" w:pos="10260"/>
      </w:tabs>
      <w:ind w:right="-1332"/>
    </w:pPr>
    <w:r>
      <w:t>Connecticut Single-Family Potential Study</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386A844" w14:textId="77777777" w:rsidR="00833F6C" w:rsidRPr="00CE7FC8" w:rsidRDefault="00833F6C" w:rsidP="007C3F25">
    <w:pPr>
      <w:pStyle w:val="Header"/>
      <w:tabs>
        <w:tab w:val="clear" w:pos="9360"/>
        <w:tab w:val="right" w:pos="10260"/>
      </w:tabs>
      <w:ind w:right="-1332"/>
    </w:pPr>
    <w:r>
      <w:t>Connecticut Single-Family Potential Study</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C9B669F" w14:textId="7145D953" w:rsidR="009027EC" w:rsidRPr="00CE7FC8" w:rsidRDefault="009027EC" w:rsidP="009B5AD3">
    <w:pPr>
      <w:pStyle w:val="Header"/>
      <w:tabs>
        <w:tab w:val="clear" w:pos="9360"/>
        <w:tab w:val="right" w:pos="10260"/>
      </w:tabs>
      <w:ind w:right="-1332"/>
    </w:pPr>
    <w:r>
      <w:t>Connecticut Single-Family Potential Study</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7289A5E" w14:textId="06F9A6B9" w:rsidR="009027EC" w:rsidRPr="00CE7FC8" w:rsidRDefault="009027EC" w:rsidP="009B5AD3">
    <w:pPr>
      <w:pStyle w:val="Header"/>
      <w:tabs>
        <w:tab w:val="clear" w:pos="9360"/>
        <w:tab w:val="right" w:pos="10260"/>
      </w:tabs>
      <w:ind w:right="-1332"/>
    </w:pPr>
    <w:r>
      <w:t>Connecticut Single-Family Potential Study</w: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518FA38" w14:textId="44D2E87E" w:rsidR="009027EC" w:rsidRPr="00CE7FC8" w:rsidRDefault="009027EC" w:rsidP="00FA1926">
    <w:pPr>
      <w:pStyle w:val="Header"/>
      <w:tabs>
        <w:tab w:val="clear" w:pos="9360"/>
        <w:tab w:val="right" w:pos="10260"/>
      </w:tabs>
      <w:ind w:right="-1332"/>
    </w:pPr>
    <w:r>
      <w:t>Connecticut Single-Family Potential Study</w: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52B261F" w14:textId="68D6FA2E" w:rsidR="009027EC" w:rsidRPr="00193853" w:rsidRDefault="009027EC" w:rsidP="00193853">
    <w:pPr>
      <w:pStyle w:val="Header"/>
      <w:tabs>
        <w:tab w:val="clear" w:pos="9360"/>
        <w:tab w:val="right" w:pos="10260"/>
      </w:tabs>
      <w:ind w:right="-1332"/>
    </w:pPr>
    <w:r>
      <w:t>Connecticut Single-Family Potential Study</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904B8"/>
    <w:multiLevelType w:val="hybridMultilevel"/>
    <w:tmpl w:val="572A39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9A3D94"/>
    <w:multiLevelType w:val="hybridMultilevel"/>
    <w:tmpl w:val="5470A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9D5472"/>
    <w:multiLevelType w:val="hybridMultilevel"/>
    <w:tmpl w:val="B3A68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F21158"/>
    <w:multiLevelType w:val="hybridMultilevel"/>
    <w:tmpl w:val="3462FE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295A97"/>
    <w:multiLevelType w:val="hybridMultilevel"/>
    <w:tmpl w:val="4D703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1058A4"/>
    <w:multiLevelType w:val="hybridMultilevel"/>
    <w:tmpl w:val="82823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786F34"/>
    <w:multiLevelType w:val="hybridMultilevel"/>
    <w:tmpl w:val="F1864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825995"/>
    <w:multiLevelType w:val="hybridMultilevel"/>
    <w:tmpl w:val="F7622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6349C2"/>
    <w:multiLevelType w:val="multilevel"/>
    <w:tmpl w:val="545E01F2"/>
    <w:lvl w:ilvl="0">
      <w:start w:val="1"/>
      <w:numFmt w:val="decimal"/>
      <w:lvlText w:val="Section %1"/>
      <w:lvlJc w:val="left"/>
      <w:pPr>
        <w:tabs>
          <w:tab w:val="num" w:pos="576"/>
        </w:tabs>
        <w:ind w:left="72" w:hanging="72"/>
      </w:pPr>
      <w:rPr>
        <w:rFonts w:ascii="Arial Bold" w:hAnsi="Arial Bold" w:hint="default"/>
        <w:b/>
        <w:i w:val="0"/>
      </w:rPr>
    </w:lvl>
    <w:lvl w:ilvl="1">
      <w:start w:val="1"/>
      <w:numFmt w:val="decimal"/>
      <w:pStyle w:val="Heading2"/>
      <w:lvlText w:val="%1.%2"/>
      <w:lvlJc w:val="left"/>
      <w:pPr>
        <w:tabs>
          <w:tab w:val="num" w:pos="720"/>
        </w:tabs>
        <w:ind w:left="576" w:hanging="576"/>
      </w:pPr>
      <w:rPr>
        <w:rFonts w:ascii="Arial Bold" w:hAnsi="Arial Bold" w:hint="default"/>
        <w:b/>
        <w:i w:val="0"/>
      </w:rPr>
    </w:lvl>
    <w:lvl w:ilvl="2">
      <w:start w:val="1"/>
      <w:numFmt w:val="decimal"/>
      <w:pStyle w:val="Heading3"/>
      <w:lvlText w:val="%1.%2.%3"/>
      <w:lvlJc w:val="left"/>
      <w:pPr>
        <w:tabs>
          <w:tab w:val="num" w:pos="864"/>
        </w:tabs>
        <w:ind w:left="720" w:hanging="720"/>
      </w:pPr>
      <w:rPr>
        <w:rFonts w:ascii="Arial Bold" w:hAnsi="Arial Bold" w:hint="default"/>
        <w:b/>
        <w:i w:val="0"/>
      </w:rPr>
    </w:lvl>
    <w:lvl w:ilvl="3">
      <w:start w:val="1"/>
      <w:numFmt w:val="decimal"/>
      <w:pStyle w:val="Heading4"/>
      <w:lvlText w:val="%1.%2.%3.%4"/>
      <w:lvlJc w:val="left"/>
      <w:pPr>
        <w:tabs>
          <w:tab w:val="num" w:pos="1008"/>
        </w:tabs>
        <w:ind w:left="864" w:hanging="864"/>
      </w:pPr>
      <w:rPr>
        <w:rFonts w:ascii="Arial Bold" w:hAnsi="Arial Bold" w:hint="default"/>
        <w:b/>
        <w:i w:val="0"/>
      </w:rPr>
    </w:lvl>
    <w:lvl w:ilvl="4">
      <w:start w:val="1"/>
      <w:numFmt w:val="decimal"/>
      <w:pStyle w:val="Heading5"/>
      <w:lvlText w:val="%1.%2.%3.%4.%5"/>
      <w:lvlJc w:val="left"/>
      <w:pPr>
        <w:tabs>
          <w:tab w:val="num" w:pos="1152"/>
        </w:tabs>
        <w:ind w:left="1008" w:hanging="1008"/>
      </w:pPr>
      <w:rPr>
        <w:rFonts w:ascii="Arial Bold" w:hAnsi="Arial Bold" w:hint="default"/>
        <w:b/>
        <w:i w:val="0"/>
      </w:rPr>
    </w:lvl>
    <w:lvl w:ilvl="5">
      <w:start w:val="1"/>
      <w:numFmt w:val="decimal"/>
      <w:pStyle w:val="Heading6"/>
      <w:lvlText w:val="%1.%2.%3.%4.%5.%6"/>
      <w:lvlJc w:val="left"/>
      <w:pPr>
        <w:tabs>
          <w:tab w:val="num" w:pos="1296"/>
        </w:tabs>
        <w:ind w:left="1152" w:hanging="1152"/>
      </w:pPr>
      <w:rPr>
        <w:rFonts w:ascii="Arial Bold" w:hAnsi="Arial Bold" w:hint="default"/>
        <w:b/>
        <w:i w:val="0"/>
      </w:rPr>
    </w:lvl>
    <w:lvl w:ilvl="6">
      <w:start w:val="1"/>
      <w:numFmt w:val="decimal"/>
      <w:pStyle w:val="Heading7"/>
      <w:lvlText w:val="%1.%2.%3.%4.%5.%6.%7"/>
      <w:lvlJc w:val="left"/>
      <w:pPr>
        <w:tabs>
          <w:tab w:val="num" w:pos="1440"/>
        </w:tabs>
        <w:ind w:left="1296" w:hanging="1296"/>
      </w:pPr>
      <w:rPr>
        <w:rFonts w:ascii="Arial Bold" w:hAnsi="Arial Bold" w:hint="default"/>
        <w:b/>
        <w:i w:val="0"/>
      </w:rPr>
    </w:lvl>
    <w:lvl w:ilvl="7">
      <w:start w:val="1"/>
      <w:numFmt w:val="decimal"/>
      <w:pStyle w:val="Heading8"/>
      <w:lvlText w:val="%1.%2.%3.%4.%5.%6.%7.%8"/>
      <w:lvlJc w:val="left"/>
      <w:pPr>
        <w:tabs>
          <w:tab w:val="num" w:pos="1584"/>
        </w:tabs>
        <w:ind w:left="1440" w:hanging="1440"/>
      </w:pPr>
      <w:rPr>
        <w:rFonts w:ascii="Arial Bold" w:hAnsi="Arial Bold" w:hint="default"/>
        <w:b/>
        <w:i w:val="0"/>
      </w:rPr>
    </w:lvl>
    <w:lvl w:ilvl="8">
      <w:start w:val="1"/>
      <w:numFmt w:val="decimal"/>
      <w:pStyle w:val="Heading9"/>
      <w:lvlText w:val="%1.%2.%3.%4.%5.%6.%7.%8.%9"/>
      <w:lvlJc w:val="left"/>
      <w:pPr>
        <w:tabs>
          <w:tab w:val="num" w:pos="1728"/>
        </w:tabs>
        <w:ind w:left="1584" w:hanging="1584"/>
      </w:pPr>
      <w:rPr>
        <w:rFonts w:ascii="Arial Bold" w:hAnsi="Arial Bold" w:hint="default"/>
        <w:b/>
        <w:i w:val="0"/>
      </w:rPr>
    </w:lvl>
  </w:abstractNum>
  <w:abstractNum w:abstractNumId="9">
    <w:nsid w:val="18911DFC"/>
    <w:multiLevelType w:val="hybridMultilevel"/>
    <w:tmpl w:val="23BE8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066131"/>
    <w:multiLevelType w:val="hybridMultilevel"/>
    <w:tmpl w:val="B4F0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60684A"/>
    <w:multiLevelType w:val="hybridMultilevel"/>
    <w:tmpl w:val="409AC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CE6270"/>
    <w:multiLevelType w:val="hybridMultilevel"/>
    <w:tmpl w:val="4574F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9F5BBE"/>
    <w:multiLevelType w:val="hybridMultilevel"/>
    <w:tmpl w:val="8B84E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A1237C"/>
    <w:multiLevelType w:val="hybridMultilevel"/>
    <w:tmpl w:val="0E8ECB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9782729"/>
    <w:multiLevelType w:val="hybridMultilevel"/>
    <w:tmpl w:val="056C6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785AF3"/>
    <w:multiLevelType w:val="hybridMultilevel"/>
    <w:tmpl w:val="E2B4C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C320DE"/>
    <w:multiLevelType w:val="multilevel"/>
    <w:tmpl w:val="04090025"/>
    <w:styleLink w:val="Style1"/>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38F67B3C"/>
    <w:multiLevelType w:val="hybridMultilevel"/>
    <w:tmpl w:val="E5849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F515B9"/>
    <w:multiLevelType w:val="hybridMultilevel"/>
    <w:tmpl w:val="253CBB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3B6063"/>
    <w:multiLevelType w:val="hybridMultilevel"/>
    <w:tmpl w:val="B7826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224C36"/>
    <w:multiLevelType w:val="hybridMultilevel"/>
    <w:tmpl w:val="02721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CD3524"/>
    <w:multiLevelType w:val="hybridMultilevel"/>
    <w:tmpl w:val="E7E24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646507"/>
    <w:multiLevelType w:val="hybridMultilevel"/>
    <w:tmpl w:val="2990E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743D9A"/>
    <w:multiLevelType w:val="hybridMultilevel"/>
    <w:tmpl w:val="FDCAE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C64287"/>
    <w:multiLevelType w:val="hybridMultilevel"/>
    <w:tmpl w:val="D7709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86A3206"/>
    <w:multiLevelType w:val="hybridMultilevel"/>
    <w:tmpl w:val="7884F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BF6F0E"/>
    <w:multiLevelType w:val="hybridMultilevel"/>
    <w:tmpl w:val="7C1EE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A357803"/>
    <w:multiLevelType w:val="hybridMultilevel"/>
    <w:tmpl w:val="D8D2A8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AD6BC2"/>
    <w:multiLevelType w:val="hybridMultilevel"/>
    <w:tmpl w:val="96942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850CBA"/>
    <w:multiLevelType w:val="hybridMultilevel"/>
    <w:tmpl w:val="B818E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16E0B0E"/>
    <w:multiLevelType w:val="hybridMultilevel"/>
    <w:tmpl w:val="995CDE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8F25B8"/>
    <w:multiLevelType w:val="hybridMultilevel"/>
    <w:tmpl w:val="8C422F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FA1579"/>
    <w:multiLevelType w:val="multilevel"/>
    <w:tmpl w:val="DF5EA2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6942612F"/>
    <w:multiLevelType w:val="hybridMultilevel"/>
    <w:tmpl w:val="047E8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C36344A"/>
    <w:multiLevelType w:val="hybridMultilevel"/>
    <w:tmpl w:val="7E90D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C640017"/>
    <w:multiLevelType w:val="hybridMultilevel"/>
    <w:tmpl w:val="4F6C7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DDF5615"/>
    <w:multiLevelType w:val="multilevel"/>
    <w:tmpl w:val="599620DE"/>
    <w:lvl w:ilvl="0">
      <w:start w:val="1"/>
      <w:numFmt w:val="upperLetter"/>
      <w:pStyle w:val="ApHeading1"/>
      <w:lvlText w:val="Appendix %1"/>
      <w:lvlJc w:val="left"/>
      <w:pPr>
        <w:ind w:left="360" w:hanging="360"/>
      </w:pPr>
      <w:rPr>
        <w:rFonts w:ascii="Arial" w:hAnsi="Arial" w:cs="Arial" w:hint="default"/>
        <w:b/>
        <w:bCs w:val="0"/>
        <w:i w:val="0"/>
        <w:iCs w:val="0"/>
        <w:caps w:val="0"/>
        <w:smallCaps w:val="0"/>
        <w:strike w:val="0"/>
        <w:dstrike w:val="0"/>
        <w:noProof w:val="0"/>
        <w:snapToGrid w:val="0"/>
        <w:vanish w:val="0"/>
        <w:color w:val="0F673B"/>
        <w:spacing w:val="0"/>
        <w:w w:val="0"/>
        <w:kern w:val="0"/>
        <w:position w:val="0"/>
        <w:szCs w:val="0"/>
        <w:u w:val="none"/>
        <w:vertAlign w:val="baseline"/>
        <w:em w:val="none"/>
      </w:rPr>
    </w:lvl>
    <w:lvl w:ilvl="1">
      <w:start w:val="1"/>
      <w:numFmt w:val="decimal"/>
      <w:pStyle w:val="ApHeading2"/>
      <w:lvlText w:val="%1.%2"/>
      <w:lvlJc w:val="left"/>
      <w:pPr>
        <w:ind w:left="360" w:hanging="360"/>
      </w:pPr>
      <w:rPr>
        <w:rFonts w:ascii="Arial" w:hAnsi="Arial" w:cs="Arial" w:hint="default"/>
        <w:b/>
        <w:bCs w:val="0"/>
        <w:i w:val="0"/>
        <w:iCs w:val="0"/>
        <w:caps w:val="0"/>
        <w:smallCaps w:val="0"/>
        <w:strike w:val="0"/>
        <w:dstrike w:val="0"/>
        <w:noProof w:val="0"/>
        <w:snapToGrid w:val="0"/>
        <w:vanish w:val="0"/>
        <w:color w:val="0F673B"/>
        <w:spacing w:val="0"/>
        <w:w w:val="0"/>
        <w:kern w:val="0"/>
        <w:position w:val="0"/>
        <w:szCs w:val="0"/>
        <w:u w:val="none"/>
        <w:vertAlign w:val="baseline"/>
        <w:em w:val="none"/>
      </w:rPr>
    </w:lvl>
    <w:lvl w:ilvl="2">
      <w:start w:val="1"/>
      <w:numFmt w:val="decimal"/>
      <w:pStyle w:val="ApHeading3"/>
      <w:lvlText w:val="%1.%2.%3"/>
      <w:lvlJc w:val="left"/>
      <w:pPr>
        <w:ind w:left="360" w:hanging="360"/>
      </w:pPr>
      <w:rPr>
        <w:rFonts w:ascii="Arial" w:hAnsi="Arial" w:hint="default"/>
        <w:b/>
        <w:i w:val="0"/>
        <w:sz w:val="24"/>
      </w:rPr>
    </w:lvl>
    <w:lvl w:ilvl="3">
      <w:start w:val="1"/>
      <w:numFmt w:val="decimal"/>
      <w:pStyle w:val="ApHeading4"/>
      <w:lvlText w:val="%1.%2.%3.%4"/>
      <w:lvlJc w:val="left"/>
      <w:pPr>
        <w:ind w:left="1080" w:hanging="274"/>
      </w:pPr>
      <w:rPr>
        <w:rFonts w:ascii="Cambria" w:hAnsi="Cambria" w:hint="default"/>
        <w:b/>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77E26E5F"/>
    <w:multiLevelType w:val="hybridMultilevel"/>
    <w:tmpl w:val="DFDC8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9F50B07"/>
    <w:multiLevelType w:val="hybridMultilevel"/>
    <w:tmpl w:val="77A0A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AD33EE7"/>
    <w:multiLevelType w:val="hybridMultilevel"/>
    <w:tmpl w:val="30F22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BEF64FB"/>
    <w:multiLevelType w:val="hybridMultilevel"/>
    <w:tmpl w:val="47DAF9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DB731E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7"/>
  </w:num>
  <w:num w:numId="2">
    <w:abstractNumId w:val="37"/>
  </w:num>
  <w:num w:numId="3">
    <w:abstractNumId w:val="8"/>
  </w:num>
  <w:num w:numId="4">
    <w:abstractNumId w:val="13"/>
  </w:num>
  <w:num w:numId="5">
    <w:abstractNumId w:val="26"/>
  </w:num>
  <w:num w:numId="6">
    <w:abstractNumId w:val="19"/>
  </w:num>
  <w:num w:numId="7">
    <w:abstractNumId w:val="11"/>
  </w:num>
  <w:num w:numId="8">
    <w:abstractNumId w:val="40"/>
  </w:num>
  <w:num w:numId="9">
    <w:abstractNumId w:val="35"/>
  </w:num>
  <w:num w:numId="10">
    <w:abstractNumId w:val="42"/>
  </w:num>
  <w:num w:numId="11">
    <w:abstractNumId w:val="27"/>
  </w:num>
  <w:num w:numId="12">
    <w:abstractNumId w:val="7"/>
  </w:num>
  <w:num w:numId="13">
    <w:abstractNumId w:val="29"/>
  </w:num>
  <w:num w:numId="14">
    <w:abstractNumId w:val="39"/>
  </w:num>
  <w:num w:numId="15">
    <w:abstractNumId w:val="41"/>
  </w:num>
  <w:num w:numId="16">
    <w:abstractNumId w:val="30"/>
  </w:num>
  <w:num w:numId="17">
    <w:abstractNumId w:val="36"/>
  </w:num>
  <w:num w:numId="18">
    <w:abstractNumId w:val="5"/>
  </w:num>
  <w:num w:numId="19">
    <w:abstractNumId w:val="32"/>
  </w:num>
  <w:num w:numId="20">
    <w:abstractNumId w:val="24"/>
  </w:num>
  <w:num w:numId="21">
    <w:abstractNumId w:val="10"/>
  </w:num>
  <w:num w:numId="22">
    <w:abstractNumId w:val="34"/>
  </w:num>
  <w:num w:numId="23">
    <w:abstractNumId w:val="4"/>
  </w:num>
  <w:num w:numId="24">
    <w:abstractNumId w:val="20"/>
  </w:num>
  <w:num w:numId="25">
    <w:abstractNumId w:val="28"/>
  </w:num>
  <w:num w:numId="26">
    <w:abstractNumId w:val="22"/>
  </w:num>
  <w:num w:numId="27">
    <w:abstractNumId w:val="25"/>
  </w:num>
  <w:num w:numId="28">
    <w:abstractNumId w:val="1"/>
  </w:num>
  <w:num w:numId="29">
    <w:abstractNumId w:val="0"/>
  </w:num>
  <w:num w:numId="30">
    <w:abstractNumId w:val="16"/>
  </w:num>
  <w:num w:numId="31">
    <w:abstractNumId w:val="38"/>
  </w:num>
  <w:num w:numId="32">
    <w:abstractNumId w:val="23"/>
  </w:num>
  <w:num w:numId="33">
    <w:abstractNumId w:val="9"/>
  </w:num>
  <w:num w:numId="34">
    <w:abstractNumId w:val="12"/>
  </w:num>
  <w:num w:numId="35">
    <w:abstractNumId w:val="31"/>
  </w:num>
  <w:num w:numId="36">
    <w:abstractNumId w:val="6"/>
  </w:num>
  <w:num w:numId="37">
    <w:abstractNumId w:val="3"/>
  </w:num>
  <w:num w:numId="38">
    <w:abstractNumId w:val="18"/>
  </w:num>
  <w:num w:numId="39">
    <w:abstractNumId w:val="14"/>
  </w:num>
  <w:num w:numId="40">
    <w:abstractNumId w:val="15"/>
  </w:num>
  <w:num w:numId="41">
    <w:abstractNumId w:val="21"/>
  </w:num>
  <w:num w:numId="42">
    <w:abstractNumId w:val="33"/>
  </w:num>
  <w:num w:numId="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FAF"/>
    <w:rsid w:val="00000981"/>
    <w:rsid w:val="000030C8"/>
    <w:rsid w:val="000040DC"/>
    <w:rsid w:val="00007116"/>
    <w:rsid w:val="0000780C"/>
    <w:rsid w:val="000112E8"/>
    <w:rsid w:val="00012A1E"/>
    <w:rsid w:val="0001396E"/>
    <w:rsid w:val="00013D0B"/>
    <w:rsid w:val="00014ECD"/>
    <w:rsid w:val="00017F33"/>
    <w:rsid w:val="000200D9"/>
    <w:rsid w:val="0002191B"/>
    <w:rsid w:val="00021DF8"/>
    <w:rsid w:val="000237CF"/>
    <w:rsid w:val="00025352"/>
    <w:rsid w:val="0002584A"/>
    <w:rsid w:val="00025BE5"/>
    <w:rsid w:val="000261B3"/>
    <w:rsid w:val="0002686F"/>
    <w:rsid w:val="000270F6"/>
    <w:rsid w:val="00030655"/>
    <w:rsid w:val="000310CB"/>
    <w:rsid w:val="00031CF8"/>
    <w:rsid w:val="000322AD"/>
    <w:rsid w:val="00035D81"/>
    <w:rsid w:val="00037763"/>
    <w:rsid w:val="00040216"/>
    <w:rsid w:val="00040DF8"/>
    <w:rsid w:val="00041825"/>
    <w:rsid w:val="000422F7"/>
    <w:rsid w:val="00042765"/>
    <w:rsid w:val="000445E4"/>
    <w:rsid w:val="00044B4C"/>
    <w:rsid w:val="0004622D"/>
    <w:rsid w:val="00050477"/>
    <w:rsid w:val="00053E30"/>
    <w:rsid w:val="00055611"/>
    <w:rsid w:val="00055C47"/>
    <w:rsid w:val="0005778F"/>
    <w:rsid w:val="00066160"/>
    <w:rsid w:val="00072A7F"/>
    <w:rsid w:val="00077883"/>
    <w:rsid w:val="000826C9"/>
    <w:rsid w:val="00083E94"/>
    <w:rsid w:val="0008465C"/>
    <w:rsid w:val="000852E8"/>
    <w:rsid w:val="00087A1F"/>
    <w:rsid w:val="0009064B"/>
    <w:rsid w:val="0009084E"/>
    <w:rsid w:val="00091203"/>
    <w:rsid w:val="000913A8"/>
    <w:rsid w:val="00091614"/>
    <w:rsid w:val="00092930"/>
    <w:rsid w:val="000A1546"/>
    <w:rsid w:val="000A33C0"/>
    <w:rsid w:val="000A5AE7"/>
    <w:rsid w:val="000A66F0"/>
    <w:rsid w:val="000A70AA"/>
    <w:rsid w:val="000B0EC3"/>
    <w:rsid w:val="000B1450"/>
    <w:rsid w:val="000B265E"/>
    <w:rsid w:val="000B3EA9"/>
    <w:rsid w:val="000B4CAD"/>
    <w:rsid w:val="000B574A"/>
    <w:rsid w:val="000B5C11"/>
    <w:rsid w:val="000B6128"/>
    <w:rsid w:val="000B73D1"/>
    <w:rsid w:val="000B7A08"/>
    <w:rsid w:val="000C08F6"/>
    <w:rsid w:val="000C14CE"/>
    <w:rsid w:val="000C2ACD"/>
    <w:rsid w:val="000C2FFE"/>
    <w:rsid w:val="000C30E1"/>
    <w:rsid w:val="000C5F1E"/>
    <w:rsid w:val="000C78A4"/>
    <w:rsid w:val="000D4DC7"/>
    <w:rsid w:val="000D5CD0"/>
    <w:rsid w:val="000D6470"/>
    <w:rsid w:val="000D7FF3"/>
    <w:rsid w:val="000E102F"/>
    <w:rsid w:val="000E3ABD"/>
    <w:rsid w:val="000E51BC"/>
    <w:rsid w:val="000F0579"/>
    <w:rsid w:val="000F4BE6"/>
    <w:rsid w:val="000F4D91"/>
    <w:rsid w:val="000F5ED7"/>
    <w:rsid w:val="000F65CE"/>
    <w:rsid w:val="000F712B"/>
    <w:rsid w:val="00100AE7"/>
    <w:rsid w:val="0010137C"/>
    <w:rsid w:val="0010210B"/>
    <w:rsid w:val="00102419"/>
    <w:rsid w:val="0010461B"/>
    <w:rsid w:val="001048F5"/>
    <w:rsid w:val="00104A3C"/>
    <w:rsid w:val="0011144D"/>
    <w:rsid w:val="00112069"/>
    <w:rsid w:val="00113086"/>
    <w:rsid w:val="001154C8"/>
    <w:rsid w:val="001166D1"/>
    <w:rsid w:val="00121A39"/>
    <w:rsid w:val="00124823"/>
    <w:rsid w:val="00125AEC"/>
    <w:rsid w:val="00125B98"/>
    <w:rsid w:val="00127A55"/>
    <w:rsid w:val="00131A8F"/>
    <w:rsid w:val="00133F28"/>
    <w:rsid w:val="001362A8"/>
    <w:rsid w:val="0013707A"/>
    <w:rsid w:val="00137430"/>
    <w:rsid w:val="00137F49"/>
    <w:rsid w:val="001400E4"/>
    <w:rsid w:val="001400E6"/>
    <w:rsid w:val="0014207C"/>
    <w:rsid w:val="00142400"/>
    <w:rsid w:val="00142EBB"/>
    <w:rsid w:val="00144E33"/>
    <w:rsid w:val="001459C9"/>
    <w:rsid w:val="001500F0"/>
    <w:rsid w:val="0015107F"/>
    <w:rsid w:val="001549DF"/>
    <w:rsid w:val="00155E0A"/>
    <w:rsid w:val="00163561"/>
    <w:rsid w:val="00165E55"/>
    <w:rsid w:val="00166A5D"/>
    <w:rsid w:val="00171624"/>
    <w:rsid w:val="001729DF"/>
    <w:rsid w:val="00173155"/>
    <w:rsid w:val="00177F58"/>
    <w:rsid w:val="00181DB3"/>
    <w:rsid w:val="00184C45"/>
    <w:rsid w:val="00186911"/>
    <w:rsid w:val="001869B7"/>
    <w:rsid w:val="00190653"/>
    <w:rsid w:val="00191D1C"/>
    <w:rsid w:val="00192287"/>
    <w:rsid w:val="00192861"/>
    <w:rsid w:val="00192BA6"/>
    <w:rsid w:val="00193853"/>
    <w:rsid w:val="00194638"/>
    <w:rsid w:val="001948C3"/>
    <w:rsid w:val="0019527F"/>
    <w:rsid w:val="001A153A"/>
    <w:rsid w:val="001A26D0"/>
    <w:rsid w:val="001A5F93"/>
    <w:rsid w:val="001A6F8C"/>
    <w:rsid w:val="001A74CA"/>
    <w:rsid w:val="001B0C18"/>
    <w:rsid w:val="001B22F1"/>
    <w:rsid w:val="001B2C4C"/>
    <w:rsid w:val="001B3438"/>
    <w:rsid w:val="001B41FE"/>
    <w:rsid w:val="001B4D56"/>
    <w:rsid w:val="001B4F88"/>
    <w:rsid w:val="001B6A66"/>
    <w:rsid w:val="001B7DC1"/>
    <w:rsid w:val="001C0808"/>
    <w:rsid w:val="001C2536"/>
    <w:rsid w:val="001C4D28"/>
    <w:rsid w:val="001C72DE"/>
    <w:rsid w:val="001C779B"/>
    <w:rsid w:val="001C7B4F"/>
    <w:rsid w:val="001D0CF7"/>
    <w:rsid w:val="001D11CA"/>
    <w:rsid w:val="001D1DEB"/>
    <w:rsid w:val="001D33FD"/>
    <w:rsid w:val="001D343F"/>
    <w:rsid w:val="001E103D"/>
    <w:rsid w:val="001E3129"/>
    <w:rsid w:val="001E6279"/>
    <w:rsid w:val="001F03B5"/>
    <w:rsid w:val="001F04E3"/>
    <w:rsid w:val="001F1301"/>
    <w:rsid w:val="001F141B"/>
    <w:rsid w:val="001F285C"/>
    <w:rsid w:val="001F3DEA"/>
    <w:rsid w:val="001F57E5"/>
    <w:rsid w:val="001F6C3F"/>
    <w:rsid w:val="001F7334"/>
    <w:rsid w:val="002010B3"/>
    <w:rsid w:val="00202BAB"/>
    <w:rsid w:val="0020376E"/>
    <w:rsid w:val="0020462D"/>
    <w:rsid w:val="002050E3"/>
    <w:rsid w:val="002136F0"/>
    <w:rsid w:val="0021635F"/>
    <w:rsid w:val="00216494"/>
    <w:rsid w:val="00216515"/>
    <w:rsid w:val="0021772A"/>
    <w:rsid w:val="002200DF"/>
    <w:rsid w:val="002206A3"/>
    <w:rsid w:val="002226FB"/>
    <w:rsid w:val="00223963"/>
    <w:rsid w:val="002254A6"/>
    <w:rsid w:val="00231AE4"/>
    <w:rsid w:val="00233FB3"/>
    <w:rsid w:val="00234F00"/>
    <w:rsid w:val="0023664A"/>
    <w:rsid w:val="0023777E"/>
    <w:rsid w:val="00241A80"/>
    <w:rsid w:val="00242E7E"/>
    <w:rsid w:val="0024422D"/>
    <w:rsid w:val="00244371"/>
    <w:rsid w:val="00246FCD"/>
    <w:rsid w:val="00247720"/>
    <w:rsid w:val="0025056A"/>
    <w:rsid w:val="0025075C"/>
    <w:rsid w:val="00251E36"/>
    <w:rsid w:val="0025245A"/>
    <w:rsid w:val="00252BE6"/>
    <w:rsid w:val="00252FE7"/>
    <w:rsid w:val="002536CE"/>
    <w:rsid w:val="0025384E"/>
    <w:rsid w:val="00253A39"/>
    <w:rsid w:val="002544E5"/>
    <w:rsid w:val="002548DB"/>
    <w:rsid w:val="002557BE"/>
    <w:rsid w:val="002575E1"/>
    <w:rsid w:val="00260070"/>
    <w:rsid w:val="00264A9E"/>
    <w:rsid w:val="0026689F"/>
    <w:rsid w:val="00282FB3"/>
    <w:rsid w:val="002853E7"/>
    <w:rsid w:val="00286D9B"/>
    <w:rsid w:val="0029206E"/>
    <w:rsid w:val="00292954"/>
    <w:rsid w:val="00293363"/>
    <w:rsid w:val="00294F7A"/>
    <w:rsid w:val="002951BF"/>
    <w:rsid w:val="0029673A"/>
    <w:rsid w:val="0029749E"/>
    <w:rsid w:val="00297B7C"/>
    <w:rsid w:val="002A0333"/>
    <w:rsid w:val="002A175C"/>
    <w:rsid w:val="002A1931"/>
    <w:rsid w:val="002A230E"/>
    <w:rsid w:val="002A305A"/>
    <w:rsid w:val="002A39E1"/>
    <w:rsid w:val="002A5155"/>
    <w:rsid w:val="002B0484"/>
    <w:rsid w:val="002B0777"/>
    <w:rsid w:val="002B0C53"/>
    <w:rsid w:val="002B126E"/>
    <w:rsid w:val="002B3509"/>
    <w:rsid w:val="002B370B"/>
    <w:rsid w:val="002B3844"/>
    <w:rsid w:val="002B3FA5"/>
    <w:rsid w:val="002B6EC8"/>
    <w:rsid w:val="002C266B"/>
    <w:rsid w:val="002C36DB"/>
    <w:rsid w:val="002C42F9"/>
    <w:rsid w:val="002C484D"/>
    <w:rsid w:val="002C4A19"/>
    <w:rsid w:val="002C62F3"/>
    <w:rsid w:val="002C65B9"/>
    <w:rsid w:val="002C6762"/>
    <w:rsid w:val="002D1460"/>
    <w:rsid w:val="002D1B9C"/>
    <w:rsid w:val="002D26D9"/>
    <w:rsid w:val="002D5FE0"/>
    <w:rsid w:val="002E2061"/>
    <w:rsid w:val="002E2A90"/>
    <w:rsid w:val="002E6423"/>
    <w:rsid w:val="002E6C24"/>
    <w:rsid w:val="002F0665"/>
    <w:rsid w:val="002F24E7"/>
    <w:rsid w:val="002F31B1"/>
    <w:rsid w:val="002F73BA"/>
    <w:rsid w:val="002F7855"/>
    <w:rsid w:val="0030261F"/>
    <w:rsid w:val="00302676"/>
    <w:rsid w:val="003030CE"/>
    <w:rsid w:val="00303AE1"/>
    <w:rsid w:val="003045D5"/>
    <w:rsid w:val="003051C0"/>
    <w:rsid w:val="0030563A"/>
    <w:rsid w:val="00307437"/>
    <w:rsid w:val="00310767"/>
    <w:rsid w:val="00312560"/>
    <w:rsid w:val="003135F8"/>
    <w:rsid w:val="00313E15"/>
    <w:rsid w:val="003144CD"/>
    <w:rsid w:val="003147B4"/>
    <w:rsid w:val="00316320"/>
    <w:rsid w:val="00316369"/>
    <w:rsid w:val="00320275"/>
    <w:rsid w:val="003213C3"/>
    <w:rsid w:val="0032169E"/>
    <w:rsid w:val="003224D7"/>
    <w:rsid w:val="00324893"/>
    <w:rsid w:val="0032538E"/>
    <w:rsid w:val="003259D0"/>
    <w:rsid w:val="0033580A"/>
    <w:rsid w:val="00336183"/>
    <w:rsid w:val="0033645C"/>
    <w:rsid w:val="00340BA2"/>
    <w:rsid w:val="00341358"/>
    <w:rsid w:val="00342783"/>
    <w:rsid w:val="003447AA"/>
    <w:rsid w:val="00346A82"/>
    <w:rsid w:val="00346BEF"/>
    <w:rsid w:val="0034731A"/>
    <w:rsid w:val="00347C1E"/>
    <w:rsid w:val="0035060D"/>
    <w:rsid w:val="00350681"/>
    <w:rsid w:val="0035209C"/>
    <w:rsid w:val="00353A75"/>
    <w:rsid w:val="00354297"/>
    <w:rsid w:val="00356947"/>
    <w:rsid w:val="00357C99"/>
    <w:rsid w:val="003629EA"/>
    <w:rsid w:val="00365011"/>
    <w:rsid w:val="00365C09"/>
    <w:rsid w:val="00365ECB"/>
    <w:rsid w:val="00366299"/>
    <w:rsid w:val="0037589E"/>
    <w:rsid w:val="00375C45"/>
    <w:rsid w:val="00376022"/>
    <w:rsid w:val="00376AC3"/>
    <w:rsid w:val="00380843"/>
    <w:rsid w:val="00381A48"/>
    <w:rsid w:val="00382DF4"/>
    <w:rsid w:val="00392660"/>
    <w:rsid w:val="00393597"/>
    <w:rsid w:val="00394983"/>
    <w:rsid w:val="003951DE"/>
    <w:rsid w:val="003A0BAD"/>
    <w:rsid w:val="003A2BB1"/>
    <w:rsid w:val="003A30BC"/>
    <w:rsid w:val="003A3905"/>
    <w:rsid w:val="003A6CD9"/>
    <w:rsid w:val="003B04C9"/>
    <w:rsid w:val="003B1DEC"/>
    <w:rsid w:val="003B3698"/>
    <w:rsid w:val="003B4970"/>
    <w:rsid w:val="003B615E"/>
    <w:rsid w:val="003B6D65"/>
    <w:rsid w:val="003C3879"/>
    <w:rsid w:val="003C56EF"/>
    <w:rsid w:val="003C5BE8"/>
    <w:rsid w:val="003C6BFD"/>
    <w:rsid w:val="003C732B"/>
    <w:rsid w:val="003C743D"/>
    <w:rsid w:val="003D035D"/>
    <w:rsid w:val="003D1D73"/>
    <w:rsid w:val="003D4DB3"/>
    <w:rsid w:val="003D79D2"/>
    <w:rsid w:val="003D7F1C"/>
    <w:rsid w:val="003E0A56"/>
    <w:rsid w:val="003E0E0C"/>
    <w:rsid w:val="003E3087"/>
    <w:rsid w:val="003E529A"/>
    <w:rsid w:val="003E5851"/>
    <w:rsid w:val="003E6241"/>
    <w:rsid w:val="003E662E"/>
    <w:rsid w:val="003F0430"/>
    <w:rsid w:val="003F19B8"/>
    <w:rsid w:val="003F61C2"/>
    <w:rsid w:val="003F7FDF"/>
    <w:rsid w:val="00402788"/>
    <w:rsid w:val="00402C23"/>
    <w:rsid w:val="00405027"/>
    <w:rsid w:val="004052BB"/>
    <w:rsid w:val="004135E1"/>
    <w:rsid w:val="00414261"/>
    <w:rsid w:val="00414CEF"/>
    <w:rsid w:val="00416539"/>
    <w:rsid w:val="00416596"/>
    <w:rsid w:val="00417E93"/>
    <w:rsid w:val="00420BB7"/>
    <w:rsid w:val="004216B8"/>
    <w:rsid w:val="00422338"/>
    <w:rsid w:val="00422999"/>
    <w:rsid w:val="00422B15"/>
    <w:rsid w:val="00422C41"/>
    <w:rsid w:val="00423E59"/>
    <w:rsid w:val="00425D72"/>
    <w:rsid w:val="00425FF2"/>
    <w:rsid w:val="00426229"/>
    <w:rsid w:val="00430A59"/>
    <w:rsid w:val="00431DEA"/>
    <w:rsid w:val="004336BD"/>
    <w:rsid w:val="00435433"/>
    <w:rsid w:val="00435A4D"/>
    <w:rsid w:val="00436707"/>
    <w:rsid w:val="0044249F"/>
    <w:rsid w:val="00444188"/>
    <w:rsid w:val="00445BB4"/>
    <w:rsid w:val="00446A58"/>
    <w:rsid w:val="00447A0C"/>
    <w:rsid w:val="00451372"/>
    <w:rsid w:val="004523B2"/>
    <w:rsid w:val="00456AA4"/>
    <w:rsid w:val="004606C5"/>
    <w:rsid w:val="00460851"/>
    <w:rsid w:val="00461899"/>
    <w:rsid w:val="0046328D"/>
    <w:rsid w:val="004650BD"/>
    <w:rsid w:val="0046579C"/>
    <w:rsid w:val="00466267"/>
    <w:rsid w:val="00470152"/>
    <w:rsid w:val="004708F0"/>
    <w:rsid w:val="0047159E"/>
    <w:rsid w:val="00474F1A"/>
    <w:rsid w:val="00475845"/>
    <w:rsid w:val="00475AD4"/>
    <w:rsid w:val="00476405"/>
    <w:rsid w:val="00483793"/>
    <w:rsid w:val="00484B5C"/>
    <w:rsid w:val="00484FA1"/>
    <w:rsid w:val="004853DB"/>
    <w:rsid w:val="00486CAE"/>
    <w:rsid w:val="00490103"/>
    <w:rsid w:val="00494699"/>
    <w:rsid w:val="00494E5E"/>
    <w:rsid w:val="0049522F"/>
    <w:rsid w:val="0049576A"/>
    <w:rsid w:val="004958A1"/>
    <w:rsid w:val="0049596C"/>
    <w:rsid w:val="00495BF2"/>
    <w:rsid w:val="00497630"/>
    <w:rsid w:val="004A03E7"/>
    <w:rsid w:val="004A1213"/>
    <w:rsid w:val="004A27CF"/>
    <w:rsid w:val="004A55B2"/>
    <w:rsid w:val="004A645C"/>
    <w:rsid w:val="004A67D9"/>
    <w:rsid w:val="004B2692"/>
    <w:rsid w:val="004B30CE"/>
    <w:rsid w:val="004B34DF"/>
    <w:rsid w:val="004B3768"/>
    <w:rsid w:val="004B6CAE"/>
    <w:rsid w:val="004B753B"/>
    <w:rsid w:val="004C045A"/>
    <w:rsid w:val="004C0D9F"/>
    <w:rsid w:val="004C241A"/>
    <w:rsid w:val="004C2430"/>
    <w:rsid w:val="004C37F5"/>
    <w:rsid w:val="004C3D75"/>
    <w:rsid w:val="004C4F13"/>
    <w:rsid w:val="004C6F72"/>
    <w:rsid w:val="004C7C41"/>
    <w:rsid w:val="004C7F5F"/>
    <w:rsid w:val="004D14A3"/>
    <w:rsid w:val="004D16C2"/>
    <w:rsid w:val="004D1EFB"/>
    <w:rsid w:val="004D3467"/>
    <w:rsid w:val="004D44C7"/>
    <w:rsid w:val="004D47CF"/>
    <w:rsid w:val="004E1733"/>
    <w:rsid w:val="004E2424"/>
    <w:rsid w:val="004E399C"/>
    <w:rsid w:val="004E62F1"/>
    <w:rsid w:val="004E6EDF"/>
    <w:rsid w:val="004F0718"/>
    <w:rsid w:val="004F0A3E"/>
    <w:rsid w:val="004F1222"/>
    <w:rsid w:val="004F1E0B"/>
    <w:rsid w:val="004F1EBF"/>
    <w:rsid w:val="004F23CF"/>
    <w:rsid w:val="004F34DA"/>
    <w:rsid w:val="004F36AC"/>
    <w:rsid w:val="004F6B8E"/>
    <w:rsid w:val="004F7CBB"/>
    <w:rsid w:val="00501AE4"/>
    <w:rsid w:val="00501B62"/>
    <w:rsid w:val="00503E5F"/>
    <w:rsid w:val="00503EAD"/>
    <w:rsid w:val="00504519"/>
    <w:rsid w:val="00506409"/>
    <w:rsid w:val="00507B6A"/>
    <w:rsid w:val="00507FAC"/>
    <w:rsid w:val="005105A2"/>
    <w:rsid w:val="00514295"/>
    <w:rsid w:val="00515161"/>
    <w:rsid w:val="0051532D"/>
    <w:rsid w:val="00515D04"/>
    <w:rsid w:val="005167DF"/>
    <w:rsid w:val="0051712C"/>
    <w:rsid w:val="00517A6A"/>
    <w:rsid w:val="00517FC3"/>
    <w:rsid w:val="00521B28"/>
    <w:rsid w:val="00521F25"/>
    <w:rsid w:val="00522A1F"/>
    <w:rsid w:val="0052661B"/>
    <w:rsid w:val="00532602"/>
    <w:rsid w:val="00533242"/>
    <w:rsid w:val="005355D3"/>
    <w:rsid w:val="00535BF1"/>
    <w:rsid w:val="00537F2E"/>
    <w:rsid w:val="005414A1"/>
    <w:rsid w:val="005418E0"/>
    <w:rsid w:val="00541A8E"/>
    <w:rsid w:val="00542737"/>
    <w:rsid w:val="00542AF8"/>
    <w:rsid w:val="00543804"/>
    <w:rsid w:val="005444E9"/>
    <w:rsid w:val="005451A5"/>
    <w:rsid w:val="00545A0F"/>
    <w:rsid w:val="00551B81"/>
    <w:rsid w:val="0055295A"/>
    <w:rsid w:val="00552D55"/>
    <w:rsid w:val="00552F0A"/>
    <w:rsid w:val="00553DED"/>
    <w:rsid w:val="00556A38"/>
    <w:rsid w:val="005570F4"/>
    <w:rsid w:val="00561578"/>
    <w:rsid w:val="005619A0"/>
    <w:rsid w:val="005632ED"/>
    <w:rsid w:val="00564D62"/>
    <w:rsid w:val="00571F19"/>
    <w:rsid w:val="005724A1"/>
    <w:rsid w:val="00572BA6"/>
    <w:rsid w:val="00572EC0"/>
    <w:rsid w:val="00576519"/>
    <w:rsid w:val="0057796B"/>
    <w:rsid w:val="005806FC"/>
    <w:rsid w:val="0058093F"/>
    <w:rsid w:val="005840FF"/>
    <w:rsid w:val="00597324"/>
    <w:rsid w:val="005A082A"/>
    <w:rsid w:val="005A095F"/>
    <w:rsid w:val="005A223A"/>
    <w:rsid w:val="005A3A3F"/>
    <w:rsid w:val="005A4856"/>
    <w:rsid w:val="005A5D05"/>
    <w:rsid w:val="005A7B6C"/>
    <w:rsid w:val="005A7DE6"/>
    <w:rsid w:val="005B33A9"/>
    <w:rsid w:val="005B3ED2"/>
    <w:rsid w:val="005C1774"/>
    <w:rsid w:val="005C363C"/>
    <w:rsid w:val="005C5258"/>
    <w:rsid w:val="005C5795"/>
    <w:rsid w:val="005C6099"/>
    <w:rsid w:val="005C7071"/>
    <w:rsid w:val="005C77A9"/>
    <w:rsid w:val="005D0389"/>
    <w:rsid w:val="005D4D55"/>
    <w:rsid w:val="005D6FBB"/>
    <w:rsid w:val="005E17EB"/>
    <w:rsid w:val="005E1807"/>
    <w:rsid w:val="005E26A3"/>
    <w:rsid w:val="005E7FC2"/>
    <w:rsid w:val="005F085D"/>
    <w:rsid w:val="005F1BE1"/>
    <w:rsid w:val="005F1E70"/>
    <w:rsid w:val="005F249F"/>
    <w:rsid w:val="005F4805"/>
    <w:rsid w:val="005F6888"/>
    <w:rsid w:val="005F6E41"/>
    <w:rsid w:val="005F7FF9"/>
    <w:rsid w:val="0060566C"/>
    <w:rsid w:val="00607940"/>
    <w:rsid w:val="00607B1E"/>
    <w:rsid w:val="006108C6"/>
    <w:rsid w:val="00611E90"/>
    <w:rsid w:val="00612AF4"/>
    <w:rsid w:val="00612D3F"/>
    <w:rsid w:val="00612E9E"/>
    <w:rsid w:val="00615A10"/>
    <w:rsid w:val="00615CBA"/>
    <w:rsid w:val="00620921"/>
    <w:rsid w:val="00623459"/>
    <w:rsid w:val="00623461"/>
    <w:rsid w:val="00623E6E"/>
    <w:rsid w:val="00623F2D"/>
    <w:rsid w:val="00625E2A"/>
    <w:rsid w:val="0062659F"/>
    <w:rsid w:val="0063216E"/>
    <w:rsid w:val="00632AD7"/>
    <w:rsid w:val="00633254"/>
    <w:rsid w:val="0063353A"/>
    <w:rsid w:val="006359A8"/>
    <w:rsid w:val="00637469"/>
    <w:rsid w:val="006378F9"/>
    <w:rsid w:val="00641D92"/>
    <w:rsid w:val="006431E2"/>
    <w:rsid w:val="00643A16"/>
    <w:rsid w:val="00644821"/>
    <w:rsid w:val="00645785"/>
    <w:rsid w:val="00647EA5"/>
    <w:rsid w:val="00650F89"/>
    <w:rsid w:val="00652997"/>
    <w:rsid w:val="006537F9"/>
    <w:rsid w:val="006539D2"/>
    <w:rsid w:val="0065478D"/>
    <w:rsid w:val="00655483"/>
    <w:rsid w:val="006557A7"/>
    <w:rsid w:val="00655958"/>
    <w:rsid w:val="00655D81"/>
    <w:rsid w:val="0065620A"/>
    <w:rsid w:val="00656A65"/>
    <w:rsid w:val="00657AB9"/>
    <w:rsid w:val="00660145"/>
    <w:rsid w:val="00660BAB"/>
    <w:rsid w:val="006612B1"/>
    <w:rsid w:val="006629E9"/>
    <w:rsid w:val="00663B9F"/>
    <w:rsid w:val="00663EAF"/>
    <w:rsid w:val="00671436"/>
    <w:rsid w:val="0067400F"/>
    <w:rsid w:val="00675365"/>
    <w:rsid w:val="00684A7C"/>
    <w:rsid w:val="00686347"/>
    <w:rsid w:val="00687085"/>
    <w:rsid w:val="00690953"/>
    <w:rsid w:val="00691F20"/>
    <w:rsid w:val="00692A27"/>
    <w:rsid w:val="006955A7"/>
    <w:rsid w:val="00697B4B"/>
    <w:rsid w:val="006A3122"/>
    <w:rsid w:val="006A3819"/>
    <w:rsid w:val="006A4FD6"/>
    <w:rsid w:val="006A5EBF"/>
    <w:rsid w:val="006A6433"/>
    <w:rsid w:val="006A6C2B"/>
    <w:rsid w:val="006A6D22"/>
    <w:rsid w:val="006A71BC"/>
    <w:rsid w:val="006B2609"/>
    <w:rsid w:val="006B3924"/>
    <w:rsid w:val="006B6649"/>
    <w:rsid w:val="006B69FC"/>
    <w:rsid w:val="006B6C9A"/>
    <w:rsid w:val="006B6D20"/>
    <w:rsid w:val="006C0DC0"/>
    <w:rsid w:val="006C2463"/>
    <w:rsid w:val="006C2782"/>
    <w:rsid w:val="006C35BA"/>
    <w:rsid w:val="006C7EF9"/>
    <w:rsid w:val="006D0573"/>
    <w:rsid w:val="006D1856"/>
    <w:rsid w:val="006D2026"/>
    <w:rsid w:val="006D511C"/>
    <w:rsid w:val="006D6598"/>
    <w:rsid w:val="006E1E0D"/>
    <w:rsid w:val="006E2E4B"/>
    <w:rsid w:val="006E434F"/>
    <w:rsid w:val="006E5669"/>
    <w:rsid w:val="006E79DD"/>
    <w:rsid w:val="006F1BB3"/>
    <w:rsid w:val="006F1FE9"/>
    <w:rsid w:val="006F2167"/>
    <w:rsid w:val="006F21C3"/>
    <w:rsid w:val="006F281B"/>
    <w:rsid w:val="006F2928"/>
    <w:rsid w:val="006F4EE7"/>
    <w:rsid w:val="006F623B"/>
    <w:rsid w:val="006F699D"/>
    <w:rsid w:val="006F741F"/>
    <w:rsid w:val="006F7B81"/>
    <w:rsid w:val="00700F84"/>
    <w:rsid w:val="007059F5"/>
    <w:rsid w:val="007123B2"/>
    <w:rsid w:val="007127E9"/>
    <w:rsid w:val="00713C0F"/>
    <w:rsid w:val="00713EC8"/>
    <w:rsid w:val="007144D0"/>
    <w:rsid w:val="0071566D"/>
    <w:rsid w:val="00720D5A"/>
    <w:rsid w:val="00721F5F"/>
    <w:rsid w:val="00722DEB"/>
    <w:rsid w:val="00724F12"/>
    <w:rsid w:val="00724F46"/>
    <w:rsid w:val="00725DD5"/>
    <w:rsid w:val="0072616B"/>
    <w:rsid w:val="00726590"/>
    <w:rsid w:val="00726720"/>
    <w:rsid w:val="007277B9"/>
    <w:rsid w:val="007334C8"/>
    <w:rsid w:val="007335FD"/>
    <w:rsid w:val="007344D5"/>
    <w:rsid w:val="00736EC8"/>
    <w:rsid w:val="007410A6"/>
    <w:rsid w:val="007425A4"/>
    <w:rsid w:val="00743EAE"/>
    <w:rsid w:val="00744B1D"/>
    <w:rsid w:val="007467DC"/>
    <w:rsid w:val="0075062E"/>
    <w:rsid w:val="0075085F"/>
    <w:rsid w:val="0075139C"/>
    <w:rsid w:val="0075397C"/>
    <w:rsid w:val="0075483F"/>
    <w:rsid w:val="00755F40"/>
    <w:rsid w:val="00756A1F"/>
    <w:rsid w:val="00757B5F"/>
    <w:rsid w:val="00761A70"/>
    <w:rsid w:val="00763400"/>
    <w:rsid w:val="007639CF"/>
    <w:rsid w:val="00764131"/>
    <w:rsid w:val="00764BE4"/>
    <w:rsid w:val="007673B3"/>
    <w:rsid w:val="00771022"/>
    <w:rsid w:val="00771145"/>
    <w:rsid w:val="0077386F"/>
    <w:rsid w:val="007748DC"/>
    <w:rsid w:val="007763BC"/>
    <w:rsid w:val="007771F4"/>
    <w:rsid w:val="00781EE6"/>
    <w:rsid w:val="00782B42"/>
    <w:rsid w:val="0078418E"/>
    <w:rsid w:val="00786E2A"/>
    <w:rsid w:val="00787320"/>
    <w:rsid w:val="00787578"/>
    <w:rsid w:val="0078768D"/>
    <w:rsid w:val="007901F7"/>
    <w:rsid w:val="0079085B"/>
    <w:rsid w:val="007920F7"/>
    <w:rsid w:val="007933E2"/>
    <w:rsid w:val="00794C16"/>
    <w:rsid w:val="00794F3D"/>
    <w:rsid w:val="00796FE4"/>
    <w:rsid w:val="007A0614"/>
    <w:rsid w:val="007A0DBA"/>
    <w:rsid w:val="007A21F4"/>
    <w:rsid w:val="007A24CF"/>
    <w:rsid w:val="007A7361"/>
    <w:rsid w:val="007B04B3"/>
    <w:rsid w:val="007B33B1"/>
    <w:rsid w:val="007B348C"/>
    <w:rsid w:val="007B39F7"/>
    <w:rsid w:val="007B42A9"/>
    <w:rsid w:val="007B49CF"/>
    <w:rsid w:val="007C28A6"/>
    <w:rsid w:val="007C3F25"/>
    <w:rsid w:val="007C4167"/>
    <w:rsid w:val="007C4D27"/>
    <w:rsid w:val="007C52B5"/>
    <w:rsid w:val="007C5BAD"/>
    <w:rsid w:val="007C5FDD"/>
    <w:rsid w:val="007C6BF4"/>
    <w:rsid w:val="007D01C1"/>
    <w:rsid w:val="007D3D3A"/>
    <w:rsid w:val="007D5D38"/>
    <w:rsid w:val="007D7175"/>
    <w:rsid w:val="007D72BD"/>
    <w:rsid w:val="007E1201"/>
    <w:rsid w:val="007E1DA8"/>
    <w:rsid w:val="007E2255"/>
    <w:rsid w:val="007E4AC1"/>
    <w:rsid w:val="007F2CB7"/>
    <w:rsid w:val="007F3833"/>
    <w:rsid w:val="007F3AF8"/>
    <w:rsid w:val="007F5E53"/>
    <w:rsid w:val="00800617"/>
    <w:rsid w:val="00800F4A"/>
    <w:rsid w:val="00801466"/>
    <w:rsid w:val="008034E8"/>
    <w:rsid w:val="00804E7C"/>
    <w:rsid w:val="0080681F"/>
    <w:rsid w:val="00807772"/>
    <w:rsid w:val="00807F88"/>
    <w:rsid w:val="008100FB"/>
    <w:rsid w:val="00812654"/>
    <w:rsid w:val="00812DED"/>
    <w:rsid w:val="00820725"/>
    <w:rsid w:val="00821DA9"/>
    <w:rsid w:val="0082271E"/>
    <w:rsid w:val="0082393A"/>
    <w:rsid w:val="00824746"/>
    <w:rsid w:val="00827BA1"/>
    <w:rsid w:val="00831E0C"/>
    <w:rsid w:val="00833F6C"/>
    <w:rsid w:val="00836223"/>
    <w:rsid w:val="008370F3"/>
    <w:rsid w:val="0083777A"/>
    <w:rsid w:val="00837BF2"/>
    <w:rsid w:val="008401C0"/>
    <w:rsid w:val="0084164B"/>
    <w:rsid w:val="00845000"/>
    <w:rsid w:val="00845601"/>
    <w:rsid w:val="00854B16"/>
    <w:rsid w:val="0085551B"/>
    <w:rsid w:val="00860C39"/>
    <w:rsid w:val="0086182A"/>
    <w:rsid w:val="00862E6F"/>
    <w:rsid w:val="00863A37"/>
    <w:rsid w:val="0086476B"/>
    <w:rsid w:val="00864AEB"/>
    <w:rsid w:val="008655E6"/>
    <w:rsid w:val="00866098"/>
    <w:rsid w:val="00867389"/>
    <w:rsid w:val="008678CD"/>
    <w:rsid w:val="008679E1"/>
    <w:rsid w:val="00867DC6"/>
    <w:rsid w:val="00870293"/>
    <w:rsid w:val="0087066E"/>
    <w:rsid w:val="008706D0"/>
    <w:rsid w:val="0087104D"/>
    <w:rsid w:val="00876A5B"/>
    <w:rsid w:val="00876EB2"/>
    <w:rsid w:val="00881C12"/>
    <w:rsid w:val="00882FBA"/>
    <w:rsid w:val="00884145"/>
    <w:rsid w:val="00884603"/>
    <w:rsid w:val="008870CE"/>
    <w:rsid w:val="00887FD3"/>
    <w:rsid w:val="00891487"/>
    <w:rsid w:val="008916E0"/>
    <w:rsid w:val="00893881"/>
    <w:rsid w:val="00894082"/>
    <w:rsid w:val="008A3A1E"/>
    <w:rsid w:val="008A4C90"/>
    <w:rsid w:val="008A6D84"/>
    <w:rsid w:val="008A7A5A"/>
    <w:rsid w:val="008A7F7C"/>
    <w:rsid w:val="008B272C"/>
    <w:rsid w:val="008B2EC9"/>
    <w:rsid w:val="008B467A"/>
    <w:rsid w:val="008B4E68"/>
    <w:rsid w:val="008B5933"/>
    <w:rsid w:val="008B696C"/>
    <w:rsid w:val="008B7C53"/>
    <w:rsid w:val="008C01DC"/>
    <w:rsid w:val="008C1A77"/>
    <w:rsid w:val="008C1B50"/>
    <w:rsid w:val="008C6121"/>
    <w:rsid w:val="008C6829"/>
    <w:rsid w:val="008D0BEE"/>
    <w:rsid w:val="008D4F85"/>
    <w:rsid w:val="008D6967"/>
    <w:rsid w:val="008D757A"/>
    <w:rsid w:val="008E17F5"/>
    <w:rsid w:val="008E3398"/>
    <w:rsid w:val="008E478B"/>
    <w:rsid w:val="008E654E"/>
    <w:rsid w:val="008E6DDE"/>
    <w:rsid w:val="008E7D18"/>
    <w:rsid w:val="008F1A41"/>
    <w:rsid w:val="008F34AB"/>
    <w:rsid w:val="009027EC"/>
    <w:rsid w:val="00903A70"/>
    <w:rsid w:val="00904E64"/>
    <w:rsid w:val="0090651A"/>
    <w:rsid w:val="00906677"/>
    <w:rsid w:val="0090687C"/>
    <w:rsid w:val="00906B8E"/>
    <w:rsid w:val="00906C88"/>
    <w:rsid w:val="0090767C"/>
    <w:rsid w:val="00907E76"/>
    <w:rsid w:val="00910B9E"/>
    <w:rsid w:val="0091116D"/>
    <w:rsid w:val="00911936"/>
    <w:rsid w:val="00911FEA"/>
    <w:rsid w:val="009120E1"/>
    <w:rsid w:val="00913FCE"/>
    <w:rsid w:val="00914F28"/>
    <w:rsid w:val="00915C00"/>
    <w:rsid w:val="00920AC9"/>
    <w:rsid w:val="00921C75"/>
    <w:rsid w:val="00921C8C"/>
    <w:rsid w:val="009277C4"/>
    <w:rsid w:val="009307BF"/>
    <w:rsid w:val="00930EBA"/>
    <w:rsid w:val="00935C2F"/>
    <w:rsid w:val="00937BDC"/>
    <w:rsid w:val="00940A30"/>
    <w:rsid w:val="009425B1"/>
    <w:rsid w:val="00943A6E"/>
    <w:rsid w:val="0094421E"/>
    <w:rsid w:val="00947ECF"/>
    <w:rsid w:val="00950247"/>
    <w:rsid w:val="00950758"/>
    <w:rsid w:val="0095151C"/>
    <w:rsid w:val="00952BB2"/>
    <w:rsid w:val="00954A71"/>
    <w:rsid w:val="00954AB9"/>
    <w:rsid w:val="00954C8D"/>
    <w:rsid w:val="00956CCF"/>
    <w:rsid w:val="0095797C"/>
    <w:rsid w:val="00960380"/>
    <w:rsid w:val="00960E86"/>
    <w:rsid w:val="00960FCE"/>
    <w:rsid w:val="009627DF"/>
    <w:rsid w:val="009662F6"/>
    <w:rsid w:val="009673C6"/>
    <w:rsid w:val="009678CF"/>
    <w:rsid w:val="00970DB8"/>
    <w:rsid w:val="00971216"/>
    <w:rsid w:val="00971616"/>
    <w:rsid w:val="00971DB1"/>
    <w:rsid w:val="009722F4"/>
    <w:rsid w:val="00974FC3"/>
    <w:rsid w:val="00977FF3"/>
    <w:rsid w:val="00982395"/>
    <w:rsid w:val="00982398"/>
    <w:rsid w:val="0098288B"/>
    <w:rsid w:val="00983DE7"/>
    <w:rsid w:val="0098595A"/>
    <w:rsid w:val="00990617"/>
    <w:rsid w:val="00991670"/>
    <w:rsid w:val="00993F12"/>
    <w:rsid w:val="00994D98"/>
    <w:rsid w:val="00995606"/>
    <w:rsid w:val="00995CCD"/>
    <w:rsid w:val="00997646"/>
    <w:rsid w:val="00997C29"/>
    <w:rsid w:val="009A1FEF"/>
    <w:rsid w:val="009B2F6D"/>
    <w:rsid w:val="009B46EE"/>
    <w:rsid w:val="009B4DB1"/>
    <w:rsid w:val="009B5AD3"/>
    <w:rsid w:val="009C0FDA"/>
    <w:rsid w:val="009C1AA8"/>
    <w:rsid w:val="009C2E31"/>
    <w:rsid w:val="009C5143"/>
    <w:rsid w:val="009C5BEF"/>
    <w:rsid w:val="009D03E3"/>
    <w:rsid w:val="009D09F6"/>
    <w:rsid w:val="009D0C01"/>
    <w:rsid w:val="009D159B"/>
    <w:rsid w:val="009D1AE6"/>
    <w:rsid w:val="009D4193"/>
    <w:rsid w:val="009D501C"/>
    <w:rsid w:val="009D6CA2"/>
    <w:rsid w:val="009D7BC8"/>
    <w:rsid w:val="009E22E4"/>
    <w:rsid w:val="009E27E3"/>
    <w:rsid w:val="009E4304"/>
    <w:rsid w:val="009E53F1"/>
    <w:rsid w:val="009E5901"/>
    <w:rsid w:val="009E5F39"/>
    <w:rsid w:val="009E771A"/>
    <w:rsid w:val="009F1242"/>
    <w:rsid w:val="009F20E5"/>
    <w:rsid w:val="009F3CC9"/>
    <w:rsid w:val="009F6098"/>
    <w:rsid w:val="009F6381"/>
    <w:rsid w:val="009F7AF8"/>
    <w:rsid w:val="00A02B9C"/>
    <w:rsid w:val="00A069B7"/>
    <w:rsid w:val="00A06C71"/>
    <w:rsid w:val="00A076E9"/>
    <w:rsid w:val="00A1029F"/>
    <w:rsid w:val="00A10D90"/>
    <w:rsid w:val="00A11BF7"/>
    <w:rsid w:val="00A13274"/>
    <w:rsid w:val="00A14FAF"/>
    <w:rsid w:val="00A1501A"/>
    <w:rsid w:val="00A21389"/>
    <w:rsid w:val="00A2744D"/>
    <w:rsid w:val="00A278F2"/>
    <w:rsid w:val="00A27C5D"/>
    <w:rsid w:val="00A300AF"/>
    <w:rsid w:val="00A3164C"/>
    <w:rsid w:val="00A31C1F"/>
    <w:rsid w:val="00A33B8E"/>
    <w:rsid w:val="00A3407D"/>
    <w:rsid w:val="00A34F21"/>
    <w:rsid w:val="00A4077F"/>
    <w:rsid w:val="00A43044"/>
    <w:rsid w:val="00A47648"/>
    <w:rsid w:val="00A47686"/>
    <w:rsid w:val="00A50A6B"/>
    <w:rsid w:val="00A50E67"/>
    <w:rsid w:val="00A52775"/>
    <w:rsid w:val="00A55F7D"/>
    <w:rsid w:val="00A567C2"/>
    <w:rsid w:val="00A56C2A"/>
    <w:rsid w:val="00A57138"/>
    <w:rsid w:val="00A57EFB"/>
    <w:rsid w:val="00A618C5"/>
    <w:rsid w:val="00A61C05"/>
    <w:rsid w:val="00A6314D"/>
    <w:rsid w:val="00A63B4D"/>
    <w:rsid w:val="00A64C1A"/>
    <w:rsid w:val="00A660D6"/>
    <w:rsid w:val="00A666D2"/>
    <w:rsid w:val="00A70A3F"/>
    <w:rsid w:val="00A71206"/>
    <w:rsid w:val="00A73854"/>
    <w:rsid w:val="00A740F5"/>
    <w:rsid w:val="00A7499B"/>
    <w:rsid w:val="00A74BE8"/>
    <w:rsid w:val="00A806AD"/>
    <w:rsid w:val="00A80A93"/>
    <w:rsid w:val="00A82E65"/>
    <w:rsid w:val="00A83E9C"/>
    <w:rsid w:val="00A86912"/>
    <w:rsid w:val="00A90CAF"/>
    <w:rsid w:val="00A90D6B"/>
    <w:rsid w:val="00A919AC"/>
    <w:rsid w:val="00A91F68"/>
    <w:rsid w:val="00A92B84"/>
    <w:rsid w:val="00A92C47"/>
    <w:rsid w:val="00A92C5D"/>
    <w:rsid w:val="00A939AE"/>
    <w:rsid w:val="00A964F0"/>
    <w:rsid w:val="00A97055"/>
    <w:rsid w:val="00AA0C57"/>
    <w:rsid w:val="00AA32A9"/>
    <w:rsid w:val="00AA7F17"/>
    <w:rsid w:val="00AB13F9"/>
    <w:rsid w:val="00AB14BD"/>
    <w:rsid w:val="00AB17C0"/>
    <w:rsid w:val="00AB21E7"/>
    <w:rsid w:val="00AB23B7"/>
    <w:rsid w:val="00AB5166"/>
    <w:rsid w:val="00AB52FD"/>
    <w:rsid w:val="00AB63A7"/>
    <w:rsid w:val="00AC0EBE"/>
    <w:rsid w:val="00AC3B12"/>
    <w:rsid w:val="00AC5A10"/>
    <w:rsid w:val="00AC6851"/>
    <w:rsid w:val="00AD0C89"/>
    <w:rsid w:val="00AD4771"/>
    <w:rsid w:val="00AD4888"/>
    <w:rsid w:val="00AD4AA9"/>
    <w:rsid w:val="00AD52C1"/>
    <w:rsid w:val="00AD5548"/>
    <w:rsid w:val="00AD5689"/>
    <w:rsid w:val="00AE0B0E"/>
    <w:rsid w:val="00AE10CC"/>
    <w:rsid w:val="00AE1FC1"/>
    <w:rsid w:val="00AE21A7"/>
    <w:rsid w:val="00AE3E56"/>
    <w:rsid w:val="00AF0A3B"/>
    <w:rsid w:val="00AF2CEB"/>
    <w:rsid w:val="00AF2EBB"/>
    <w:rsid w:val="00AF3611"/>
    <w:rsid w:val="00AF3AFD"/>
    <w:rsid w:val="00AF4521"/>
    <w:rsid w:val="00AF4C38"/>
    <w:rsid w:val="00AF5771"/>
    <w:rsid w:val="00AF7DBA"/>
    <w:rsid w:val="00B0146C"/>
    <w:rsid w:val="00B01518"/>
    <w:rsid w:val="00B04A79"/>
    <w:rsid w:val="00B06A9C"/>
    <w:rsid w:val="00B1120B"/>
    <w:rsid w:val="00B125F9"/>
    <w:rsid w:val="00B1357F"/>
    <w:rsid w:val="00B13853"/>
    <w:rsid w:val="00B144A0"/>
    <w:rsid w:val="00B17822"/>
    <w:rsid w:val="00B20CF7"/>
    <w:rsid w:val="00B22725"/>
    <w:rsid w:val="00B23979"/>
    <w:rsid w:val="00B23BBF"/>
    <w:rsid w:val="00B243BD"/>
    <w:rsid w:val="00B2627E"/>
    <w:rsid w:val="00B303FC"/>
    <w:rsid w:val="00B4180B"/>
    <w:rsid w:val="00B426FD"/>
    <w:rsid w:val="00B42F1F"/>
    <w:rsid w:val="00B47D7E"/>
    <w:rsid w:val="00B526FA"/>
    <w:rsid w:val="00B53D8F"/>
    <w:rsid w:val="00B54A2D"/>
    <w:rsid w:val="00B627ED"/>
    <w:rsid w:val="00B62D6E"/>
    <w:rsid w:val="00B62EC7"/>
    <w:rsid w:val="00B633C2"/>
    <w:rsid w:val="00B64C2C"/>
    <w:rsid w:val="00B66C5C"/>
    <w:rsid w:val="00B677BC"/>
    <w:rsid w:val="00B679C6"/>
    <w:rsid w:val="00B703C7"/>
    <w:rsid w:val="00B70A10"/>
    <w:rsid w:val="00B71E33"/>
    <w:rsid w:val="00B72B37"/>
    <w:rsid w:val="00B7329D"/>
    <w:rsid w:val="00B73EC9"/>
    <w:rsid w:val="00B81E2B"/>
    <w:rsid w:val="00B853AC"/>
    <w:rsid w:val="00B87121"/>
    <w:rsid w:val="00B92964"/>
    <w:rsid w:val="00B94D0F"/>
    <w:rsid w:val="00B95782"/>
    <w:rsid w:val="00B957FB"/>
    <w:rsid w:val="00B97ABD"/>
    <w:rsid w:val="00B97E75"/>
    <w:rsid w:val="00BA0599"/>
    <w:rsid w:val="00BA0E21"/>
    <w:rsid w:val="00BA1DEB"/>
    <w:rsid w:val="00BA3A7D"/>
    <w:rsid w:val="00BA4426"/>
    <w:rsid w:val="00BA6B05"/>
    <w:rsid w:val="00BA6D76"/>
    <w:rsid w:val="00BA7627"/>
    <w:rsid w:val="00BA7E99"/>
    <w:rsid w:val="00BB1428"/>
    <w:rsid w:val="00BB21DA"/>
    <w:rsid w:val="00BB25C4"/>
    <w:rsid w:val="00BB4F28"/>
    <w:rsid w:val="00BB6B4C"/>
    <w:rsid w:val="00BB7C35"/>
    <w:rsid w:val="00BC1DF3"/>
    <w:rsid w:val="00BC21CE"/>
    <w:rsid w:val="00BC3E65"/>
    <w:rsid w:val="00BC6E9A"/>
    <w:rsid w:val="00BC7C99"/>
    <w:rsid w:val="00BC7D8E"/>
    <w:rsid w:val="00BD12DB"/>
    <w:rsid w:val="00BD1CC3"/>
    <w:rsid w:val="00BD33ED"/>
    <w:rsid w:val="00BD3630"/>
    <w:rsid w:val="00BD5430"/>
    <w:rsid w:val="00BD5DBE"/>
    <w:rsid w:val="00BE18A6"/>
    <w:rsid w:val="00BE2553"/>
    <w:rsid w:val="00BE73CF"/>
    <w:rsid w:val="00BF32DB"/>
    <w:rsid w:val="00BF4638"/>
    <w:rsid w:val="00BF4943"/>
    <w:rsid w:val="00BF50E8"/>
    <w:rsid w:val="00BF53E9"/>
    <w:rsid w:val="00BF5F09"/>
    <w:rsid w:val="00BF67B8"/>
    <w:rsid w:val="00C00ABF"/>
    <w:rsid w:val="00C03403"/>
    <w:rsid w:val="00C04F77"/>
    <w:rsid w:val="00C05338"/>
    <w:rsid w:val="00C06852"/>
    <w:rsid w:val="00C153D7"/>
    <w:rsid w:val="00C1552E"/>
    <w:rsid w:val="00C16623"/>
    <w:rsid w:val="00C16A71"/>
    <w:rsid w:val="00C2084B"/>
    <w:rsid w:val="00C20D2B"/>
    <w:rsid w:val="00C2119D"/>
    <w:rsid w:val="00C225A7"/>
    <w:rsid w:val="00C231E2"/>
    <w:rsid w:val="00C253FF"/>
    <w:rsid w:val="00C3005C"/>
    <w:rsid w:val="00C32575"/>
    <w:rsid w:val="00C34D07"/>
    <w:rsid w:val="00C41683"/>
    <w:rsid w:val="00C4248F"/>
    <w:rsid w:val="00C44244"/>
    <w:rsid w:val="00C446BC"/>
    <w:rsid w:val="00C47544"/>
    <w:rsid w:val="00C50383"/>
    <w:rsid w:val="00C50B0B"/>
    <w:rsid w:val="00C5187B"/>
    <w:rsid w:val="00C54DEA"/>
    <w:rsid w:val="00C56F86"/>
    <w:rsid w:val="00C57787"/>
    <w:rsid w:val="00C57AD8"/>
    <w:rsid w:val="00C61503"/>
    <w:rsid w:val="00C627A2"/>
    <w:rsid w:val="00C6333A"/>
    <w:rsid w:val="00C6343E"/>
    <w:rsid w:val="00C64776"/>
    <w:rsid w:val="00C64E8C"/>
    <w:rsid w:val="00C70F8D"/>
    <w:rsid w:val="00C71856"/>
    <w:rsid w:val="00C72E2F"/>
    <w:rsid w:val="00C74750"/>
    <w:rsid w:val="00C74CBA"/>
    <w:rsid w:val="00C80616"/>
    <w:rsid w:val="00C806A1"/>
    <w:rsid w:val="00C827FF"/>
    <w:rsid w:val="00C90B60"/>
    <w:rsid w:val="00C92849"/>
    <w:rsid w:val="00C93E6B"/>
    <w:rsid w:val="00C95CCB"/>
    <w:rsid w:val="00C97EAE"/>
    <w:rsid w:val="00CA0096"/>
    <w:rsid w:val="00CA1540"/>
    <w:rsid w:val="00CA2137"/>
    <w:rsid w:val="00CA276A"/>
    <w:rsid w:val="00CA3167"/>
    <w:rsid w:val="00CA7F5E"/>
    <w:rsid w:val="00CB000D"/>
    <w:rsid w:val="00CB072C"/>
    <w:rsid w:val="00CB0B58"/>
    <w:rsid w:val="00CB2011"/>
    <w:rsid w:val="00CB6C68"/>
    <w:rsid w:val="00CB77F1"/>
    <w:rsid w:val="00CC11EE"/>
    <w:rsid w:val="00CC12DD"/>
    <w:rsid w:val="00CC4DF2"/>
    <w:rsid w:val="00CC51F7"/>
    <w:rsid w:val="00CC534A"/>
    <w:rsid w:val="00CD3BD8"/>
    <w:rsid w:val="00CD559C"/>
    <w:rsid w:val="00CD5957"/>
    <w:rsid w:val="00CD6A07"/>
    <w:rsid w:val="00CD777E"/>
    <w:rsid w:val="00CD77B7"/>
    <w:rsid w:val="00CD7CA8"/>
    <w:rsid w:val="00CE0429"/>
    <w:rsid w:val="00CE17C2"/>
    <w:rsid w:val="00CE5156"/>
    <w:rsid w:val="00CE515E"/>
    <w:rsid w:val="00CE7FC8"/>
    <w:rsid w:val="00CF4190"/>
    <w:rsid w:val="00CF68DD"/>
    <w:rsid w:val="00D00DEA"/>
    <w:rsid w:val="00D01509"/>
    <w:rsid w:val="00D01FA3"/>
    <w:rsid w:val="00D023BB"/>
    <w:rsid w:val="00D124F5"/>
    <w:rsid w:val="00D13AC8"/>
    <w:rsid w:val="00D166F9"/>
    <w:rsid w:val="00D203F5"/>
    <w:rsid w:val="00D211E4"/>
    <w:rsid w:val="00D21ABB"/>
    <w:rsid w:val="00D228F0"/>
    <w:rsid w:val="00D25ADF"/>
    <w:rsid w:val="00D25E0C"/>
    <w:rsid w:val="00D31FC9"/>
    <w:rsid w:val="00D320C3"/>
    <w:rsid w:val="00D32687"/>
    <w:rsid w:val="00D33BD4"/>
    <w:rsid w:val="00D34105"/>
    <w:rsid w:val="00D34C74"/>
    <w:rsid w:val="00D40AE1"/>
    <w:rsid w:val="00D460FC"/>
    <w:rsid w:val="00D46E18"/>
    <w:rsid w:val="00D47433"/>
    <w:rsid w:val="00D4753D"/>
    <w:rsid w:val="00D514EB"/>
    <w:rsid w:val="00D51C43"/>
    <w:rsid w:val="00D539CA"/>
    <w:rsid w:val="00D54E93"/>
    <w:rsid w:val="00D550DF"/>
    <w:rsid w:val="00D55328"/>
    <w:rsid w:val="00D567D1"/>
    <w:rsid w:val="00D574D7"/>
    <w:rsid w:val="00D57798"/>
    <w:rsid w:val="00D61C4A"/>
    <w:rsid w:val="00D63667"/>
    <w:rsid w:val="00D65454"/>
    <w:rsid w:val="00D661DF"/>
    <w:rsid w:val="00D744DE"/>
    <w:rsid w:val="00D7577C"/>
    <w:rsid w:val="00D76C55"/>
    <w:rsid w:val="00D7713E"/>
    <w:rsid w:val="00D776E5"/>
    <w:rsid w:val="00D778B5"/>
    <w:rsid w:val="00D80044"/>
    <w:rsid w:val="00D80F48"/>
    <w:rsid w:val="00D82DAE"/>
    <w:rsid w:val="00D8337B"/>
    <w:rsid w:val="00D83BA8"/>
    <w:rsid w:val="00D8666E"/>
    <w:rsid w:val="00D910B6"/>
    <w:rsid w:val="00D91288"/>
    <w:rsid w:val="00D91EFF"/>
    <w:rsid w:val="00D9584F"/>
    <w:rsid w:val="00D966CF"/>
    <w:rsid w:val="00DA0B6F"/>
    <w:rsid w:val="00DA0BDC"/>
    <w:rsid w:val="00DA1829"/>
    <w:rsid w:val="00DA18A2"/>
    <w:rsid w:val="00DA23ED"/>
    <w:rsid w:val="00DA3CF9"/>
    <w:rsid w:val="00DA3DB4"/>
    <w:rsid w:val="00DA3E6B"/>
    <w:rsid w:val="00DB0DE2"/>
    <w:rsid w:val="00DB159E"/>
    <w:rsid w:val="00DB237F"/>
    <w:rsid w:val="00DB4521"/>
    <w:rsid w:val="00DB4B50"/>
    <w:rsid w:val="00DC1322"/>
    <w:rsid w:val="00DC292C"/>
    <w:rsid w:val="00DC3233"/>
    <w:rsid w:val="00DC42B8"/>
    <w:rsid w:val="00DC5130"/>
    <w:rsid w:val="00DD02E5"/>
    <w:rsid w:val="00DD286F"/>
    <w:rsid w:val="00DD3BEF"/>
    <w:rsid w:val="00DD3D27"/>
    <w:rsid w:val="00DD408C"/>
    <w:rsid w:val="00DD4132"/>
    <w:rsid w:val="00DD6052"/>
    <w:rsid w:val="00DE30C1"/>
    <w:rsid w:val="00DE3A15"/>
    <w:rsid w:val="00DE3A70"/>
    <w:rsid w:val="00DE66E8"/>
    <w:rsid w:val="00DE7769"/>
    <w:rsid w:val="00DE7819"/>
    <w:rsid w:val="00DE7E8A"/>
    <w:rsid w:val="00DF498C"/>
    <w:rsid w:val="00DF4D42"/>
    <w:rsid w:val="00DF7DB8"/>
    <w:rsid w:val="00DF7EA1"/>
    <w:rsid w:val="00E00D28"/>
    <w:rsid w:val="00E0195E"/>
    <w:rsid w:val="00E03C45"/>
    <w:rsid w:val="00E06A74"/>
    <w:rsid w:val="00E06A9D"/>
    <w:rsid w:val="00E11E72"/>
    <w:rsid w:val="00E122ED"/>
    <w:rsid w:val="00E12B18"/>
    <w:rsid w:val="00E12D4F"/>
    <w:rsid w:val="00E143BA"/>
    <w:rsid w:val="00E1589D"/>
    <w:rsid w:val="00E1645D"/>
    <w:rsid w:val="00E165C5"/>
    <w:rsid w:val="00E232D1"/>
    <w:rsid w:val="00E23CE3"/>
    <w:rsid w:val="00E24838"/>
    <w:rsid w:val="00E261ED"/>
    <w:rsid w:val="00E2650A"/>
    <w:rsid w:val="00E26E98"/>
    <w:rsid w:val="00E30D4E"/>
    <w:rsid w:val="00E320CA"/>
    <w:rsid w:val="00E33F66"/>
    <w:rsid w:val="00E3405D"/>
    <w:rsid w:val="00E37C72"/>
    <w:rsid w:val="00E408CC"/>
    <w:rsid w:val="00E41F02"/>
    <w:rsid w:val="00E41F4E"/>
    <w:rsid w:val="00E42779"/>
    <w:rsid w:val="00E4292D"/>
    <w:rsid w:val="00E42976"/>
    <w:rsid w:val="00E4397D"/>
    <w:rsid w:val="00E465B8"/>
    <w:rsid w:val="00E506C5"/>
    <w:rsid w:val="00E535C8"/>
    <w:rsid w:val="00E537F3"/>
    <w:rsid w:val="00E5536E"/>
    <w:rsid w:val="00E56DA0"/>
    <w:rsid w:val="00E61B05"/>
    <w:rsid w:val="00E65C83"/>
    <w:rsid w:val="00E6644E"/>
    <w:rsid w:val="00E67CA3"/>
    <w:rsid w:val="00E67DFE"/>
    <w:rsid w:val="00E70BF7"/>
    <w:rsid w:val="00E71082"/>
    <w:rsid w:val="00E710AA"/>
    <w:rsid w:val="00E72EA6"/>
    <w:rsid w:val="00E7347E"/>
    <w:rsid w:val="00E75504"/>
    <w:rsid w:val="00E75DA8"/>
    <w:rsid w:val="00E77EBD"/>
    <w:rsid w:val="00E80D03"/>
    <w:rsid w:val="00E82ABD"/>
    <w:rsid w:val="00E845F3"/>
    <w:rsid w:val="00E84E68"/>
    <w:rsid w:val="00E90365"/>
    <w:rsid w:val="00E913E2"/>
    <w:rsid w:val="00E92C3D"/>
    <w:rsid w:val="00E937CC"/>
    <w:rsid w:val="00E946D6"/>
    <w:rsid w:val="00E948C5"/>
    <w:rsid w:val="00E9647D"/>
    <w:rsid w:val="00EA3B60"/>
    <w:rsid w:val="00EA3F2D"/>
    <w:rsid w:val="00EA50E8"/>
    <w:rsid w:val="00EA60A8"/>
    <w:rsid w:val="00EA7FE1"/>
    <w:rsid w:val="00EB0198"/>
    <w:rsid w:val="00EB06F5"/>
    <w:rsid w:val="00EB0F00"/>
    <w:rsid w:val="00EB2A26"/>
    <w:rsid w:val="00EB3EF0"/>
    <w:rsid w:val="00EB60FF"/>
    <w:rsid w:val="00EB6B52"/>
    <w:rsid w:val="00EB7623"/>
    <w:rsid w:val="00EC0D9F"/>
    <w:rsid w:val="00EC1DAA"/>
    <w:rsid w:val="00EC2661"/>
    <w:rsid w:val="00EC5842"/>
    <w:rsid w:val="00ED0A2D"/>
    <w:rsid w:val="00ED1212"/>
    <w:rsid w:val="00ED1A4B"/>
    <w:rsid w:val="00ED1EA7"/>
    <w:rsid w:val="00ED291A"/>
    <w:rsid w:val="00ED2D4A"/>
    <w:rsid w:val="00ED2FC4"/>
    <w:rsid w:val="00ED3FFA"/>
    <w:rsid w:val="00ED51F0"/>
    <w:rsid w:val="00EE00C4"/>
    <w:rsid w:val="00EE1956"/>
    <w:rsid w:val="00EE2DF7"/>
    <w:rsid w:val="00EE314D"/>
    <w:rsid w:val="00EE70B4"/>
    <w:rsid w:val="00EE753A"/>
    <w:rsid w:val="00EF0D7C"/>
    <w:rsid w:val="00EF144D"/>
    <w:rsid w:val="00EF190F"/>
    <w:rsid w:val="00EF60B3"/>
    <w:rsid w:val="00F00527"/>
    <w:rsid w:val="00F02765"/>
    <w:rsid w:val="00F02877"/>
    <w:rsid w:val="00F02AB6"/>
    <w:rsid w:val="00F03CDC"/>
    <w:rsid w:val="00F05F98"/>
    <w:rsid w:val="00F115F5"/>
    <w:rsid w:val="00F117DA"/>
    <w:rsid w:val="00F118CC"/>
    <w:rsid w:val="00F12C90"/>
    <w:rsid w:val="00F17C77"/>
    <w:rsid w:val="00F201E3"/>
    <w:rsid w:val="00F20795"/>
    <w:rsid w:val="00F209F4"/>
    <w:rsid w:val="00F22054"/>
    <w:rsid w:val="00F224A4"/>
    <w:rsid w:val="00F24988"/>
    <w:rsid w:val="00F24BD3"/>
    <w:rsid w:val="00F24C5B"/>
    <w:rsid w:val="00F25391"/>
    <w:rsid w:val="00F323FF"/>
    <w:rsid w:val="00F32B0F"/>
    <w:rsid w:val="00F33307"/>
    <w:rsid w:val="00F35870"/>
    <w:rsid w:val="00F40A09"/>
    <w:rsid w:val="00F425DF"/>
    <w:rsid w:val="00F42D30"/>
    <w:rsid w:val="00F456D8"/>
    <w:rsid w:val="00F47736"/>
    <w:rsid w:val="00F47F77"/>
    <w:rsid w:val="00F50F90"/>
    <w:rsid w:val="00F51B8D"/>
    <w:rsid w:val="00F520A7"/>
    <w:rsid w:val="00F52D13"/>
    <w:rsid w:val="00F52E2F"/>
    <w:rsid w:val="00F55C3C"/>
    <w:rsid w:val="00F605F5"/>
    <w:rsid w:val="00F6205B"/>
    <w:rsid w:val="00F620C3"/>
    <w:rsid w:val="00F62771"/>
    <w:rsid w:val="00F64DAA"/>
    <w:rsid w:val="00F67149"/>
    <w:rsid w:val="00F70A2F"/>
    <w:rsid w:val="00F72096"/>
    <w:rsid w:val="00F73C7D"/>
    <w:rsid w:val="00F82412"/>
    <w:rsid w:val="00F824E6"/>
    <w:rsid w:val="00F83904"/>
    <w:rsid w:val="00F84310"/>
    <w:rsid w:val="00F90AB0"/>
    <w:rsid w:val="00F92B17"/>
    <w:rsid w:val="00FA1000"/>
    <w:rsid w:val="00FA1926"/>
    <w:rsid w:val="00FA2474"/>
    <w:rsid w:val="00FA26A9"/>
    <w:rsid w:val="00FA350C"/>
    <w:rsid w:val="00FA3CB1"/>
    <w:rsid w:val="00FB4628"/>
    <w:rsid w:val="00FB73BC"/>
    <w:rsid w:val="00FB744A"/>
    <w:rsid w:val="00FC5126"/>
    <w:rsid w:val="00FC5C43"/>
    <w:rsid w:val="00FD0584"/>
    <w:rsid w:val="00FD17B5"/>
    <w:rsid w:val="00FD1DF2"/>
    <w:rsid w:val="00FD203D"/>
    <w:rsid w:val="00FD3AD4"/>
    <w:rsid w:val="00FD3BB8"/>
    <w:rsid w:val="00FD5524"/>
    <w:rsid w:val="00FD5FD2"/>
    <w:rsid w:val="00FD709B"/>
    <w:rsid w:val="00FD7C8D"/>
    <w:rsid w:val="00FD7C9E"/>
    <w:rsid w:val="00FE00D8"/>
    <w:rsid w:val="00FE0F93"/>
    <w:rsid w:val="00FE1E58"/>
    <w:rsid w:val="00FE2530"/>
    <w:rsid w:val="00FE6EBA"/>
    <w:rsid w:val="00FE6F97"/>
    <w:rsid w:val="00FF1FCB"/>
    <w:rsid w:val="00FF464D"/>
    <w:rsid w:val="00FF55D5"/>
    <w:rsid w:val="00FF697D"/>
    <w:rsid w:val="00FF6F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oNotEmbedSmartTags/>
  <w:decimalSymbol w:val="."/>
  <w:listSeparator w:val=","/>
  <w14:docId w14:val="075925F1"/>
  <w15:docId w15:val="{852969E5-C424-49FC-9E6E-89A6BA25E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27ED"/>
    <w:pPr>
      <w:spacing w:after="120" w:line="276" w:lineRule="auto"/>
    </w:pPr>
    <w:rPr>
      <w:rFonts w:ascii="Arial" w:hAnsi="Arial" w:cstheme="minorBidi"/>
      <w:sz w:val="22"/>
      <w:szCs w:val="22"/>
      <w:lang w:eastAsia="en-US" w:bidi="en-US"/>
    </w:rPr>
  </w:style>
  <w:style w:type="paragraph" w:styleId="Heading1">
    <w:name w:val="heading 1"/>
    <w:basedOn w:val="TOCTitle"/>
    <w:next w:val="Normal"/>
    <w:link w:val="Heading1Char"/>
    <w:autoRedefine/>
    <w:uiPriority w:val="9"/>
    <w:qFormat/>
    <w:rsid w:val="00E320CA"/>
    <w:pPr>
      <w:tabs>
        <w:tab w:val="clear" w:pos="9360"/>
      </w:tabs>
      <w:ind w:firstLine="0"/>
      <w:jc w:val="left"/>
      <w:outlineLvl w:val="0"/>
    </w:pPr>
    <w:rPr>
      <w:rFonts w:cs="Times New Roman"/>
      <w:noProof/>
      <w:color w:val="0F6737"/>
      <w:sz w:val="36"/>
      <w:szCs w:val="36"/>
      <w:lang w:bidi="ar-SA"/>
    </w:rPr>
  </w:style>
  <w:style w:type="paragraph" w:styleId="Heading2">
    <w:name w:val="heading 2"/>
    <w:basedOn w:val="Normal"/>
    <w:next w:val="Normal"/>
    <w:link w:val="Heading2Char"/>
    <w:uiPriority w:val="9"/>
    <w:unhideWhenUsed/>
    <w:qFormat/>
    <w:rsid w:val="00D910B6"/>
    <w:pPr>
      <w:keepNext/>
      <w:numPr>
        <w:ilvl w:val="1"/>
        <w:numId w:val="3"/>
      </w:numPr>
      <w:spacing w:before="400" w:after="60"/>
      <w:outlineLvl w:val="1"/>
    </w:pPr>
    <w:rPr>
      <w:rFonts w:ascii="Arial Bold" w:eastAsiaTheme="majorEastAsia" w:hAnsi="Arial Bold" w:cstheme="majorBidi"/>
      <w:b/>
      <w:bCs/>
      <w:smallCaps/>
      <w:color w:val="0F673B"/>
      <w:sz w:val="28"/>
      <w:szCs w:val="26"/>
    </w:rPr>
  </w:style>
  <w:style w:type="paragraph" w:styleId="Heading3">
    <w:name w:val="heading 3"/>
    <w:basedOn w:val="Normal"/>
    <w:next w:val="Normal"/>
    <w:link w:val="Heading3Char"/>
    <w:uiPriority w:val="9"/>
    <w:unhideWhenUsed/>
    <w:qFormat/>
    <w:rsid w:val="00474F1A"/>
    <w:pPr>
      <w:keepNext/>
      <w:numPr>
        <w:ilvl w:val="2"/>
        <w:numId w:val="3"/>
      </w:numPr>
      <w:spacing w:before="240" w:after="60" w:line="271" w:lineRule="auto"/>
      <w:outlineLvl w:val="2"/>
    </w:pPr>
    <w:rPr>
      <w:rFonts w:ascii="Arial Bold" w:eastAsiaTheme="majorEastAsia" w:hAnsi="Arial Bold" w:cstheme="majorBidi"/>
      <w:b/>
      <w:bCs/>
      <w:color w:val="76A240"/>
      <w:sz w:val="24"/>
    </w:rPr>
  </w:style>
  <w:style w:type="paragraph" w:styleId="Heading4">
    <w:name w:val="heading 4"/>
    <w:basedOn w:val="Normal"/>
    <w:next w:val="Normal"/>
    <w:link w:val="Heading4Char"/>
    <w:uiPriority w:val="9"/>
    <w:unhideWhenUsed/>
    <w:qFormat/>
    <w:rsid w:val="00474F1A"/>
    <w:pPr>
      <w:numPr>
        <w:ilvl w:val="3"/>
        <w:numId w:val="3"/>
      </w:numPr>
      <w:spacing w:before="200" w:after="0"/>
      <w:outlineLvl w:val="3"/>
    </w:pPr>
    <w:rPr>
      <w:rFonts w:asciiTheme="majorHAnsi" w:eastAsiaTheme="majorEastAsia" w:hAnsiTheme="majorHAnsi" w:cstheme="majorBidi"/>
      <w:b/>
      <w:bCs/>
      <w:iCs/>
      <w:color w:val="76A240"/>
      <w:sz w:val="24"/>
    </w:rPr>
  </w:style>
  <w:style w:type="paragraph" w:styleId="Heading5">
    <w:name w:val="heading 5"/>
    <w:basedOn w:val="Normal"/>
    <w:next w:val="Normal"/>
    <w:link w:val="Heading5Char"/>
    <w:uiPriority w:val="9"/>
    <w:unhideWhenUsed/>
    <w:qFormat/>
    <w:rsid w:val="002C266B"/>
    <w:pPr>
      <w:numPr>
        <w:ilvl w:val="4"/>
        <w:numId w:val="3"/>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2C266B"/>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2C266B"/>
    <w:pPr>
      <w:numPr>
        <w:ilvl w:val="6"/>
        <w:numId w:val="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2C266B"/>
    <w:pPr>
      <w:numPr>
        <w:ilvl w:val="7"/>
        <w:numId w:val="3"/>
      </w:num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unhideWhenUsed/>
    <w:qFormat/>
    <w:rsid w:val="002C266B"/>
    <w:pPr>
      <w:numPr>
        <w:ilvl w:val="8"/>
        <w:numId w:val="3"/>
      </w:num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266B"/>
    <w:pPr>
      <w:ind w:left="720"/>
      <w:contextualSpacing/>
    </w:pPr>
  </w:style>
  <w:style w:type="paragraph" w:styleId="Header">
    <w:name w:val="header"/>
    <w:basedOn w:val="Normal"/>
    <w:link w:val="HeaderChar"/>
    <w:uiPriority w:val="99"/>
    <w:unhideWhenUsed/>
    <w:rsid w:val="00CE7FC8"/>
    <w:pPr>
      <w:tabs>
        <w:tab w:val="center" w:pos="4680"/>
        <w:tab w:val="right" w:pos="9360"/>
      </w:tabs>
      <w:spacing w:before="480" w:after="0"/>
      <w:jc w:val="right"/>
    </w:pPr>
    <w:rPr>
      <w:rFonts w:ascii="Arial Bold" w:hAnsi="Arial Bold"/>
      <w:b/>
      <w:caps/>
      <w:color w:val="0F673B"/>
    </w:rPr>
  </w:style>
  <w:style w:type="character" w:customStyle="1" w:styleId="HeaderChar">
    <w:name w:val="Header Char"/>
    <w:basedOn w:val="DefaultParagraphFont"/>
    <w:link w:val="Header"/>
    <w:uiPriority w:val="99"/>
    <w:rsid w:val="00CE7FC8"/>
    <w:rPr>
      <w:rFonts w:ascii="Arial Bold" w:hAnsi="Arial Bold" w:cstheme="minorBidi"/>
      <w:b/>
      <w:caps/>
      <w:color w:val="0F673B"/>
      <w:sz w:val="20"/>
      <w:szCs w:val="22"/>
      <w:lang w:eastAsia="en-US" w:bidi="en-US"/>
    </w:rPr>
  </w:style>
  <w:style w:type="paragraph" w:styleId="Footer">
    <w:name w:val="footer"/>
    <w:aliases w:val=" Char Char Char Char Char Char,Char Char Char Char Char Char"/>
    <w:basedOn w:val="Normal"/>
    <w:link w:val="FooterChar"/>
    <w:uiPriority w:val="99"/>
    <w:unhideWhenUsed/>
    <w:rsid w:val="002C266B"/>
    <w:pPr>
      <w:tabs>
        <w:tab w:val="center" w:pos="4680"/>
        <w:tab w:val="right" w:pos="9360"/>
      </w:tabs>
      <w:spacing w:after="0"/>
    </w:pPr>
    <w:rPr>
      <w:b/>
    </w:rPr>
  </w:style>
  <w:style w:type="character" w:customStyle="1" w:styleId="FooterChar">
    <w:name w:val="Footer Char"/>
    <w:aliases w:val=" Char Char Char Char Char Char Char,Char Char Char Char Char Char Char"/>
    <w:basedOn w:val="DefaultParagraphFont"/>
    <w:link w:val="Footer"/>
    <w:uiPriority w:val="99"/>
    <w:rsid w:val="002C266B"/>
    <w:rPr>
      <w:rFonts w:cstheme="minorBidi"/>
      <w:b/>
      <w:sz w:val="20"/>
      <w:szCs w:val="22"/>
      <w:lang w:eastAsia="en-US" w:bidi="en-US"/>
    </w:rPr>
  </w:style>
  <w:style w:type="table" w:styleId="TableGrid">
    <w:name w:val="Table Grid"/>
    <w:basedOn w:val="TableNormal"/>
    <w:uiPriority w:val="59"/>
    <w:rsid w:val="002C266B"/>
    <w:rPr>
      <w:rFonts w:cstheme="minorBidi"/>
      <w:sz w:val="22"/>
      <w:szCs w:val="22"/>
      <w:lang w:eastAsia="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C26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66B"/>
    <w:rPr>
      <w:rFonts w:ascii="Tahoma" w:hAnsi="Tahoma" w:cs="Tahoma"/>
      <w:sz w:val="16"/>
      <w:szCs w:val="16"/>
      <w:lang w:eastAsia="en-US" w:bidi="en-US"/>
    </w:rPr>
  </w:style>
  <w:style w:type="character" w:styleId="PageNumber">
    <w:name w:val="page number"/>
    <w:basedOn w:val="DefaultParagraphFont"/>
    <w:uiPriority w:val="99"/>
    <w:semiHidden/>
    <w:unhideWhenUsed/>
    <w:rsid w:val="00D40AE1"/>
  </w:style>
  <w:style w:type="paragraph" w:styleId="TOC2">
    <w:name w:val="toc 2"/>
    <w:basedOn w:val="Normal"/>
    <w:next w:val="Normal"/>
    <w:autoRedefine/>
    <w:uiPriority w:val="39"/>
    <w:unhideWhenUsed/>
    <w:qFormat/>
    <w:rsid w:val="00E82ABD"/>
    <w:pPr>
      <w:tabs>
        <w:tab w:val="left" w:pos="880"/>
        <w:tab w:val="right" w:leader="dot" w:pos="8910"/>
      </w:tabs>
      <w:spacing w:after="100"/>
      <w:ind w:left="936" w:right="720" w:hanging="720"/>
    </w:pPr>
    <w:rPr>
      <w:rFonts w:cs="Times New Roman"/>
      <w:smallCaps/>
      <w:noProof/>
      <w:szCs w:val="20"/>
      <w:lang w:bidi="ar-SA"/>
    </w:rPr>
  </w:style>
  <w:style w:type="paragraph" w:styleId="TOC1">
    <w:name w:val="toc 1"/>
    <w:basedOn w:val="Normal"/>
    <w:next w:val="Normal"/>
    <w:autoRedefine/>
    <w:uiPriority w:val="39"/>
    <w:unhideWhenUsed/>
    <w:qFormat/>
    <w:rsid w:val="00726720"/>
    <w:pPr>
      <w:tabs>
        <w:tab w:val="left" w:pos="1540"/>
        <w:tab w:val="right" w:leader="dot" w:pos="8910"/>
      </w:tabs>
      <w:spacing w:after="100"/>
      <w:ind w:left="720" w:right="720" w:hanging="720"/>
    </w:pPr>
    <w:rPr>
      <w:b/>
      <w:smallCaps/>
      <w:noProof/>
      <w:lang w:bidi="ar-SA"/>
    </w:rPr>
  </w:style>
  <w:style w:type="character" w:styleId="Hyperlink">
    <w:name w:val="Hyperlink"/>
    <w:basedOn w:val="DefaultParagraphFont"/>
    <w:uiPriority w:val="99"/>
    <w:unhideWhenUsed/>
    <w:rsid w:val="002C266B"/>
    <w:rPr>
      <w:color w:val="666666" w:themeColor="hyperlink"/>
      <w:u w:val="single"/>
    </w:rPr>
  </w:style>
  <w:style w:type="paragraph" w:styleId="TOC3">
    <w:name w:val="toc 3"/>
    <w:basedOn w:val="Normal"/>
    <w:next w:val="Normal"/>
    <w:autoRedefine/>
    <w:uiPriority w:val="39"/>
    <w:unhideWhenUsed/>
    <w:rsid w:val="00E82ABD"/>
    <w:pPr>
      <w:tabs>
        <w:tab w:val="right" w:leader="dot" w:pos="8910"/>
      </w:tabs>
      <w:spacing w:after="100"/>
      <w:ind w:left="1166" w:right="720" w:hanging="720"/>
    </w:pPr>
  </w:style>
  <w:style w:type="paragraph" w:styleId="TableofFigures">
    <w:name w:val="table of figures"/>
    <w:basedOn w:val="Normal"/>
    <w:next w:val="Normal"/>
    <w:uiPriority w:val="99"/>
    <w:unhideWhenUsed/>
    <w:rsid w:val="00252FE7"/>
    <w:pPr>
      <w:spacing w:after="0"/>
      <w:ind w:left="720" w:right="720" w:hanging="720"/>
    </w:pPr>
    <w:rPr>
      <w:b/>
      <w:smallCaps/>
    </w:rPr>
  </w:style>
  <w:style w:type="character" w:styleId="CommentReference">
    <w:name w:val="annotation reference"/>
    <w:basedOn w:val="DefaultParagraphFont"/>
    <w:uiPriority w:val="99"/>
    <w:semiHidden/>
    <w:unhideWhenUsed/>
    <w:rsid w:val="002C266B"/>
    <w:rPr>
      <w:sz w:val="16"/>
      <w:szCs w:val="16"/>
    </w:rPr>
  </w:style>
  <w:style w:type="paragraph" w:styleId="CommentText">
    <w:name w:val="annotation text"/>
    <w:basedOn w:val="Normal"/>
    <w:link w:val="CommentTextChar"/>
    <w:uiPriority w:val="99"/>
    <w:unhideWhenUsed/>
    <w:rsid w:val="002C266B"/>
    <w:pPr>
      <w:spacing w:line="240" w:lineRule="auto"/>
    </w:pPr>
    <w:rPr>
      <w:szCs w:val="20"/>
    </w:rPr>
  </w:style>
  <w:style w:type="character" w:customStyle="1" w:styleId="CommentTextChar">
    <w:name w:val="Comment Text Char"/>
    <w:basedOn w:val="DefaultParagraphFont"/>
    <w:link w:val="CommentText"/>
    <w:uiPriority w:val="99"/>
    <w:rsid w:val="002C266B"/>
    <w:rPr>
      <w:rFonts w:cstheme="minorBidi"/>
      <w:sz w:val="20"/>
      <w:szCs w:val="20"/>
      <w:lang w:eastAsia="en-US" w:bidi="en-US"/>
    </w:rPr>
  </w:style>
  <w:style w:type="paragraph" w:customStyle="1" w:styleId="TOCTitle">
    <w:name w:val="T.O.C. Title"/>
    <w:basedOn w:val="Normal"/>
    <w:qFormat/>
    <w:rsid w:val="00303AE1"/>
    <w:pPr>
      <w:keepNext/>
      <w:tabs>
        <w:tab w:val="left" w:pos="9360"/>
      </w:tabs>
      <w:spacing w:after="0"/>
      <w:ind w:hanging="86"/>
      <w:jc w:val="center"/>
    </w:pPr>
    <w:rPr>
      <w:rFonts w:ascii="Arial Bold" w:hAnsi="Arial Bold" w:cs="Arial"/>
      <w:b/>
      <w:color w:val="0F673B"/>
      <w:sz w:val="28"/>
      <w:szCs w:val="28"/>
    </w:rPr>
  </w:style>
  <w:style w:type="character" w:customStyle="1" w:styleId="Heading1Char">
    <w:name w:val="Heading 1 Char"/>
    <w:basedOn w:val="DefaultParagraphFont"/>
    <w:link w:val="Heading1"/>
    <w:uiPriority w:val="9"/>
    <w:rsid w:val="00E320CA"/>
    <w:rPr>
      <w:rFonts w:ascii="Arial Bold" w:hAnsi="Arial Bold"/>
      <w:b/>
      <w:noProof/>
      <w:color w:val="0F6737"/>
      <w:sz w:val="36"/>
      <w:szCs w:val="36"/>
      <w:lang w:eastAsia="en-US"/>
    </w:rPr>
  </w:style>
  <w:style w:type="paragraph" w:styleId="TOCHeading">
    <w:name w:val="TOC Heading"/>
    <w:basedOn w:val="Heading1"/>
    <w:next w:val="Normal"/>
    <w:uiPriority w:val="39"/>
    <w:unhideWhenUsed/>
    <w:qFormat/>
    <w:rsid w:val="002C266B"/>
    <w:pPr>
      <w:outlineLvl w:val="9"/>
    </w:pPr>
  </w:style>
  <w:style w:type="paragraph" w:styleId="TOC4">
    <w:name w:val="toc 4"/>
    <w:basedOn w:val="Normal"/>
    <w:next w:val="Normal"/>
    <w:autoRedefine/>
    <w:uiPriority w:val="39"/>
    <w:unhideWhenUsed/>
    <w:rsid w:val="004E6EDF"/>
    <w:pPr>
      <w:ind w:left="480"/>
    </w:pPr>
    <w:rPr>
      <w:rFonts w:asciiTheme="minorHAnsi" w:hAnsiTheme="minorHAnsi"/>
      <w:szCs w:val="20"/>
    </w:rPr>
  </w:style>
  <w:style w:type="paragraph" w:styleId="TOC5">
    <w:name w:val="toc 5"/>
    <w:basedOn w:val="Normal"/>
    <w:next w:val="Normal"/>
    <w:autoRedefine/>
    <w:uiPriority w:val="39"/>
    <w:unhideWhenUsed/>
    <w:rsid w:val="004E6EDF"/>
    <w:pPr>
      <w:ind w:left="720"/>
    </w:pPr>
    <w:rPr>
      <w:rFonts w:asciiTheme="minorHAnsi" w:hAnsiTheme="minorHAnsi"/>
      <w:szCs w:val="20"/>
    </w:rPr>
  </w:style>
  <w:style w:type="paragraph" w:styleId="TOC6">
    <w:name w:val="toc 6"/>
    <w:basedOn w:val="Normal"/>
    <w:next w:val="Normal"/>
    <w:autoRedefine/>
    <w:uiPriority w:val="39"/>
    <w:unhideWhenUsed/>
    <w:rsid w:val="004E6EDF"/>
    <w:pPr>
      <w:ind w:left="960"/>
    </w:pPr>
    <w:rPr>
      <w:rFonts w:asciiTheme="minorHAnsi" w:hAnsiTheme="minorHAnsi"/>
      <w:szCs w:val="20"/>
    </w:rPr>
  </w:style>
  <w:style w:type="paragraph" w:styleId="TOC7">
    <w:name w:val="toc 7"/>
    <w:basedOn w:val="Normal"/>
    <w:next w:val="Normal"/>
    <w:autoRedefine/>
    <w:uiPriority w:val="39"/>
    <w:unhideWhenUsed/>
    <w:rsid w:val="004E6EDF"/>
    <w:pPr>
      <w:ind w:left="1200"/>
    </w:pPr>
    <w:rPr>
      <w:rFonts w:asciiTheme="minorHAnsi" w:hAnsiTheme="minorHAnsi"/>
      <w:szCs w:val="20"/>
    </w:rPr>
  </w:style>
  <w:style w:type="paragraph" w:styleId="TOC8">
    <w:name w:val="toc 8"/>
    <w:basedOn w:val="Normal"/>
    <w:next w:val="Normal"/>
    <w:autoRedefine/>
    <w:uiPriority w:val="39"/>
    <w:unhideWhenUsed/>
    <w:rsid w:val="004E6EDF"/>
    <w:pPr>
      <w:ind w:left="1440"/>
    </w:pPr>
    <w:rPr>
      <w:rFonts w:asciiTheme="minorHAnsi" w:hAnsiTheme="minorHAnsi"/>
      <w:szCs w:val="20"/>
    </w:rPr>
  </w:style>
  <w:style w:type="paragraph" w:styleId="TOC9">
    <w:name w:val="toc 9"/>
    <w:basedOn w:val="Normal"/>
    <w:next w:val="Normal"/>
    <w:autoRedefine/>
    <w:uiPriority w:val="39"/>
    <w:unhideWhenUsed/>
    <w:rsid w:val="004E6EDF"/>
    <w:pPr>
      <w:ind w:left="1680"/>
    </w:pPr>
    <w:rPr>
      <w:rFonts w:asciiTheme="minorHAnsi" w:hAnsiTheme="minorHAnsi"/>
      <w:szCs w:val="20"/>
    </w:rPr>
  </w:style>
  <w:style w:type="character" w:styleId="FollowedHyperlink">
    <w:name w:val="FollowedHyperlink"/>
    <w:basedOn w:val="DefaultParagraphFont"/>
    <w:uiPriority w:val="99"/>
    <w:unhideWhenUsed/>
    <w:rsid w:val="00DB4521"/>
    <w:rPr>
      <w:rFonts w:ascii="Arial" w:hAnsi="Arial"/>
      <w:color w:val="0F673B"/>
      <w:u w:val="none"/>
    </w:rPr>
  </w:style>
  <w:style w:type="paragraph" w:styleId="FootnoteText">
    <w:name w:val="footnote text"/>
    <w:aliases w:val="Footnote Text1 Char,Footnote Text Char Ch,Footnote Text Char Ch Char Char Char,Footnote Text Char Ch Char Char,Footnote Text1 Char Char Char,Footnote Text Char Ch Char"/>
    <w:basedOn w:val="Normal"/>
    <w:link w:val="FootnoteTextChar"/>
    <w:uiPriority w:val="99"/>
    <w:unhideWhenUsed/>
    <w:rsid w:val="00D550DF"/>
    <w:pPr>
      <w:spacing w:after="0" w:line="240" w:lineRule="auto"/>
    </w:pPr>
    <w:rPr>
      <w:rFonts w:cs="Arial"/>
      <w:sz w:val="18"/>
      <w:szCs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
    <w:basedOn w:val="DefaultParagraphFont"/>
    <w:link w:val="FootnoteText"/>
    <w:uiPriority w:val="99"/>
    <w:rsid w:val="00D550DF"/>
    <w:rPr>
      <w:rFonts w:ascii="Arial" w:hAnsi="Arial" w:cs="Arial"/>
      <w:sz w:val="18"/>
      <w:szCs w:val="18"/>
      <w:lang w:eastAsia="en-US" w:bidi="en-US"/>
    </w:rPr>
  </w:style>
  <w:style w:type="character" w:styleId="FootnoteReference">
    <w:name w:val="footnote reference"/>
    <w:basedOn w:val="DefaultParagraphFont"/>
    <w:uiPriority w:val="99"/>
    <w:unhideWhenUsed/>
    <w:rsid w:val="002C266B"/>
    <w:rPr>
      <w:vertAlign w:val="superscript"/>
    </w:rPr>
  </w:style>
  <w:style w:type="paragraph" w:styleId="Caption">
    <w:name w:val="caption"/>
    <w:aliases w:val="Table Caption"/>
    <w:basedOn w:val="Normal"/>
    <w:next w:val="Normal"/>
    <w:link w:val="CaptionChar"/>
    <w:uiPriority w:val="35"/>
    <w:unhideWhenUsed/>
    <w:rsid w:val="00EF144D"/>
    <w:pPr>
      <w:keepNext/>
      <w:spacing w:before="240" w:after="60" w:line="240" w:lineRule="auto"/>
      <w:jc w:val="center"/>
    </w:pPr>
    <w:rPr>
      <w:rFonts w:ascii="Arial Bold" w:hAnsi="Arial Bold"/>
      <w:b/>
      <w:bCs/>
      <w:color w:val="0F673B"/>
      <w:sz w:val="24"/>
      <w:szCs w:val="18"/>
    </w:rPr>
  </w:style>
  <w:style w:type="paragraph" w:styleId="NormalWeb">
    <w:name w:val="Normal (Web)"/>
    <w:basedOn w:val="Normal"/>
    <w:uiPriority w:val="99"/>
    <w:unhideWhenUsed/>
    <w:rsid w:val="00346BEF"/>
    <w:pPr>
      <w:spacing w:before="100" w:beforeAutospacing="1" w:after="100" w:afterAutospacing="1"/>
    </w:pPr>
    <w:rPr>
      <w:rFonts w:ascii="Times" w:hAnsi="Times"/>
      <w:szCs w:val="20"/>
    </w:rPr>
  </w:style>
  <w:style w:type="character" w:customStyle="1" w:styleId="Heading2Char">
    <w:name w:val="Heading 2 Char"/>
    <w:basedOn w:val="DefaultParagraphFont"/>
    <w:link w:val="Heading2"/>
    <w:uiPriority w:val="9"/>
    <w:rsid w:val="00D910B6"/>
    <w:rPr>
      <w:rFonts w:ascii="Arial Bold" w:eastAsiaTheme="majorEastAsia" w:hAnsi="Arial Bold" w:cstheme="majorBidi"/>
      <w:b/>
      <w:bCs/>
      <w:smallCaps/>
      <w:color w:val="0F673B"/>
      <w:sz w:val="28"/>
      <w:szCs w:val="26"/>
      <w:lang w:eastAsia="en-US" w:bidi="en-US"/>
    </w:rPr>
  </w:style>
  <w:style w:type="character" w:customStyle="1" w:styleId="Heading3Char">
    <w:name w:val="Heading 3 Char"/>
    <w:basedOn w:val="DefaultParagraphFont"/>
    <w:link w:val="Heading3"/>
    <w:uiPriority w:val="9"/>
    <w:rsid w:val="00474F1A"/>
    <w:rPr>
      <w:rFonts w:ascii="Arial Bold" w:eastAsiaTheme="majorEastAsia" w:hAnsi="Arial Bold" w:cstheme="majorBidi"/>
      <w:b/>
      <w:bCs/>
      <w:color w:val="76A240"/>
      <w:szCs w:val="22"/>
      <w:lang w:eastAsia="en-US" w:bidi="en-US"/>
    </w:rPr>
  </w:style>
  <w:style w:type="character" w:customStyle="1" w:styleId="Heading4Char">
    <w:name w:val="Heading 4 Char"/>
    <w:basedOn w:val="DefaultParagraphFont"/>
    <w:link w:val="Heading4"/>
    <w:uiPriority w:val="9"/>
    <w:rsid w:val="00474F1A"/>
    <w:rPr>
      <w:rFonts w:asciiTheme="majorHAnsi" w:eastAsiaTheme="majorEastAsia" w:hAnsiTheme="majorHAnsi" w:cstheme="majorBidi"/>
      <w:b/>
      <w:bCs/>
      <w:iCs/>
      <w:color w:val="76A240"/>
      <w:szCs w:val="22"/>
      <w:lang w:eastAsia="en-US" w:bidi="en-US"/>
    </w:rPr>
  </w:style>
  <w:style w:type="character" w:customStyle="1" w:styleId="Heading5Char">
    <w:name w:val="Heading 5 Char"/>
    <w:basedOn w:val="DefaultParagraphFont"/>
    <w:link w:val="Heading5"/>
    <w:uiPriority w:val="9"/>
    <w:rsid w:val="002C266B"/>
    <w:rPr>
      <w:rFonts w:asciiTheme="majorHAnsi" w:eastAsiaTheme="majorEastAsia" w:hAnsiTheme="majorHAnsi" w:cstheme="majorBidi"/>
      <w:b/>
      <w:bCs/>
      <w:color w:val="7F7F7F" w:themeColor="text1" w:themeTint="80"/>
      <w:sz w:val="22"/>
      <w:szCs w:val="22"/>
      <w:lang w:eastAsia="en-US" w:bidi="en-US"/>
    </w:rPr>
  </w:style>
  <w:style w:type="character" w:customStyle="1" w:styleId="Heading6Char">
    <w:name w:val="Heading 6 Char"/>
    <w:basedOn w:val="DefaultParagraphFont"/>
    <w:link w:val="Heading6"/>
    <w:uiPriority w:val="9"/>
    <w:rsid w:val="002C266B"/>
    <w:rPr>
      <w:rFonts w:asciiTheme="majorHAnsi" w:eastAsiaTheme="majorEastAsia" w:hAnsiTheme="majorHAnsi" w:cstheme="majorBidi"/>
      <w:b/>
      <w:bCs/>
      <w:i/>
      <w:iCs/>
      <w:color w:val="7F7F7F" w:themeColor="text1" w:themeTint="80"/>
      <w:sz w:val="22"/>
      <w:szCs w:val="22"/>
      <w:lang w:eastAsia="en-US" w:bidi="en-US"/>
    </w:rPr>
  </w:style>
  <w:style w:type="character" w:customStyle="1" w:styleId="Heading7Char">
    <w:name w:val="Heading 7 Char"/>
    <w:basedOn w:val="DefaultParagraphFont"/>
    <w:link w:val="Heading7"/>
    <w:uiPriority w:val="9"/>
    <w:semiHidden/>
    <w:rsid w:val="002C266B"/>
    <w:rPr>
      <w:rFonts w:asciiTheme="majorHAnsi" w:eastAsiaTheme="majorEastAsia" w:hAnsiTheme="majorHAnsi" w:cstheme="majorBidi"/>
      <w:i/>
      <w:iCs/>
      <w:sz w:val="22"/>
      <w:szCs w:val="22"/>
      <w:lang w:eastAsia="en-US" w:bidi="en-US"/>
    </w:rPr>
  </w:style>
  <w:style w:type="character" w:customStyle="1" w:styleId="Heading8Char">
    <w:name w:val="Heading 8 Char"/>
    <w:basedOn w:val="DefaultParagraphFont"/>
    <w:link w:val="Heading8"/>
    <w:uiPriority w:val="9"/>
    <w:semiHidden/>
    <w:rsid w:val="002C266B"/>
    <w:rPr>
      <w:rFonts w:asciiTheme="majorHAnsi" w:eastAsiaTheme="majorEastAsia" w:hAnsiTheme="majorHAnsi" w:cstheme="majorBidi"/>
      <w:sz w:val="22"/>
      <w:szCs w:val="20"/>
      <w:lang w:eastAsia="en-US" w:bidi="en-US"/>
    </w:rPr>
  </w:style>
  <w:style w:type="character" w:customStyle="1" w:styleId="Heading9Char">
    <w:name w:val="Heading 9 Char"/>
    <w:basedOn w:val="DefaultParagraphFont"/>
    <w:link w:val="Heading9"/>
    <w:uiPriority w:val="9"/>
    <w:rsid w:val="002C266B"/>
    <w:rPr>
      <w:rFonts w:asciiTheme="majorHAnsi" w:eastAsiaTheme="majorEastAsia" w:hAnsiTheme="majorHAnsi" w:cstheme="majorBidi"/>
      <w:i/>
      <w:iCs/>
      <w:spacing w:val="5"/>
      <w:sz w:val="22"/>
      <w:szCs w:val="20"/>
      <w:lang w:eastAsia="en-US" w:bidi="en-US"/>
    </w:rPr>
  </w:style>
  <w:style w:type="paragraph" w:styleId="Title">
    <w:name w:val="Title"/>
    <w:basedOn w:val="Normal"/>
    <w:next w:val="Normal"/>
    <w:link w:val="TitleChar"/>
    <w:uiPriority w:val="10"/>
    <w:qFormat/>
    <w:rsid w:val="005F085D"/>
    <w:pPr>
      <w:spacing w:after="280" w:line="520" w:lineRule="exact"/>
    </w:pPr>
    <w:rPr>
      <w:rFonts w:cs="Arial"/>
      <w:b/>
      <w:color w:val="0B764A"/>
      <w:sz w:val="52"/>
      <w:szCs w:val="52"/>
    </w:rPr>
  </w:style>
  <w:style w:type="character" w:customStyle="1" w:styleId="TitleChar">
    <w:name w:val="Title Char"/>
    <w:basedOn w:val="DefaultParagraphFont"/>
    <w:link w:val="Title"/>
    <w:uiPriority w:val="10"/>
    <w:rsid w:val="005F085D"/>
    <w:rPr>
      <w:rFonts w:ascii="Arial" w:hAnsi="Arial" w:cs="Arial"/>
      <w:b/>
      <w:color w:val="0B764A"/>
      <w:sz w:val="52"/>
      <w:szCs w:val="52"/>
      <w:lang w:eastAsia="en-US" w:bidi="en-US"/>
    </w:rPr>
  </w:style>
  <w:style w:type="paragraph" w:styleId="Subtitle">
    <w:name w:val="Subtitle"/>
    <w:basedOn w:val="Normal"/>
    <w:next w:val="Normal"/>
    <w:link w:val="SubtitleChar"/>
    <w:uiPriority w:val="11"/>
    <w:qFormat/>
    <w:rsid w:val="00D550DF"/>
    <w:pPr>
      <w:spacing w:after="280"/>
    </w:pPr>
    <w:rPr>
      <w:rFonts w:cs="Arial"/>
      <w:szCs w:val="20"/>
    </w:rPr>
  </w:style>
  <w:style w:type="character" w:customStyle="1" w:styleId="SubtitleChar">
    <w:name w:val="Subtitle Char"/>
    <w:basedOn w:val="DefaultParagraphFont"/>
    <w:link w:val="Subtitle"/>
    <w:uiPriority w:val="11"/>
    <w:rsid w:val="00D550DF"/>
    <w:rPr>
      <w:rFonts w:ascii="Arial" w:hAnsi="Arial" w:cs="Arial"/>
      <w:sz w:val="20"/>
      <w:szCs w:val="20"/>
      <w:lang w:eastAsia="en-US" w:bidi="en-US"/>
    </w:rPr>
  </w:style>
  <w:style w:type="character" w:styleId="Strong">
    <w:name w:val="Strong"/>
    <w:uiPriority w:val="22"/>
    <w:qFormat/>
    <w:rsid w:val="002C266B"/>
    <w:rPr>
      <w:b/>
      <w:bCs/>
    </w:rPr>
  </w:style>
  <w:style w:type="character" w:styleId="Emphasis">
    <w:name w:val="Emphasis"/>
    <w:uiPriority w:val="20"/>
    <w:qFormat/>
    <w:rsid w:val="002C266B"/>
    <w:rPr>
      <w:b/>
      <w:bCs/>
      <w:i/>
      <w:iCs/>
      <w:spacing w:val="10"/>
      <w:bdr w:val="none" w:sz="0" w:space="0" w:color="auto"/>
      <w:shd w:val="clear" w:color="auto" w:fill="auto"/>
    </w:rPr>
  </w:style>
  <w:style w:type="paragraph" w:styleId="NoSpacing">
    <w:name w:val="No Spacing"/>
    <w:basedOn w:val="Normal"/>
    <w:uiPriority w:val="1"/>
    <w:qFormat/>
    <w:rsid w:val="002C266B"/>
    <w:pPr>
      <w:spacing w:after="0" w:line="240" w:lineRule="auto"/>
    </w:pPr>
  </w:style>
  <w:style w:type="paragraph" w:styleId="Quote">
    <w:name w:val="Quote"/>
    <w:basedOn w:val="Normal"/>
    <w:next w:val="Normal"/>
    <w:link w:val="QuoteChar"/>
    <w:uiPriority w:val="29"/>
    <w:qFormat/>
    <w:rsid w:val="002C266B"/>
    <w:pPr>
      <w:spacing w:before="200" w:after="0"/>
      <w:ind w:left="360" w:right="360"/>
    </w:pPr>
    <w:rPr>
      <w:i/>
      <w:iCs/>
    </w:rPr>
  </w:style>
  <w:style w:type="character" w:customStyle="1" w:styleId="QuoteChar">
    <w:name w:val="Quote Char"/>
    <w:basedOn w:val="DefaultParagraphFont"/>
    <w:link w:val="Quote"/>
    <w:uiPriority w:val="29"/>
    <w:rsid w:val="002C266B"/>
    <w:rPr>
      <w:rFonts w:cstheme="minorBidi"/>
      <w:i/>
      <w:iCs/>
      <w:szCs w:val="22"/>
      <w:lang w:eastAsia="en-US" w:bidi="en-US"/>
    </w:rPr>
  </w:style>
  <w:style w:type="paragraph" w:styleId="IntenseQuote">
    <w:name w:val="Intense Quote"/>
    <w:basedOn w:val="Normal"/>
    <w:next w:val="Normal"/>
    <w:link w:val="IntenseQuoteChar"/>
    <w:uiPriority w:val="30"/>
    <w:qFormat/>
    <w:rsid w:val="002C266B"/>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2C266B"/>
    <w:rPr>
      <w:rFonts w:cstheme="minorBidi"/>
      <w:b/>
      <w:bCs/>
      <w:i/>
      <w:iCs/>
      <w:szCs w:val="22"/>
      <w:lang w:eastAsia="en-US" w:bidi="en-US"/>
    </w:rPr>
  </w:style>
  <w:style w:type="character" w:styleId="SubtleEmphasis">
    <w:name w:val="Subtle Emphasis"/>
    <w:uiPriority w:val="19"/>
    <w:qFormat/>
    <w:rsid w:val="002C266B"/>
    <w:rPr>
      <w:i/>
      <w:iCs/>
    </w:rPr>
  </w:style>
  <w:style w:type="character" w:styleId="IntenseEmphasis">
    <w:name w:val="Intense Emphasis"/>
    <w:uiPriority w:val="21"/>
    <w:qFormat/>
    <w:rsid w:val="002C266B"/>
    <w:rPr>
      <w:b/>
      <w:bCs/>
    </w:rPr>
  </w:style>
  <w:style w:type="character" w:styleId="SubtleReference">
    <w:name w:val="Subtle Reference"/>
    <w:uiPriority w:val="31"/>
    <w:qFormat/>
    <w:rsid w:val="002C266B"/>
    <w:rPr>
      <w:smallCaps/>
    </w:rPr>
  </w:style>
  <w:style w:type="character" w:styleId="IntenseReference">
    <w:name w:val="Intense Reference"/>
    <w:uiPriority w:val="32"/>
    <w:qFormat/>
    <w:rsid w:val="002C266B"/>
    <w:rPr>
      <w:smallCaps/>
      <w:spacing w:val="5"/>
      <w:u w:val="single"/>
    </w:rPr>
  </w:style>
  <w:style w:type="character" w:styleId="BookTitle">
    <w:name w:val="Book Title"/>
    <w:uiPriority w:val="33"/>
    <w:qFormat/>
    <w:rsid w:val="002C266B"/>
    <w:rPr>
      <w:i/>
      <w:iCs/>
      <w:smallCaps/>
      <w:spacing w:val="5"/>
    </w:rPr>
  </w:style>
  <w:style w:type="character" w:styleId="PlaceholderText">
    <w:name w:val="Placeholder Text"/>
    <w:basedOn w:val="DefaultParagraphFont"/>
    <w:uiPriority w:val="99"/>
    <w:semiHidden/>
    <w:rsid w:val="002C266B"/>
    <w:rPr>
      <w:color w:val="808080"/>
    </w:rPr>
  </w:style>
  <w:style w:type="numbering" w:customStyle="1" w:styleId="Style1">
    <w:name w:val="Style1"/>
    <w:uiPriority w:val="99"/>
    <w:rsid w:val="002C266B"/>
    <w:pPr>
      <w:numPr>
        <w:numId w:val="1"/>
      </w:numPr>
    </w:pPr>
  </w:style>
  <w:style w:type="paragraph" w:styleId="CommentSubject">
    <w:name w:val="annotation subject"/>
    <w:basedOn w:val="CommentText"/>
    <w:next w:val="CommentText"/>
    <w:link w:val="CommentSubjectChar"/>
    <w:uiPriority w:val="99"/>
    <w:semiHidden/>
    <w:unhideWhenUsed/>
    <w:rsid w:val="002C266B"/>
    <w:rPr>
      <w:b/>
      <w:bCs/>
    </w:rPr>
  </w:style>
  <w:style w:type="character" w:customStyle="1" w:styleId="CommentSubjectChar">
    <w:name w:val="Comment Subject Char"/>
    <w:basedOn w:val="CommentTextChar"/>
    <w:link w:val="CommentSubject"/>
    <w:uiPriority w:val="99"/>
    <w:semiHidden/>
    <w:rsid w:val="002C266B"/>
    <w:rPr>
      <w:rFonts w:cstheme="minorBidi"/>
      <w:b/>
      <w:bCs/>
      <w:sz w:val="20"/>
      <w:szCs w:val="20"/>
      <w:lang w:eastAsia="en-US" w:bidi="en-US"/>
    </w:rPr>
  </w:style>
  <w:style w:type="paragraph" w:customStyle="1" w:styleId="ApHeading1">
    <w:name w:val="Ap Heading 1"/>
    <w:basedOn w:val="Normal"/>
    <w:next w:val="Normal"/>
    <w:link w:val="ApHeading1Char"/>
    <w:qFormat/>
    <w:rsid w:val="00E537F3"/>
    <w:pPr>
      <w:numPr>
        <w:numId w:val="2"/>
      </w:numPr>
      <w:spacing w:before="240" w:after="60"/>
      <w:outlineLvl w:val="0"/>
    </w:pPr>
    <w:rPr>
      <w:rFonts w:ascii="Arial Bold" w:eastAsia="MS Gothic" w:hAnsi="Arial Bold" w:cs="Times New Roman"/>
      <w:b/>
      <w:bCs/>
      <w:color w:val="0F673B"/>
      <w:sz w:val="36"/>
      <w:szCs w:val="28"/>
      <w:lang w:bidi="ar-SA"/>
    </w:rPr>
  </w:style>
  <w:style w:type="character" w:customStyle="1" w:styleId="ApHeading1Char">
    <w:name w:val="Ap Heading 1 Char"/>
    <w:link w:val="ApHeading1"/>
    <w:rsid w:val="00E537F3"/>
    <w:rPr>
      <w:rFonts w:ascii="Arial Bold" w:eastAsia="MS Gothic" w:hAnsi="Arial Bold"/>
      <w:b/>
      <w:bCs/>
      <w:color w:val="0F673B"/>
      <w:sz w:val="36"/>
      <w:szCs w:val="28"/>
      <w:lang w:eastAsia="en-US"/>
    </w:rPr>
  </w:style>
  <w:style w:type="paragraph" w:customStyle="1" w:styleId="ApHeading2">
    <w:name w:val="Ap Heading 2"/>
    <w:basedOn w:val="Normal"/>
    <w:next w:val="Normal"/>
    <w:link w:val="ApHeading2Char"/>
    <w:qFormat/>
    <w:rsid w:val="00FE0F93"/>
    <w:pPr>
      <w:numPr>
        <w:ilvl w:val="1"/>
        <w:numId w:val="2"/>
      </w:numPr>
      <w:spacing w:before="400" w:after="60"/>
      <w:outlineLvl w:val="1"/>
    </w:pPr>
    <w:rPr>
      <w:rFonts w:ascii="Arial Bold" w:eastAsia="MS Mincho" w:hAnsi="Arial Bold" w:cs="Times New Roman"/>
      <w:b/>
      <w:smallCaps/>
      <w:color w:val="0F673B"/>
      <w:sz w:val="28"/>
      <w:szCs w:val="20"/>
      <w:lang w:bidi="ar-SA"/>
    </w:rPr>
  </w:style>
  <w:style w:type="paragraph" w:customStyle="1" w:styleId="ApHeading3">
    <w:name w:val="Ap Heading 3"/>
    <w:basedOn w:val="Normal"/>
    <w:next w:val="Normal"/>
    <w:link w:val="ApHeading3Char"/>
    <w:qFormat/>
    <w:rsid w:val="001166D1"/>
    <w:pPr>
      <w:numPr>
        <w:ilvl w:val="2"/>
        <w:numId w:val="2"/>
      </w:numPr>
      <w:spacing w:before="240" w:after="60"/>
      <w:outlineLvl w:val="2"/>
    </w:pPr>
    <w:rPr>
      <w:rFonts w:ascii="Arial Bold" w:eastAsia="MS Mincho" w:hAnsi="Arial Bold" w:cs="Times New Roman"/>
      <w:b/>
      <w:color w:val="76A240"/>
      <w:sz w:val="24"/>
      <w:szCs w:val="20"/>
      <w:lang w:bidi="ar-SA"/>
    </w:rPr>
  </w:style>
  <w:style w:type="paragraph" w:customStyle="1" w:styleId="ApHeading4">
    <w:name w:val="Ap Heading 4"/>
    <w:basedOn w:val="Normal"/>
    <w:next w:val="Normal"/>
    <w:link w:val="ApHeading4Char"/>
    <w:qFormat/>
    <w:rsid w:val="001166D1"/>
    <w:pPr>
      <w:numPr>
        <w:ilvl w:val="3"/>
        <w:numId w:val="2"/>
      </w:numPr>
      <w:spacing w:before="200" w:after="60"/>
      <w:ind w:left="864" w:hanging="864"/>
      <w:outlineLvl w:val="3"/>
    </w:pPr>
    <w:rPr>
      <w:rFonts w:asciiTheme="majorHAnsi" w:eastAsia="MS Mincho" w:hAnsiTheme="majorHAnsi" w:cs="Times New Roman"/>
      <w:b/>
      <w:color w:val="76A240"/>
      <w:sz w:val="24"/>
      <w:szCs w:val="20"/>
      <w:lang w:bidi="ar-SA"/>
    </w:rPr>
  </w:style>
  <w:style w:type="paragraph" w:customStyle="1" w:styleId="Normalaftertable">
    <w:name w:val="Normal after table"/>
    <w:basedOn w:val="Normal"/>
    <w:next w:val="Normal"/>
    <w:qFormat/>
    <w:rsid w:val="002E6423"/>
    <w:pPr>
      <w:spacing w:before="240"/>
    </w:pPr>
  </w:style>
  <w:style w:type="paragraph" w:customStyle="1" w:styleId="Tableleft">
    <w:name w:val="Table left"/>
    <w:basedOn w:val="Normal"/>
    <w:qFormat/>
    <w:rsid w:val="00C06852"/>
    <w:pPr>
      <w:spacing w:after="0" w:line="280" w:lineRule="exact"/>
    </w:pPr>
    <w:rPr>
      <w:szCs w:val="20"/>
    </w:rPr>
  </w:style>
  <w:style w:type="paragraph" w:customStyle="1" w:styleId="Tablecenter">
    <w:name w:val="Table center"/>
    <w:basedOn w:val="Normal"/>
    <w:qFormat/>
    <w:rsid w:val="00C06852"/>
    <w:pPr>
      <w:spacing w:after="0" w:line="280" w:lineRule="exact"/>
      <w:jc w:val="center"/>
    </w:pPr>
    <w:rPr>
      <w:szCs w:val="20"/>
    </w:rPr>
  </w:style>
  <w:style w:type="paragraph" w:customStyle="1" w:styleId="PullQuote">
    <w:name w:val="Pull Quote"/>
    <w:basedOn w:val="Normal"/>
    <w:qFormat/>
    <w:rsid w:val="00CE5156"/>
    <w:pPr>
      <w:spacing w:line="360" w:lineRule="exact"/>
      <w:ind w:left="288" w:right="18"/>
    </w:pPr>
    <w:rPr>
      <w:color w:val="0F673B"/>
      <w:sz w:val="28"/>
      <w:szCs w:val="28"/>
    </w:rPr>
  </w:style>
  <w:style w:type="paragraph" w:customStyle="1" w:styleId="TableSubcaption">
    <w:name w:val="Table Subcaption"/>
    <w:basedOn w:val="Normal"/>
    <w:next w:val="Normal"/>
    <w:qFormat/>
    <w:rsid w:val="00AF3AFD"/>
    <w:pPr>
      <w:jc w:val="center"/>
    </w:pPr>
    <w:rPr>
      <w:color w:val="0F673B" w:themeColor="background2"/>
      <w:sz w:val="20"/>
      <w:szCs w:val="20"/>
    </w:rPr>
  </w:style>
  <w:style w:type="character" w:customStyle="1" w:styleId="CaptionChar">
    <w:name w:val="Caption Char"/>
    <w:aliases w:val="Table Caption Char"/>
    <w:link w:val="Caption"/>
    <w:uiPriority w:val="35"/>
    <w:locked/>
    <w:rsid w:val="002A1931"/>
    <w:rPr>
      <w:rFonts w:ascii="Arial Bold" w:hAnsi="Arial Bold" w:cstheme="minorBidi"/>
      <w:b/>
      <w:bCs/>
      <w:color w:val="0F673B"/>
      <w:szCs w:val="18"/>
      <w:lang w:eastAsia="en-US" w:bidi="en-US"/>
    </w:rPr>
  </w:style>
  <w:style w:type="character" w:customStyle="1" w:styleId="ApHeading2Char">
    <w:name w:val="Ap Heading 2 Char"/>
    <w:basedOn w:val="DefaultParagraphFont"/>
    <w:link w:val="ApHeading2"/>
    <w:rsid w:val="00436707"/>
    <w:rPr>
      <w:rFonts w:ascii="Arial Bold" w:eastAsia="MS Mincho" w:hAnsi="Arial Bold"/>
      <w:b/>
      <w:smallCaps/>
      <w:color w:val="0F673B"/>
      <w:sz w:val="28"/>
      <w:szCs w:val="20"/>
      <w:lang w:eastAsia="en-US"/>
    </w:rPr>
  </w:style>
  <w:style w:type="character" w:customStyle="1" w:styleId="ApHeading3Char">
    <w:name w:val="Ap Heading 3 Char"/>
    <w:basedOn w:val="DefaultParagraphFont"/>
    <w:link w:val="ApHeading3"/>
    <w:rsid w:val="00436707"/>
    <w:rPr>
      <w:rFonts w:ascii="Arial Bold" w:eastAsia="MS Mincho" w:hAnsi="Arial Bold"/>
      <w:b/>
      <w:color w:val="76A240"/>
      <w:szCs w:val="20"/>
      <w:lang w:eastAsia="en-US"/>
    </w:rPr>
  </w:style>
  <w:style w:type="character" w:customStyle="1" w:styleId="ApHeading4Char">
    <w:name w:val="Ap Heading 4 Char"/>
    <w:basedOn w:val="DefaultParagraphFont"/>
    <w:link w:val="ApHeading4"/>
    <w:rsid w:val="00436707"/>
    <w:rPr>
      <w:rFonts w:asciiTheme="majorHAnsi" w:eastAsia="MS Mincho" w:hAnsiTheme="majorHAnsi"/>
      <w:b/>
      <w:color w:val="76A240"/>
      <w:szCs w:val="20"/>
      <w:lang w:eastAsia="en-US"/>
    </w:rPr>
  </w:style>
  <w:style w:type="paragraph" w:styleId="EndnoteText">
    <w:name w:val="endnote text"/>
    <w:basedOn w:val="Normal"/>
    <w:link w:val="EndnoteTextChar"/>
    <w:uiPriority w:val="99"/>
    <w:semiHidden/>
    <w:unhideWhenUsed/>
    <w:rsid w:val="00436707"/>
    <w:pPr>
      <w:spacing w:after="0" w:line="240" w:lineRule="auto"/>
      <w:jc w:val="both"/>
    </w:pPr>
    <w:rPr>
      <w:rFonts w:ascii="Times New Roman" w:hAnsi="Times New Roman"/>
      <w:sz w:val="20"/>
      <w:szCs w:val="20"/>
    </w:rPr>
  </w:style>
  <w:style w:type="character" w:customStyle="1" w:styleId="EndnoteTextChar">
    <w:name w:val="Endnote Text Char"/>
    <w:basedOn w:val="DefaultParagraphFont"/>
    <w:link w:val="EndnoteText"/>
    <w:uiPriority w:val="99"/>
    <w:semiHidden/>
    <w:rsid w:val="00436707"/>
    <w:rPr>
      <w:rFonts w:cstheme="minorBidi"/>
      <w:sz w:val="20"/>
      <w:szCs w:val="20"/>
      <w:lang w:eastAsia="en-US" w:bidi="en-US"/>
    </w:rPr>
  </w:style>
  <w:style w:type="character" w:styleId="EndnoteReference">
    <w:name w:val="endnote reference"/>
    <w:basedOn w:val="DefaultParagraphFont"/>
    <w:uiPriority w:val="99"/>
    <w:semiHidden/>
    <w:unhideWhenUsed/>
    <w:rsid w:val="00436707"/>
    <w:rPr>
      <w:vertAlign w:val="superscript"/>
    </w:rPr>
  </w:style>
  <w:style w:type="paragraph" w:styleId="Revision">
    <w:name w:val="Revision"/>
    <w:hidden/>
    <w:uiPriority w:val="99"/>
    <w:semiHidden/>
    <w:rsid w:val="00436707"/>
    <w:rPr>
      <w:rFonts w:cstheme="minorBidi"/>
      <w:szCs w:val="2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10" Type="http://schemas.openxmlformats.org/officeDocument/2006/relationships/endnotes" Target="endnotes.xml"/><Relationship Id="rId11" Type="http://schemas.openxmlformats.org/officeDocument/2006/relationships/image" Target="media/image1.jpg"/><Relationship Id="rId12" Type="http://schemas.openxmlformats.org/officeDocument/2006/relationships/image" Target="media/image2.png"/><Relationship Id="rId13" Type="http://schemas.openxmlformats.org/officeDocument/2006/relationships/image" Target="media/image210.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2.xml"/><Relationship Id="rId18" Type="http://schemas.openxmlformats.org/officeDocument/2006/relationships/footer" Target="footer3.xml"/><Relationship Id="rId19" Type="http://schemas.openxmlformats.org/officeDocument/2006/relationships/image" Target="media/image3.png"/><Relationship Id="rId30" Type="http://schemas.openxmlformats.org/officeDocument/2006/relationships/image" Target="media/image9.png"/><Relationship Id="rId31" Type="http://schemas.openxmlformats.org/officeDocument/2006/relationships/image" Target="media/image10.png"/><Relationship Id="rId32" Type="http://schemas.openxmlformats.org/officeDocument/2006/relationships/image" Target="media/image11.png"/><Relationship Id="rId33" Type="http://schemas.openxmlformats.org/officeDocument/2006/relationships/footer" Target="footer7.xml"/><Relationship Id="rId34" Type="http://schemas.openxmlformats.org/officeDocument/2006/relationships/header" Target="header5.xml"/><Relationship Id="rId35" Type="http://schemas.openxmlformats.org/officeDocument/2006/relationships/footer" Target="footer8.xml"/><Relationship Id="rId36" Type="http://schemas.openxmlformats.org/officeDocument/2006/relationships/header" Target="header6.xml"/><Relationship Id="rId37" Type="http://schemas.openxmlformats.org/officeDocument/2006/relationships/footer" Target="footer9.xml"/><Relationship Id="rId38" Type="http://schemas.openxmlformats.org/officeDocument/2006/relationships/header" Target="header7.xml"/><Relationship Id="rId39" Type="http://schemas.openxmlformats.org/officeDocument/2006/relationships/footer" Target="footer10.xml"/><Relationship Id="rId50" Type="http://schemas.openxmlformats.org/officeDocument/2006/relationships/image" Target="media/image22.png"/><Relationship Id="rId51" Type="http://schemas.openxmlformats.org/officeDocument/2006/relationships/image" Target="media/image23.png"/><Relationship Id="rId52" Type="http://schemas.openxmlformats.org/officeDocument/2006/relationships/image" Target="media/image24.png"/><Relationship Id="rId53" Type="http://schemas.openxmlformats.org/officeDocument/2006/relationships/image" Target="media/image25.png"/><Relationship Id="rId54" Type="http://schemas.openxmlformats.org/officeDocument/2006/relationships/image" Target="media/image26.png"/><Relationship Id="rId55" Type="http://schemas.openxmlformats.org/officeDocument/2006/relationships/image" Target="media/image27.png"/><Relationship Id="rId56" Type="http://schemas.openxmlformats.org/officeDocument/2006/relationships/image" Target="media/image28.png"/><Relationship Id="rId57" Type="http://schemas.openxmlformats.org/officeDocument/2006/relationships/image" Target="media/image29.png"/><Relationship Id="rId58" Type="http://schemas.openxmlformats.org/officeDocument/2006/relationships/image" Target="media/image30.png"/><Relationship Id="rId59" Type="http://schemas.openxmlformats.org/officeDocument/2006/relationships/image" Target="media/image31.png"/><Relationship Id="rId70" Type="http://schemas.openxmlformats.org/officeDocument/2006/relationships/image" Target="media/image42.png"/><Relationship Id="rId71" Type="http://schemas.openxmlformats.org/officeDocument/2006/relationships/image" Target="media/image43.png"/><Relationship Id="rId72" Type="http://schemas.openxmlformats.org/officeDocument/2006/relationships/image" Target="media/image44.png"/><Relationship Id="rId73" Type="http://schemas.openxmlformats.org/officeDocument/2006/relationships/image" Target="media/image45.png"/><Relationship Id="rId74" Type="http://schemas.openxmlformats.org/officeDocument/2006/relationships/image" Target="media/image46.png"/><Relationship Id="rId75" Type="http://schemas.openxmlformats.org/officeDocument/2006/relationships/image" Target="media/image47.png"/><Relationship Id="rId76" Type="http://schemas.openxmlformats.org/officeDocument/2006/relationships/image" Target="media/image48.png"/><Relationship Id="rId77" Type="http://schemas.openxmlformats.org/officeDocument/2006/relationships/header" Target="header8.xml"/><Relationship Id="rId78" Type="http://schemas.openxmlformats.org/officeDocument/2006/relationships/footer" Target="footer11.xml"/><Relationship Id="rId79" Type="http://schemas.openxmlformats.org/officeDocument/2006/relationships/header" Target="header9.xml"/><Relationship Id="rId90" Type="http://schemas.openxmlformats.org/officeDocument/2006/relationships/hyperlink" Target="http://www.dpuc.state.ct.us/dockcurr.nsf/8e6fc37a54110e3e852576190052b64d/9a0971f21cbf5a3e85257a8d004be07c?OpenDocument" TargetMode="External"/><Relationship Id="rId91" Type="http://schemas.openxmlformats.org/officeDocument/2006/relationships/hyperlink" Target="http://www.eia.gov/forecasts/aeo/sector_residential.cfm" TargetMode="External"/><Relationship Id="rId92" Type="http://schemas.openxmlformats.org/officeDocument/2006/relationships/header" Target="header11.xml"/><Relationship Id="rId93" Type="http://schemas.openxmlformats.org/officeDocument/2006/relationships/header" Target="header12.xml"/><Relationship Id="rId94" Type="http://schemas.openxmlformats.org/officeDocument/2006/relationships/footer" Target="footer20.xml"/><Relationship Id="rId95" Type="http://schemas.openxmlformats.org/officeDocument/2006/relationships/header" Target="header13.xml"/><Relationship Id="rId96" Type="http://schemas.openxmlformats.org/officeDocument/2006/relationships/footer" Target="footer21.xml"/><Relationship Id="rId97" Type="http://schemas.openxmlformats.org/officeDocument/2006/relationships/header" Target="header14.xml"/><Relationship Id="rId98" Type="http://schemas.openxmlformats.org/officeDocument/2006/relationships/footer" Target="footer22.xml"/><Relationship Id="rId99" Type="http://schemas.openxmlformats.org/officeDocument/2006/relationships/fontTable" Target="fontTable.xml"/><Relationship Id="rId20" Type="http://schemas.openxmlformats.org/officeDocument/2006/relationships/footer" Target="footer4.xml"/><Relationship Id="rId21" Type="http://schemas.openxmlformats.org/officeDocument/2006/relationships/header" Target="header3.xml"/><Relationship Id="rId22" Type="http://schemas.openxmlformats.org/officeDocument/2006/relationships/footer" Target="footer5.xml"/><Relationship Id="rId23" Type="http://schemas.openxmlformats.org/officeDocument/2006/relationships/header" Target="header4.xml"/><Relationship Id="rId24" Type="http://schemas.openxmlformats.org/officeDocument/2006/relationships/footer" Target="footer6.xml"/><Relationship Id="rId25" Type="http://schemas.openxmlformats.org/officeDocument/2006/relationships/image" Target="media/image4.png"/><Relationship Id="rId26" Type="http://schemas.openxmlformats.org/officeDocument/2006/relationships/image" Target="media/image5.png"/><Relationship Id="rId27" Type="http://schemas.openxmlformats.org/officeDocument/2006/relationships/image" Target="media/image6.png"/><Relationship Id="rId28" Type="http://schemas.openxmlformats.org/officeDocument/2006/relationships/image" Target="media/image7.png"/><Relationship Id="rId29" Type="http://schemas.openxmlformats.org/officeDocument/2006/relationships/image" Target="media/image8.png"/><Relationship Id="rId40" Type="http://schemas.openxmlformats.org/officeDocument/2006/relationships/image" Target="media/image12.png"/><Relationship Id="rId41" Type="http://schemas.openxmlformats.org/officeDocument/2006/relationships/image" Target="media/image13.png"/><Relationship Id="rId42" Type="http://schemas.openxmlformats.org/officeDocument/2006/relationships/image" Target="media/image14.png"/><Relationship Id="rId43" Type="http://schemas.openxmlformats.org/officeDocument/2006/relationships/image" Target="media/image15.png"/><Relationship Id="rId44" Type="http://schemas.openxmlformats.org/officeDocument/2006/relationships/image" Target="media/image16.png"/><Relationship Id="rId45" Type="http://schemas.openxmlformats.org/officeDocument/2006/relationships/image" Target="media/image17.png"/><Relationship Id="rId46" Type="http://schemas.openxmlformats.org/officeDocument/2006/relationships/image" Target="media/image18.png"/><Relationship Id="rId47" Type="http://schemas.openxmlformats.org/officeDocument/2006/relationships/image" Target="media/image19.png"/><Relationship Id="rId48" Type="http://schemas.openxmlformats.org/officeDocument/2006/relationships/image" Target="media/image20.png"/><Relationship Id="rId49" Type="http://schemas.openxmlformats.org/officeDocument/2006/relationships/image" Target="media/image21.png"/><Relationship Id="rId60" Type="http://schemas.openxmlformats.org/officeDocument/2006/relationships/image" Target="media/image32.png"/><Relationship Id="rId61" Type="http://schemas.openxmlformats.org/officeDocument/2006/relationships/image" Target="media/image33.png"/><Relationship Id="rId62" Type="http://schemas.openxmlformats.org/officeDocument/2006/relationships/image" Target="media/image34.png"/><Relationship Id="rId63" Type="http://schemas.openxmlformats.org/officeDocument/2006/relationships/image" Target="media/image35.png"/><Relationship Id="rId64" Type="http://schemas.openxmlformats.org/officeDocument/2006/relationships/image" Target="media/image36.png"/><Relationship Id="rId65" Type="http://schemas.openxmlformats.org/officeDocument/2006/relationships/image" Target="media/image37.png"/><Relationship Id="rId66" Type="http://schemas.openxmlformats.org/officeDocument/2006/relationships/image" Target="media/image38.png"/><Relationship Id="rId67" Type="http://schemas.openxmlformats.org/officeDocument/2006/relationships/image" Target="media/image39.png"/><Relationship Id="rId68" Type="http://schemas.openxmlformats.org/officeDocument/2006/relationships/image" Target="media/image40.png"/><Relationship Id="rId69" Type="http://schemas.openxmlformats.org/officeDocument/2006/relationships/image" Target="media/image41.png"/><Relationship Id="rId100" Type="http://schemas.openxmlformats.org/officeDocument/2006/relationships/theme" Target="theme/theme1.xml"/><Relationship Id="rId80" Type="http://schemas.openxmlformats.org/officeDocument/2006/relationships/footer" Target="footer12.xml"/><Relationship Id="rId81" Type="http://schemas.openxmlformats.org/officeDocument/2006/relationships/header" Target="header10.xml"/><Relationship Id="rId82" Type="http://schemas.openxmlformats.org/officeDocument/2006/relationships/footer" Target="footer13.xml"/><Relationship Id="rId83" Type="http://schemas.openxmlformats.org/officeDocument/2006/relationships/footer" Target="footer14.xml"/><Relationship Id="rId84" Type="http://schemas.openxmlformats.org/officeDocument/2006/relationships/footer" Target="footer15.xml"/><Relationship Id="rId85" Type="http://schemas.openxmlformats.org/officeDocument/2006/relationships/footer" Target="footer16.xml"/><Relationship Id="rId86" Type="http://schemas.openxmlformats.org/officeDocument/2006/relationships/footer" Target="footer17.xml"/><Relationship Id="rId87" Type="http://schemas.openxmlformats.org/officeDocument/2006/relationships/footer" Target="footer18.xml"/><Relationship Id="rId88" Type="http://schemas.openxmlformats.org/officeDocument/2006/relationships/footer" Target="footer19.xml"/><Relationship Id="rId89" Type="http://schemas.openxmlformats.org/officeDocument/2006/relationships/hyperlink" Target="http://iso-ne.com/trans/celt/fsct_detail/index.html"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1" Type="http://schemas.openxmlformats.org/officeDocument/2006/relationships/image" Target="media/image2.png"/></Relationships>
</file>

<file path=word/_rels/footer16.xml.rels><?xml version="1.0" encoding="UTF-8" standalone="yes"?>
<Relationships xmlns="http://schemas.openxmlformats.org/package/2006/relationships"><Relationship Id="rId1" Type="http://schemas.openxmlformats.org/officeDocument/2006/relationships/image" Target="media/image2.png"/></Relationships>
</file>

<file path=word/_rels/footer17.xml.rels><?xml version="1.0" encoding="UTF-8" standalone="yes"?>
<Relationships xmlns="http://schemas.openxmlformats.org/package/2006/relationships"><Relationship Id="rId1" Type="http://schemas.openxmlformats.org/officeDocument/2006/relationships/image" Target="media/image2.png"/></Relationships>
</file>

<file path=word/_rels/footer18.xml.rels><?xml version="1.0" encoding="UTF-8" standalone="yes"?>
<Relationships xmlns="http://schemas.openxmlformats.org/package/2006/relationships"><Relationship Id="rId1" Type="http://schemas.openxmlformats.org/officeDocument/2006/relationships/image" Target="media/image2.png"/></Relationships>
</file>

<file path=word/_rels/footer19.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20.xml.rels><?xml version="1.0" encoding="UTF-8" standalone="yes"?>
<Relationships xmlns="http://schemas.openxmlformats.org/package/2006/relationships"><Relationship Id="rId1" Type="http://schemas.openxmlformats.org/officeDocument/2006/relationships/image" Target="media/image2.png"/></Relationships>
</file>

<file path=word/_rels/footer21.xml.rels><?xml version="1.0" encoding="UTF-8" standalone="yes"?>
<Relationships xmlns="http://schemas.openxmlformats.org/package/2006/relationships"><Relationship Id="rId1" Type="http://schemas.openxmlformats.org/officeDocument/2006/relationships/image" Target="media/image2.png"/></Relationships>
</file>

<file path=word/_rels/footer2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1" Type="http://schemas.openxmlformats.org/officeDocument/2006/relationships/hyperlink" Target="http://publicservice.vermont.gov/sites/psd/files/Topics/Energy_Efficiency/EVT_Performance_Eval/VT%20SF%20Existing%20Homes%20Onsite%20Report%20-%20final%20021513.pdf" TargetMode="External"/><Relationship Id="rId12" Type="http://schemas.openxmlformats.org/officeDocument/2006/relationships/hyperlink" Target="http://energy.gov/eere/buildings/standards-and-test-procedures" TargetMode="External"/><Relationship Id="rId13" Type="http://schemas.openxmlformats.org/officeDocument/2006/relationships/hyperlink" Target="http://www.appliance-standards.org/national" TargetMode="External"/><Relationship Id="rId1" Type="http://schemas.openxmlformats.org/officeDocument/2006/relationships/hyperlink" Target="http://www.ctenergyinfo.com/2013%20Program%20Savings%20Documentation%20-%20Final.pdf" TargetMode="External"/><Relationship Id="rId2" Type="http://schemas.openxmlformats.org/officeDocument/2006/relationships/hyperlink" Target="http://www.appliance-standards.org/national" TargetMode="External"/><Relationship Id="rId3" Type="http://schemas.openxmlformats.org/officeDocument/2006/relationships/hyperlink" Target="http://www.ctenergyinfo.com/2013%20Program%20Savings%20Documentation%20-%20Final.pdf" TargetMode="External"/><Relationship Id="rId4" Type="http://schemas.openxmlformats.org/officeDocument/2006/relationships/hyperlink" Target="https://app.box.com/s/o1f3bhbunib2av2wiblu" TargetMode="External"/><Relationship Id="rId5" Type="http://schemas.openxmlformats.org/officeDocument/2006/relationships/hyperlink" Target="http://www.nrel.gov/docs/fy09osti/44816.pdf" TargetMode="External"/><Relationship Id="rId6" Type="http://schemas.openxmlformats.org/officeDocument/2006/relationships/hyperlink" Target="http://www.yankeegas.com/downloads/servicemap.pdf?id=4294988935&amp;dl=t" TargetMode="External"/><Relationship Id="rId7" Type="http://schemas.openxmlformats.org/officeDocument/2006/relationships/hyperlink" Target="http://www.epa.gov/cleanenergy/documents/suca/resource_planning.pdf" TargetMode="External"/><Relationship Id="rId8" Type="http://schemas.openxmlformats.org/officeDocument/2006/relationships/hyperlink" Target="http://www.eia.gov/consumption/residential/index.cfm" TargetMode="External"/><Relationship Id="rId9" Type="http://schemas.openxmlformats.org/officeDocument/2006/relationships/hyperlink" Target="http://www.ctenergyinfo.com/2013%20Program%20Savings%20Documentation%20-%20Final.pdf" TargetMode="External"/><Relationship Id="rId10" Type="http://schemas.openxmlformats.org/officeDocument/2006/relationships/hyperlink" Target="http://publicservice.vermont.gov/sites/psd/files/Topics/Energy_Efficiency/EVT_Performance_Eval/VT%20SF%20Existing%20Homes%20Onsite%20Report%20-%20final%20021513.pdf" TargetMode="External"/></Relationships>
</file>

<file path=word/theme/theme1.xml><?xml version="1.0" encoding="utf-8"?>
<a:theme xmlns:a="http://schemas.openxmlformats.org/drawingml/2006/main" name="Office Theme">
  <a:themeElements>
    <a:clrScheme name="NMR Template Colors">
      <a:dk1>
        <a:sysClr val="windowText" lastClr="000000"/>
      </a:dk1>
      <a:lt1>
        <a:sysClr val="window" lastClr="FFFFFF"/>
      </a:lt1>
      <a:dk2>
        <a:srgbClr val="093D22"/>
      </a:dk2>
      <a:lt2>
        <a:srgbClr val="0F673B"/>
      </a:lt2>
      <a:accent1>
        <a:srgbClr val="76A240"/>
      </a:accent1>
      <a:accent2>
        <a:srgbClr val="C0E007"/>
      </a:accent2>
      <a:accent3>
        <a:srgbClr val="E7E597"/>
      </a:accent3>
      <a:accent4>
        <a:srgbClr val="01717A"/>
      </a:accent4>
      <a:accent5>
        <a:srgbClr val="495A84"/>
      </a:accent5>
      <a:accent6>
        <a:srgbClr val="FFCF06"/>
      </a:accent6>
      <a:hlink>
        <a:srgbClr val="666666"/>
      </a:hlink>
      <a:folHlink>
        <a:srgbClr val="CCCCCC"/>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F51AAC713DBA142B8AC01EB2FAD2E29" ma:contentTypeVersion="0" ma:contentTypeDescription="Create a new document." ma:contentTypeScope="" ma:versionID="ca5bab3bdbe177717314f716a36eaeb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0316A6-EB2F-4FD0-9469-6754B10E98C8}">
  <ds:schemaRefs>
    <ds:schemaRef ds:uri="http://schemas.microsoft.com/sharepoint/v3/contenttype/forms"/>
  </ds:schemaRefs>
</ds:datastoreItem>
</file>

<file path=customXml/itemProps2.xml><?xml version="1.0" encoding="utf-8"?>
<ds:datastoreItem xmlns:ds="http://schemas.openxmlformats.org/officeDocument/2006/customXml" ds:itemID="{4A90E9F1-B788-4640-A7BE-349A851C435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21EA96E-5376-4798-B299-B1F68BBB67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BADE5D2-F45C-B348-A035-C94C8FB7F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118</Pages>
  <Words>27574</Words>
  <Characters>157178</Characters>
  <Application>Microsoft Macintosh Word</Application>
  <DocSecurity>0</DocSecurity>
  <Lines>1309</Lines>
  <Paragraphs>368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184384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Esko Peter</dc:creator>
  <cp:keywords/>
  <dc:description/>
  <cp:lastModifiedBy>Craig Diamond</cp:lastModifiedBy>
  <cp:revision>2</cp:revision>
  <cp:lastPrinted>2014-09-09T19:26:00Z</cp:lastPrinted>
  <dcterms:created xsi:type="dcterms:W3CDTF">2016-02-05T00:34:00Z</dcterms:created>
  <dcterms:modified xsi:type="dcterms:W3CDTF">2016-02-05T00:34:00Z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0x0101009F51AAC713DBA142B8AC01EB2FAD2E29</vt:lpwstr>
  </property>
</Properties>
</file>