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4E426" w14:textId="68C9D338" w:rsidR="00645192" w:rsidRPr="00113D12" w:rsidRDefault="00B939DD" w:rsidP="00113D12">
      <w:pPr>
        <w:pStyle w:val="NoSpacing"/>
      </w:pPr>
      <w:r w:rsidRPr="00113D12">
        <w:t xml:space="preserve">  </w:t>
      </w:r>
    </w:p>
    <w:p w14:paraId="31872772" w14:textId="77777777" w:rsidR="00645192" w:rsidRPr="00113D12" w:rsidRDefault="00645192" w:rsidP="00113D12">
      <w:pPr>
        <w:pStyle w:val="NoSpacing"/>
      </w:pPr>
    </w:p>
    <w:p w14:paraId="281FDAE5" w14:textId="77777777" w:rsidR="00645192" w:rsidRPr="00113D12" w:rsidRDefault="00645192" w:rsidP="00113D12">
      <w:pPr>
        <w:pStyle w:val="NoSpacing"/>
      </w:pPr>
    </w:p>
    <w:p w14:paraId="5400407E" w14:textId="24E1AAA0" w:rsidR="004C48D6" w:rsidRPr="00113D12" w:rsidRDefault="00095C46" w:rsidP="00113D12">
      <w:pPr>
        <w:pStyle w:val="NoSpacing"/>
      </w:pPr>
      <w:r>
        <w:t>May</w:t>
      </w:r>
      <w:r w:rsidR="00632B92">
        <w:t xml:space="preserve"> </w:t>
      </w:r>
      <w:r>
        <w:t>8</w:t>
      </w:r>
      <w:r w:rsidR="00632B92">
        <w:t>, 2023</w:t>
      </w:r>
    </w:p>
    <w:p w14:paraId="53F65D5C" w14:textId="1DA7A3AF" w:rsidR="004C48D6" w:rsidRPr="00113D12" w:rsidRDefault="00B939DD" w:rsidP="00113D12">
      <w:pPr>
        <w:pStyle w:val="NoSpacing"/>
      </w:pPr>
      <w:r w:rsidRPr="00113D12">
        <w:t xml:space="preserve"> </w:t>
      </w:r>
    </w:p>
    <w:p w14:paraId="28B6FFA9" w14:textId="77777777" w:rsidR="004C48D6" w:rsidRPr="00113D12" w:rsidRDefault="004C48D6" w:rsidP="00113D12">
      <w:pPr>
        <w:pStyle w:val="NoSpacing"/>
      </w:pPr>
      <w:r w:rsidRPr="00113D12">
        <w:t>Lisa A. Skumatz, Ph.D.</w:t>
      </w:r>
    </w:p>
    <w:p w14:paraId="0F7AC0BA" w14:textId="77777777" w:rsidR="004C48D6" w:rsidRPr="00113D12" w:rsidRDefault="004C48D6" w:rsidP="00113D12">
      <w:pPr>
        <w:pStyle w:val="NoSpacing"/>
      </w:pPr>
      <w:r w:rsidRPr="00113D12">
        <w:t>Skumatz Economic Research Associates (SERA)</w:t>
      </w:r>
    </w:p>
    <w:p w14:paraId="73405A3D" w14:textId="77777777" w:rsidR="004C48D6" w:rsidRPr="00113D12" w:rsidRDefault="004C48D6" w:rsidP="00113D12">
      <w:pPr>
        <w:pStyle w:val="NoSpacing"/>
      </w:pPr>
      <w:r w:rsidRPr="00113D12">
        <w:t>762 Eldorado Drive</w:t>
      </w:r>
    </w:p>
    <w:p w14:paraId="06D2B89F" w14:textId="2D686931" w:rsidR="004C48D6" w:rsidRPr="00113D12" w:rsidRDefault="004C48D6" w:rsidP="00113D12">
      <w:pPr>
        <w:pStyle w:val="NoSpacing"/>
      </w:pPr>
      <w:r w:rsidRPr="00113D12">
        <w:t>Superior, CO 80027</w:t>
      </w:r>
    </w:p>
    <w:p w14:paraId="19983D51" w14:textId="77777777" w:rsidR="004C48D6" w:rsidRPr="00113D12" w:rsidRDefault="004C48D6" w:rsidP="00113D12">
      <w:pPr>
        <w:pStyle w:val="NoSpacing"/>
      </w:pPr>
    </w:p>
    <w:p w14:paraId="5D0152F3" w14:textId="741EEBF1" w:rsidR="004C48D6" w:rsidRPr="00113D12" w:rsidRDefault="004C48D6" w:rsidP="00113D12">
      <w:pPr>
        <w:pStyle w:val="NoSpacing"/>
      </w:pPr>
      <w:r w:rsidRPr="00113D12">
        <w:t>RE:</w:t>
      </w:r>
      <w:r w:rsidR="00020669" w:rsidRPr="00020669">
        <w:t xml:space="preserve"> </w:t>
      </w:r>
      <w:r w:rsidR="00BE5D1E">
        <w:t>C2014B</w:t>
      </w:r>
      <w:r w:rsidR="00020669" w:rsidRPr="00020669">
        <w:t xml:space="preserve"> </w:t>
      </w:r>
      <w:r w:rsidR="008978DE">
        <w:t>C&amp;I Lighting</w:t>
      </w:r>
      <w:r w:rsidR="00020669" w:rsidRPr="00020669">
        <w:t xml:space="preserve"> </w:t>
      </w:r>
      <w:r w:rsidR="005A6D00">
        <w:t>Net</w:t>
      </w:r>
      <w:r w:rsidR="00A2096D">
        <w:t xml:space="preserve">-to-Gross </w:t>
      </w:r>
      <w:r w:rsidR="00EA04CC">
        <w:t>2024-2026</w:t>
      </w:r>
    </w:p>
    <w:p w14:paraId="25CBD899" w14:textId="352626D4" w:rsidR="004C48D6" w:rsidRPr="00113D12" w:rsidRDefault="004C48D6" w:rsidP="00113D12">
      <w:pPr>
        <w:pStyle w:val="NoSpacing"/>
      </w:pPr>
    </w:p>
    <w:p w14:paraId="16D80E0B" w14:textId="18412846" w:rsidR="004C48D6" w:rsidRPr="00113D12" w:rsidRDefault="004C48D6" w:rsidP="00113D12">
      <w:pPr>
        <w:pStyle w:val="NoSpacing"/>
      </w:pPr>
      <w:r w:rsidRPr="00113D12">
        <w:t>Dear Dr. Skumatz,</w:t>
      </w:r>
    </w:p>
    <w:p w14:paraId="16B2B75F" w14:textId="77777777" w:rsidR="004C48D6" w:rsidRPr="00113D12" w:rsidRDefault="004C48D6" w:rsidP="00113D12">
      <w:pPr>
        <w:pStyle w:val="NoSpacing"/>
      </w:pPr>
    </w:p>
    <w:p w14:paraId="232C72EA" w14:textId="084D1C8A" w:rsidR="004C48D6" w:rsidRPr="00113D12" w:rsidRDefault="004C48D6" w:rsidP="00113D12">
      <w:pPr>
        <w:pStyle w:val="NoSpacing"/>
      </w:pPr>
      <w:r w:rsidRPr="00113D12">
        <w:t>Eversource Energy (</w:t>
      </w:r>
      <w:r w:rsidR="00857DA0" w:rsidRPr="00113D12">
        <w:t>“Eversource”</w:t>
      </w:r>
      <w:r w:rsidRPr="00113D12">
        <w:t xml:space="preserve">) </w:t>
      </w:r>
      <w:r w:rsidR="00857DA0" w:rsidRPr="00113D12">
        <w:t>is</w:t>
      </w:r>
      <w:r w:rsidRPr="00113D12">
        <w:t xml:space="preserve"> pleased to submit these written comments regarding the</w:t>
      </w:r>
      <w:r w:rsidR="008F7753" w:rsidRPr="00113D12">
        <w:t xml:space="preserve"> </w:t>
      </w:r>
      <w:r w:rsidR="00E42ECB" w:rsidRPr="00113D12">
        <w:t>Review Draft</w:t>
      </w:r>
      <w:r w:rsidRPr="00113D12">
        <w:t xml:space="preserve"> </w:t>
      </w:r>
      <w:r w:rsidR="00A2096D">
        <w:t>Report</w:t>
      </w:r>
      <w:r w:rsidRPr="00113D12">
        <w:t xml:space="preserve">: </w:t>
      </w:r>
      <w:r w:rsidR="00A2096D">
        <w:t>C2014B</w:t>
      </w:r>
      <w:r w:rsidR="00A2096D" w:rsidRPr="00020669">
        <w:t xml:space="preserve"> </w:t>
      </w:r>
      <w:r w:rsidR="00CA04BD">
        <w:t xml:space="preserve">Commercial and &amp; Industrial </w:t>
      </w:r>
      <w:r w:rsidR="00A2096D">
        <w:t>Lighting</w:t>
      </w:r>
      <w:r w:rsidR="00A2096D" w:rsidRPr="00020669">
        <w:t xml:space="preserve"> </w:t>
      </w:r>
      <w:r w:rsidR="00A2096D">
        <w:t xml:space="preserve">Net-to-Gross </w:t>
      </w:r>
      <w:r w:rsidR="00EA04CC">
        <w:t>2024-2026</w:t>
      </w:r>
      <w:r w:rsidR="00A2096D">
        <w:t xml:space="preserve"> </w:t>
      </w:r>
      <w:r w:rsidR="00673303" w:rsidRPr="00113D12">
        <w:t xml:space="preserve">(“Draft </w:t>
      </w:r>
      <w:r w:rsidR="00EA04CC">
        <w:t>Report</w:t>
      </w:r>
      <w:r w:rsidR="00673303" w:rsidRPr="00113D12">
        <w:t>”)</w:t>
      </w:r>
      <w:r w:rsidRPr="00113D12">
        <w:t xml:space="preserve">, by </w:t>
      </w:r>
      <w:r w:rsidR="002F7DD1">
        <w:t>DNV</w:t>
      </w:r>
      <w:r w:rsidR="00020669">
        <w:t xml:space="preserve"> </w:t>
      </w:r>
      <w:r w:rsidRPr="00113D12">
        <w:t xml:space="preserve">(“Evaluator”). </w:t>
      </w:r>
      <w:r w:rsidR="00675251">
        <w:t>Eversource</w:t>
      </w:r>
      <w:r w:rsidR="008F7753" w:rsidRPr="00113D12">
        <w:t xml:space="preserve"> </w:t>
      </w:r>
      <w:r w:rsidRPr="00113D12">
        <w:t xml:space="preserve">received the </w:t>
      </w:r>
      <w:r w:rsidR="00F82486" w:rsidRPr="00113D12">
        <w:t>Draft</w:t>
      </w:r>
      <w:r w:rsidR="0075542B" w:rsidRPr="00113D12">
        <w:t xml:space="preserve"> </w:t>
      </w:r>
      <w:r w:rsidR="009A75A4">
        <w:t>Report</w:t>
      </w:r>
      <w:r w:rsidRPr="00113D12">
        <w:t xml:space="preserve"> on </w:t>
      </w:r>
      <w:r w:rsidR="00756E1B">
        <w:t>April 24</w:t>
      </w:r>
      <w:r w:rsidR="00020669">
        <w:t>, 202</w:t>
      </w:r>
      <w:r w:rsidR="00756E1B">
        <w:t>3</w:t>
      </w:r>
      <w:r w:rsidR="001B6DB0">
        <w:t>, with a req</w:t>
      </w:r>
      <w:r w:rsidR="009A75A4">
        <w:t xml:space="preserve">uest to provide comments by </w:t>
      </w:r>
      <w:r w:rsidR="00B96DF1">
        <w:t>May 8, 2023</w:t>
      </w:r>
      <w:r w:rsidR="00020669">
        <w:t>.</w:t>
      </w:r>
      <w:r w:rsidR="00645192" w:rsidRPr="00113D12">
        <w:t xml:space="preserve"> </w:t>
      </w:r>
      <w:r w:rsidRPr="00113D12">
        <w:t>Per the Energy Efficiency Board Evaluation Road Map Process, these comments are</w:t>
      </w:r>
      <w:r w:rsidR="003C4A15" w:rsidRPr="00113D12">
        <w:t xml:space="preserve"> in response to the Draft </w:t>
      </w:r>
      <w:r w:rsidR="00020669">
        <w:t>Memo</w:t>
      </w:r>
      <w:r w:rsidRPr="00113D12">
        <w:t xml:space="preserve"> for</w:t>
      </w:r>
      <w:r w:rsidR="008F7753" w:rsidRPr="00113D12">
        <w:t xml:space="preserve"> </w:t>
      </w:r>
      <w:r w:rsidRPr="00113D12">
        <w:t xml:space="preserve">consideration for inclusion in the </w:t>
      </w:r>
      <w:r w:rsidR="00A169D7" w:rsidRPr="00113D12">
        <w:t>Final</w:t>
      </w:r>
      <w:r w:rsidRPr="00113D12">
        <w:t xml:space="preserve"> </w:t>
      </w:r>
      <w:r w:rsidR="00020669">
        <w:t>Memo</w:t>
      </w:r>
      <w:r w:rsidRPr="00113D12">
        <w:t>.</w:t>
      </w:r>
    </w:p>
    <w:p w14:paraId="6AA1CCAB" w14:textId="5C35B7E7" w:rsidR="00D96304" w:rsidRPr="00113D12" w:rsidRDefault="00D96304" w:rsidP="00113D12">
      <w:pPr>
        <w:pStyle w:val="NoSpacing"/>
      </w:pPr>
    </w:p>
    <w:p w14:paraId="272B3CC1" w14:textId="0EA10BE7" w:rsidR="0070273F" w:rsidRDefault="001A3EA9" w:rsidP="004E1D13">
      <w:pPr>
        <w:autoSpaceDE w:val="0"/>
        <w:autoSpaceDN w:val="0"/>
        <w:adjustRightInd w:val="0"/>
        <w:spacing w:after="0" w:line="240" w:lineRule="auto"/>
      </w:pPr>
      <w:r w:rsidRPr="001A3EA9">
        <w:t xml:space="preserve">The main objective of this study was to establish prospective </w:t>
      </w:r>
      <w:r w:rsidR="002642D1">
        <w:t>n</w:t>
      </w:r>
      <w:r w:rsidRPr="001A3EA9">
        <w:t>et-to-</w:t>
      </w:r>
      <w:r w:rsidR="002642D1">
        <w:t>g</w:t>
      </w:r>
      <w:r w:rsidRPr="001A3EA9">
        <w:t xml:space="preserve">ross (NTG) ratios to be applied in the Program Savings Document (PSD) for </w:t>
      </w:r>
      <w:r w:rsidR="00EB4916">
        <w:t xml:space="preserve">2024 and </w:t>
      </w:r>
      <w:r w:rsidRPr="001A3EA9">
        <w:t xml:space="preserve">future program years. </w:t>
      </w:r>
      <w:r w:rsidR="002642D1">
        <w:t>Th</w:t>
      </w:r>
      <w:r w:rsidR="0024109E">
        <w:t xml:space="preserve">e Evaluator conducted participant surveys </w:t>
      </w:r>
      <w:r w:rsidR="001A603D">
        <w:t>to quantify free-ridership and spillover rates</w:t>
      </w:r>
      <w:r w:rsidR="00646990">
        <w:t xml:space="preserve"> </w:t>
      </w:r>
      <w:r w:rsidR="00E61320">
        <w:t xml:space="preserve">for each lighting category </w:t>
      </w:r>
      <w:r w:rsidR="00646990">
        <w:t>and developed</w:t>
      </w:r>
      <w:r w:rsidR="001A603D">
        <w:t xml:space="preserve"> </w:t>
      </w:r>
      <w:r w:rsidR="00646990">
        <w:t xml:space="preserve">NTG ratios </w:t>
      </w:r>
      <w:r w:rsidR="00FA2B6B">
        <w:t xml:space="preserve">for prospective application in the Energy Opportunities (EO), Small Business Energy Advantage (Small Business), and </w:t>
      </w:r>
      <w:r w:rsidR="007B6ECA">
        <w:t>Mid</w:t>
      </w:r>
      <w:r w:rsidR="00A361D5">
        <w:t>s</w:t>
      </w:r>
      <w:r w:rsidR="007B6ECA">
        <w:t>tream</w:t>
      </w:r>
      <w:r w:rsidR="00FA2B6B">
        <w:t xml:space="preserve"> programs in Connecticut.</w:t>
      </w:r>
    </w:p>
    <w:p w14:paraId="21EE0613" w14:textId="77777777" w:rsidR="008B6189" w:rsidRDefault="008B6189" w:rsidP="00113D12">
      <w:pPr>
        <w:pStyle w:val="NoSpacing"/>
        <w:rPr>
          <w:b/>
          <w:bCs/>
          <w:u w:val="single"/>
        </w:rPr>
      </w:pPr>
    </w:p>
    <w:p w14:paraId="7F53AC9F" w14:textId="5B73F4AA" w:rsidR="003D307A" w:rsidRDefault="004D75A0" w:rsidP="003D307A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 w:rsidRPr="00113D12">
        <w:rPr>
          <w:b/>
          <w:bCs/>
          <w:u w:val="single"/>
        </w:rPr>
        <w:t xml:space="preserve">Comments on </w:t>
      </w:r>
      <w:r w:rsidR="00B70F8F">
        <w:rPr>
          <w:b/>
          <w:bCs/>
          <w:u w:val="single"/>
        </w:rPr>
        <w:t>Draft Report Findings</w:t>
      </w:r>
      <w:r w:rsidR="003D307A" w:rsidRPr="003D307A">
        <w:rPr>
          <w:rFonts w:ascii="CIDFont+F1" w:hAnsi="CIDFont+F1" w:cs="CIDFont+F1"/>
        </w:rPr>
        <w:t xml:space="preserve"> </w:t>
      </w:r>
    </w:p>
    <w:p w14:paraId="15180A7D" w14:textId="08E25721" w:rsidR="00ED7896" w:rsidRPr="009E51D2" w:rsidRDefault="003D307A" w:rsidP="009E51D2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r w:rsidRPr="00726E62">
        <w:rPr>
          <w:rFonts w:asciiTheme="minorHAnsi" w:eastAsiaTheme="minorHAnsi" w:hAnsiTheme="minorHAnsi" w:cstheme="minorBidi"/>
          <w:sz w:val="22"/>
          <w:szCs w:val="22"/>
        </w:rPr>
        <w:t xml:space="preserve">Eversource appreciates the Evaluator’s </w:t>
      </w:r>
      <w:r w:rsidR="005E34FF" w:rsidRPr="00726E62">
        <w:rPr>
          <w:rFonts w:asciiTheme="minorHAnsi" w:eastAsiaTheme="minorHAnsi" w:hAnsiTheme="minorHAnsi" w:cstheme="minorBidi"/>
          <w:sz w:val="22"/>
          <w:szCs w:val="22"/>
        </w:rPr>
        <w:t>work</w:t>
      </w:r>
      <w:r w:rsidRPr="00726E62">
        <w:rPr>
          <w:rFonts w:asciiTheme="minorHAnsi" w:eastAsiaTheme="minorHAnsi" w:hAnsiTheme="minorHAnsi" w:cstheme="minorBidi"/>
          <w:sz w:val="22"/>
          <w:szCs w:val="22"/>
        </w:rPr>
        <w:t xml:space="preserve"> to conduct a comprehensive NTG study for the C&amp;I Lighting programs. </w:t>
      </w:r>
      <w:r w:rsidR="00CB3CED" w:rsidRPr="009E51D2">
        <w:rPr>
          <w:rFonts w:asciiTheme="minorHAnsi" w:eastAsiaTheme="minorHAnsi" w:hAnsiTheme="minorHAnsi" w:cstheme="minorBidi"/>
          <w:sz w:val="22"/>
          <w:szCs w:val="22"/>
        </w:rPr>
        <w:t>Below summarizes comments on the Draft Report Eversource wishes to highlight.</w:t>
      </w:r>
      <w:r w:rsidR="00CB3CED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14:paraId="41FF5DA8" w14:textId="77777777" w:rsidR="007F20AF" w:rsidRPr="00525FD8" w:rsidRDefault="007F20AF" w:rsidP="007F20AF">
      <w:pPr>
        <w:pStyle w:val="NormalWeb"/>
        <w:spacing w:before="0" w:beforeAutospacing="0" w:after="0" w:afterAutospacing="0"/>
        <w:ind w:left="720"/>
        <w:rPr>
          <w:rFonts w:asciiTheme="minorHAnsi" w:eastAsiaTheme="minorHAnsi" w:hAnsiTheme="minorHAnsi" w:cstheme="minorHAnsi"/>
          <w:sz w:val="22"/>
          <w:szCs w:val="22"/>
        </w:rPr>
      </w:pPr>
    </w:p>
    <w:p w14:paraId="00738217" w14:textId="30134586" w:rsidR="009E1A46" w:rsidRDefault="00B72896" w:rsidP="009E1A4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cstheme="minorHAnsi"/>
          <w:b/>
          <w:bCs/>
        </w:rPr>
      </w:pPr>
      <w:r w:rsidRPr="002C5C29">
        <w:rPr>
          <w:rFonts w:asciiTheme="minorHAnsi" w:eastAsiaTheme="minorHAnsi" w:hAnsiTheme="minorHAnsi" w:cstheme="minorHAnsi"/>
          <w:sz w:val="22"/>
          <w:szCs w:val="22"/>
        </w:rPr>
        <w:t xml:space="preserve">The </w:t>
      </w:r>
      <w:r w:rsidR="006746D3" w:rsidRPr="002C5C29">
        <w:rPr>
          <w:rFonts w:asciiTheme="minorHAnsi" w:eastAsiaTheme="minorHAnsi" w:hAnsiTheme="minorHAnsi" w:cstheme="minorHAnsi"/>
          <w:sz w:val="22"/>
          <w:szCs w:val="22"/>
        </w:rPr>
        <w:t xml:space="preserve">study </w:t>
      </w:r>
      <w:r w:rsidR="00B860A0" w:rsidRPr="002C5C29">
        <w:rPr>
          <w:rFonts w:asciiTheme="minorHAnsi" w:eastAsiaTheme="minorHAnsi" w:hAnsiTheme="minorHAnsi" w:cstheme="minorHAnsi"/>
          <w:sz w:val="22"/>
          <w:szCs w:val="22"/>
        </w:rPr>
        <w:t>applied</w:t>
      </w:r>
      <w:r w:rsidR="004C7B5A" w:rsidRPr="002C5C29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F52405" w:rsidRPr="002C5C29">
        <w:rPr>
          <w:rFonts w:asciiTheme="minorHAnsi" w:eastAsiaTheme="minorHAnsi" w:hAnsiTheme="minorHAnsi" w:cstheme="minorHAnsi"/>
          <w:sz w:val="22"/>
          <w:szCs w:val="22"/>
        </w:rPr>
        <w:t xml:space="preserve">a trend logic </w:t>
      </w:r>
      <w:r w:rsidR="00C14654" w:rsidRPr="002C5C29">
        <w:rPr>
          <w:rFonts w:asciiTheme="minorHAnsi" w:eastAsiaTheme="minorHAnsi" w:hAnsiTheme="minorHAnsi" w:cstheme="minorHAnsi"/>
          <w:sz w:val="22"/>
          <w:szCs w:val="22"/>
        </w:rPr>
        <w:t xml:space="preserve">based on a </w:t>
      </w:r>
      <w:r w:rsidR="00FC244A" w:rsidRPr="002C5C29">
        <w:rPr>
          <w:rFonts w:asciiTheme="minorHAnsi" w:eastAsiaTheme="minorHAnsi" w:hAnsiTheme="minorHAnsi" w:cstheme="minorHAnsi"/>
          <w:sz w:val="22"/>
          <w:szCs w:val="22"/>
        </w:rPr>
        <w:t xml:space="preserve">MA </w:t>
      </w:r>
      <w:r w:rsidR="00C14654" w:rsidRPr="002C5C29">
        <w:rPr>
          <w:rFonts w:asciiTheme="minorHAnsi" w:eastAsiaTheme="minorHAnsi" w:hAnsiTheme="minorHAnsi" w:cstheme="minorHAnsi"/>
          <w:sz w:val="22"/>
          <w:szCs w:val="22"/>
        </w:rPr>
        <w:t xml:space="preserve">consensus group </w:t>
      </w:r>
      <w:r w:rsidR="00B860A0" w:rsidRPr="002C5C29">
        <w:rPr>
          <w:rFonts w:asciiTheme="minorHAnsi" w:eastAsiaTheme="minorHAnsi" w:hAnsiTheme="minorHAnsi" w:cstheme="minorHAnsi"/>
          <w:sz w:val="22"/>
          <w:szCs w:val="22"/>
        </w:rPr>
        <w:t xml:space="preserve">process </w:t>
      </w:r>
      <w:r w:rsidR="00F52405" w:rsidRPr="002C5C29">
        <w:rPr>
          <w:rFonts w:asciiTheme="minorHAnsi" w:eastAsiaTheme="minorHAnsi" w:hAnsiTheme="minorHAnsi" w:cstheme="minorHAnsi"/>
          <w:sz w:val="22"/>
          <w:szCs w:val="22"/>
        </w:rPr>
        <w:t xml:space="preserve">to develop </w:t>
      </w:r>
      <w:r w:rsidR="00AF5CCA" w:rsidRPr="002C5C29">
        <w:rPr>
          <w:rFonts w:asciiTheme="minorHAnsi" w:eastAsiaTheme="minorHAnsi" w:hAnsiTheme="minorHAnsi" w:cstheme="minorHAnsi"/>
          <w:sz w:val="22"/>
          <w:szCs w:val="22"/>
        </w:rPr>
        <w:t xml:space="preserve">the </w:t>
      </w:r>
      <w:r w:rsidR="00B860A0" w:rsidRPr="002C5C29">
        <w:rPr>
          <w:rFonts w:asciiTheme="minorHAnsi" w:eastAsiaTheme="minorHAnsi" w:hAnsiTheme="minorHAnsi" w:cstheme="minorHAnsi"/>
          <w:sz w:val="22"/>
          <w:szCs w:val="22"/>
        </w:rPr>
        <w:t xml:space="preserve">prospective </w:t>
      </w:r>
      <w:r w:rsidR="00211DAB" w:rsidRPr="002C5C29">
        <w:rPr>
          <w:rFonts w:asciiTheme="minorHAnsi" w:eastAsiaTheme="minorHAnsi" w:hAnsiTheme="minorHAnsi" w:cstheme="minorHAnsi"/>
          <w:sz w:val="22"/>
          <w:szCs w:val="22"/>
        </w:rPr>
        <w:t xml:space="preserve">NTG </w:t>
      </w:r>
      <w:r w:rsidR="00B860A0" w:rsidRPr="002C5C29">
        <w:rPr>
          <w:rFonts w:asciiTheme="minorHAnsi" w:eastAsiaTheme="minorHAnsi" w:hAnsiTheme="minorHAnsi" w:cstheme="minorHAnsi"/>
          <w:sz w:val="22"/>
          <w:szCs w:val="22"/>
        </w:rPr>
        <w:t>for 2024</w:t>
      </w:r>
      <w:r w:rsidR="006E66C5" w:rsidRPr="002C5C29">
        <w:rPr>
          <w:rFonts w:asciiTheme="minorHAnsi" w:eastAsiaTheme="minorHAnsi" w:hAnsiTheme="minorHAnsi" w:cstheme="minorHAnsi"/>
          <w:sz w:val="22"/>
          <w:szCs w:val="22"/>
        </w:rPr>
        <w:t>, 2025 and 2026</w:t>
      </w:r>
      <w:r w:rsidR="00AF5CCA" w:rsidRPr="002C5C29">
        <w:rPr>
          <w:rFonts w:asciiTheme="minorHAnsi" w:eastAsiaTheme="minorHAnsi" w:hAnsiTheme="minorHAnsi" w:cstheme="minorHAnsi"/>
          <w:sz w:val="22"/>
          <w:szCs w:val="22"/>
        </w:rPr>
        <w:t xml:space="preserve"> for CT</w:t>
      </w:r>
      <w:r w:rsidR="006E66C5" w:rsidRPr="002C5C29">
        <w:rPr>
          <w:rFonts w:asciiTheme="minorHAnsi" w:eastAsiaTheme="minorHAnsi" w:hAnsiTheme="minorHAnsi" w:cstheme="minorHAnsi"/>
          <w:sz w:val="22"/>
          <w:szCs w:val="22"/>
        </w:rPr>
        <w:t>. This method</w:t>
      </w:r>
      <w:r w:rsidR="00B860A0" w:rsidRPr="002C5C29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6746D3" w:rsidRPr="002C5C29">
        <w:rPr>
          <w:rFonts w:asciiTheme="minorHAnsi" w:eastAsiaTheme="minorHAnsi" w:hAnsiTheme="minorHAnsi" w:cstheme="minorHAnsi"/>
          <w:sz w:val="22"/>
          <w:szCs w:val="22"/>
        </w:rPr>
        <w:t xml:space="preserve">assumes </w:t>
      </w:r>
      <w:r w:rsidR="002E649C" w:rsidRPr="002C5C29">
        <w:rPr>
          <w:rFonts w:asciiTheme="minorHAnsi" w:eastAsiaTheme="minorHAnsi" w:hAnsiTheme="minorHAnsi" w:cstheme="minorHAnsi"/>
          <w:sz w:val="22"/>
          <w:szCs w:val="22"/>
        </w:rPr>
        <w:t xml:space="preserve">that the </w:t>
      </w:r>
      <w:r w:rsidR="008106A4">
        <w:rPr>
          <w:rFonts w:asciiTheme="minorHAnsi" w:eastAsiaTheme="minorHAnsi" w:hAnsiTheme="minorHAnsi" w:cstheme="minorHAnsi"/>
          <w:sz w:val="22"/>
          <w:szCs w:val="22"/>
        </w:rPr>
        <w:t xml:space="preserve">MA and CT lighting </w:t>
      </w:r>
      <w:r w:rsidR="002E649C" w:rsidRPr="002C5C29">
        <w:rPr>
          <w:rFonts w:asciiTheme="minorHAnsi" w:eastAsiaTheme="minorHAnsi" w:hAnsiTheme="minorHAnsi" w:cstheme="minorHAnsi"/>
          <w:sz w:val="22"/>
          <w:szCs w:val="22"/>
        </w:rPr>
        <w:t xml:space="preserve">programs </w:t>
      </w:r>
      <w:r w:rsidR="00525FD8" w:rsidRPr="002C5C29">
        <w:rPr>
          <w:rFonts w:asciiTheme="minorHAnsi" w:eastAsiaTheme="minorHAnsi" w:hAnsiTheme="minorHAnsi" w:cstheme="minorHAnsi"/>
          <w:sz w:val="22"/>
          <w:szCs w:val="22"/>
        </w:rPr>
        <w:t xml:space="preserve">are similar as well as the </w:t>
      </w:r>
      <w:r w:rsidR="002E649C" w:rsidRPr="002C5C29">
        <w:rPr>
          <w:rFonts w:asciiTheme="minorHAnsi" w:eastAsiaTheme="minorHAnsi" w:hAnsiTheme="minorHAnsi" w:cstheme="minorHAnsi"/>
          <w:sz w:val="22"/>
          <w:szCs w:val="22"/>
        </w:rPr>
        <w:t xml:space="preserve">markets </w:t>
      </w:r>
      <w:r w:rsidR="00525FD8" w:rsidRPr="002C5C29">
        <w:rPr>
          <w:rFonts w:asciiTheme="minorHAnsi" w:eastAsiaTheme="minorHAnsi" w:hAnsiTheme="minorHAnsi" w:cstheme="minorHAnsi"/>
          <w:sz w:val="22"/>
          <w:szCs w:val="22"/>
        </w:rPr>
        <w:t xml:space="preserve">for each lighting category. </w:t>
      </w:r>
      <w:r w:rsidR="0038190F" w:rsidRPr="002C5C29">
        <w:rPr>
          <w:rFonts w:asciiTheme="minorHAnsi" w:eastAsiaTheme="minorHAnsi" w:hAnsiTheme="minorHAnsi" w:cstheme="minorHAnsi"/>
          <w:sz w:val="22"/>
          <w:szCs w:val="22"/>
        </w:rPr>
        <w:t xml:space="preserve">The 2021 CT retrospective values from this study </w:t>
      </w:r>
      <w:r w:rsidR="005B7A79" w:rsidRPr="002C5C29">
        <w:rPr>
          <w:rFonts w:asciiTheme="minorHAnsi" w:eastAsiaTheme="minorHAnsi" w:hAnsiTheme="minorHAnsi" w:cstheme="minorHAnsi"/>
          <w:sz w:val="22"/>
          <w:szCs w:val="22"/>
        </w:rPr>
        <w:t>are much higher than the MA retrospective values from 2019 for two categories</w:t>
      </w:r>
      <w:r w:rsidR="00AF5CCA" w:rsidRPr="002C5C29">
        <w:rPr>
          <w:rFonts w:asciiTheme="minorHAnsi" w:eastAsiaTheme="minorHAnsi" w:hAnsiTheme="minorHAnsi" w:cstheme="minorHAnsi"/>
          <w:sz w:val="22"/>
          <w:szCs w:val="22"/>
        </w:rPr>
        <w:t xml:space="preserve"> (high/low bay and lighting with controls)</w:t>
      </w:r>
      <w:r w:rsidR="005B7A79" w:rsidRPr="002C5C29">
        <w:rPr>
          <w:rFonts w:asciiTheme="minorHAnsi" w:eastAsiaTheme="minorHAnsi" w:hAnsiTheme="minorHAnsi" w:cstheme="minorHAnsi"/>
          <w:sz w:val="22"/>
          <w:szCs w:val="22"/>
        </w:rPr>
        <w:t>, and only just slightly lower for upstream lighting</w:t>
      </w:r>
      <w:r w:rsidR="00DB3EFE" w:rsidRPr="002C5C29">
        <w:rPr>
          <w:rFonts w:asciiTheme="minorHAnsi" w:eastAsiaTheme="minorHAnsi" w:hAnsiTheme="minorHAnsi" w:cstheme="minorHAnsi"/>
          <w:sz w:val="22"/>
          <w:szCs w:val="22"/>
        </w:rPr>
        <w:t xml:space="preserve">. </w:t>
      </w:r>
      <w:r w:rsidR="00BB430F" w:rsidRPr="002C5C29">
        <w:rPr>
          <w:rFonts w:asciiTheme="minorHAnsi" w:eastAsiaTheme="minorHAnsi" w:hAnsiTheme="minorHAnsi" w:cstheme="minorHAnsi"/>
          <w:sz w:val="22"/>
          <w:szCs w:val="22"/>
        </w:rPr>
        <w:t xml:space="preserve">See comparison below. </w:t>
      </w:r>
      <w:r w:rsidR="004A6A9B" w:rsidRPr="002C5C29">
        <w:rPr>
          <w:rFonts w:cstheme="minorHAnsi"/>
        </w:rPr>
        <w:br/>
      </w:r>
    </w:p>
    <w:p w14:paraId="714E30AD" w14:textId="740F0D06" w:rsidR="004A6A9B" w:rsidRPr="007C513A" w:rsidRDefault="004A6A9B" w:rsidP="007C513A">
      <w:pPr>
        <w:autoSpaceDE w:val="0"/>
        <w:autoSpaceDN w:val="0"/>
        <w:adjustRightInd w:val="0"/>
        <w:spacing w:after="0" w:line="240" w:lineRule="auto"/>
        <w:ind w:firstLine="720"/>
      </w:pPr>
      <w:r w:rsidRPr="007C513A">
        <w:t>Comparison of Retrospective NTG in CT and MA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415"/>
        <w:gridCol w:w="2520"/>
        <w:gridCol w:w="2520"/>
      </w:tblGrid>
      <w:tr w:rsidR="007849B1" w14:paraId="5E2493EA" w14:textId="77777777" w:rsidTr="004A6A9B">
        <w:tc>
          <w:tcPr>
            <w:tcW w:w="3415" w:type="dxa"/>
          </w:tcPr>
          <w:p w14:paraId="6E1A9BB3" w14:textId="268EFAB0" w:rsidR="007849B1" w:rsidRPr="00B24D4D" w:rsidRDefault="00B24D4D" w:rsidP="0063552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24D4D">
              <w:rPr>
                <w:rFonts w:ascii="Calibri" w:hAnsi="Calibri" w:cs="Calibri"/>
                <w:b/>
                <w:bCs/>
                <w:sz w:val="22"/>
                <w:szCs w:val="22"/>
              </w:rPr>
              <w:t>Midstream/</w:t>
            </w:r>
            <w:r w:rsidR="002B0D00" w:rsidRPr="00B24D4D">
              <w:rPr>
                <w:rFonts w:ascii="Calibri" w:hAnsi="Calibri" w:cs="Calibri"/>
                <w:b/>
                <w:bCs/>
                <w:sz w:val="22"/>
                <w:szCs w:val="22"/>
              </w:rPr>
              <w:t>Upstream</w:t>
            </w:r>
            <w:r w:rsidRPr="00B24D4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4A6A9B">
              <w:rPr>
                <w:rFonts w:ascii="Calibri" w:hAnsi="Calibri" w:cs="Calibri"/>
                <w:b/>
                <w:bCs/>
                <w:sz w:val="22"/>
                <w:szCs w:val="22"/>
              </w:rPr>
              <w:t>meas</w:t>
            </w:r>
            <w:r w:rsidRPr="00B24D4D">
              <w:rPr>
                <w:rFonts w:ascii="Calibri" w:hAnsi="Calibri" w:cs="Calibri"/>
                <w:b/>
                <w:bCs/>
                <w:sz w:val="22"/>
                <w:szCs w:val="22"/>
              </w:rPr>
              <w:t>ures</w:t>
            </w:r>
          </w:p>
        </w:tc>
        <w:tc>
          <w:tcPr>
            <w:tcW w:w="2520" w:type="dxa"/>
          </w:tcPr>
          <w:p w14:paraId="0DD42515" w14:textId="22C9F1AA" w:rsidR="007849B1" w:rsidRPr="00B24D4D" w:rsidRDefault="00FD5F44" w:rsidP="004A6A9B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24D4D">
              <w:rPr>
                <w:rFonts w:ascii="Calibri" w:hAnsi="Calibri" w:cs="Calibri"/>
                <w:b/>
                <w:bCs/>
                <w:sz w:val="22"/>
                <w:szCs w:val="22"/>
              </w:rPr>
              <w:t>CT</w:t>
            </w:r>
            <w:r w:rsidR="004A6A9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B24D4D">
              <w:rPr>
                <w:rFonts w:ascii="Calibri" w:hAnsi="Calibri" w:cs="Calibri"/>
                <w:b/>
                <w:bCs/>
                <w:sz w:val="22"/>
                <w:szCs w:val="22"/>
              </w:rPr>
              <w:t>(2021 participants)</w:t>
            </w:r>
          </w:p>
        </w:tc>
        <w:tc>
          <w:tcPr>
            <w:tcW w:w="2520" w:type="dxa"/>
          </w:tcPr>
          <w:p w14:paraId="1E9F3E45" w14:textId="5AA73A1D" w:rsidR="007849B1" w:rsidRPr="00B24D4D" w:rsidRDefault="00FD5F44" w:rsidP="004A6A9B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24D4D">
              <w:rPr>
                <w:rFonts w:ascii="Calibri" w:hAnsi="Calibri" w:cs="Calibri"/>
                <w:b/>
                <w:bCs/>
                <w:sz w:val="22"/>
                <w:szCs w:val="22"/>
              </w:rPr>
              <w:t>MA</w:t>
            </w:r>
            <w:r w:rsidR="004A6A9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B24D4D">
              <w:rPr>
                <w:rFonts w:ascii="Calibri" w:hAnsi="Calibri" w:cs="Calibri"/>
                <w:b/>
                <w:bCs/>
                <w:sz w:val="22"/>
                <w:szCs w:val="22"/>
              </w:rPr>
              <w:t>(2019 participants)</w:t>
            </w:r>
          </w:p>
        </w:tc>
      </w:tr>
      <w:tr w:rsidR="005656E0" w14:paraId="3ACC31F9" w14:textId="77777777" w:rsidTr="004A6A9B">
        <w:tc>
          <w:tcPr>
            <w:tcW w:w="3415" w:type="dxa"/>
          </w:tcPr>
          <w:p w14:paraId="262A65D7" w14:textId="5567958B" w:rsidR="005656E0" w:rsidRDefault="005656E0" w:rsidP="0063552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Screw based</w:t>
            </w:r>
          </w:p>
        </w:tc>
        <w:tc>
          <w:tcPr>
            <w:tcW w:w="2520" w:type="dxa"/>
            <w:vMerge w:val="restart"/>
          </w:tcPr>
          <w:p w14:paraId="45ABFA61" w14:textId="77777777" w:rsidR="00850F6F" w:rsidRDefault="005656E0" w:rsidP="00B24D4D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36 % </w:t>
            </w:r>
          </w:p>
          <w:p w14:paraId="4391B89B" w14:textId="423EAAD5" w:rsidR="005656E0" w:rsidRDefault="00850F6F" w:rsidP="00B24D4D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</w:t>
            </w:r>
            <w:r w:rsidR="000B3B8A">
              <w:rPr>
                <w:rFonts w:ascii="Calibri" w:hAnsi="Calibri" w:cs="Calibri"/>
                <w:sz w:val="22"/>
                <w:szCs w:val="22"/>
              </w:rPr>
              <w:t>Reported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value for ‘Upstream Lighting’)</w:t>
            </w:r>
          </w:p>
        </w:tc>
        <w:tc>
          <w:tcPr>
            <w:tcW w:w="2520" w:type="dxa"/>
          </w:tcPr>
          <w:p w14:paraId="4863E16F" w14:textId="17FC0573" w:rsidR="005656E0" w:rsidRDefault="00850F6F" w:rsidP="00B24D4D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56%</w:t>
            </w:r>
          </w:p>
        </w:tc>
      </w:tr>
      <w:tr w:rsidR="005656E0" w14:paraId="5B79BAF9" w14:textId="77777777" w:rsidTr="004A6A9B">
        <w:tc>
          <w:tcPr>
            <w:tcW w:w="3415" w:type="dxa"/>
          </w:tcPr>
          <w:p w14:paraId="79FE1C8F" w14:textId="74EA2510" w:rsidR="005656E0" w:rsidRDefault="005656E0" w:rsidP="0063552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Linear LED</w:t>
            </w:r>
          </w:p>
        </w:tc>
        <w:tc>
          <w:tcPr>
            <w:tcW w:w="2520" w:type="dxa"/>
            <w:vMerge/>
          </w:tcPr>
          <w:p w14:paraId="249AA1DF" w14:textId="77777777" w:rsidR="005656E0" w:rsidRDefault="005656E0" w:rsidP="00B24D4D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20" w:type="dxa"/>
          </w:tcPr>
          <w:p w14:paraId="5B40AEAB" w14:textId="5B74DD21" w:rsidR="005656E0" w:rsidRDefault="005228B0" w:rsidP="00B24D4D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40%</w:t>
            </w:r>
          </w:p>
        </w:tc>
      </w:tr>
      <w:tr w:rsidR="005656E0" w14:paraId="2109075B" w14:textId="77777777" w:rsidTr="004A6A9B">
        <w:tc>
          <w:tcPr>
            <w:tcW w:w="3415" w:type="dxa"/>
          </w:tcPr>
          <w:p w14:paraId="28F18868" w14:textId="29ED77A5" w:rsidR="005656E0" w:rsidRDefault="005656E0" w:rsidP="0063552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LED Fixtures</w:t>
            </w:r>
          </w:p>
        </w:tc>
        <w:tc>
          <w:tcPr>
            <w:tcW w:w="2520" w:type="dxa"/>
            <w:vMerge/>
          </w:tcPr>
          <w:p w14:paraId="550AD67F" w14:textId="77777777" w:rsidR="005656E0" w:rsidRDefault="005656E0" w:rsidP="00B24D4D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20" w:type="dxa"/>
          </w:tcPr>
          <w:p w14:paraId="1BD3A260" w14:textId="7F2B8F67" w:rsidR="005656E0" w:rsidRDefault="005228B0" w:rsidP="00B24D4D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37%</w:t>
            </w:r>
          </w:p>
        </w:tc>
      </w:tr>
      <w:tr w:rsidR="005656E0" w14:paraId="1BF5129F" w14:textId="77777777" w:rsidTr="004A6A9B">
        <w:tc>
          <w:tcPr>
            <w:tcW w:w="3415" w:type="dxa"/>
          </w:tcPr>
          <w:p w14:paraId="753E1C2D" w14:textId="6C781FFC" w:rsidR="005656E0" w:rsidRDefault="005656E0" w:rsidP="0063552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Exterior LEDs</w:t>
            </w:r>
          </w:p>
        </w:tc>
        <w:tc>
          <w:tcPr>
            <w:tcW w:w="2520" w:type="dxa"/>
            <w:vMerge/>
          </w:tcPr>
          <w:p w14:paraId="6ACBE501" w14:textId="77777777" w:rsidR="005656E0" w:rsidRDefault="005656E0" w:rsidP="00B24D4D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20" w:type="dxa"/>
          </w:tcPr>
          <w:p w14:paraId="2B1D3E8B" w14:textId="3002D5EB" w:rsidR="005656E0" w:rsidRDefault="005228B0" w:rsidP="00B24D4D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27%</w:t>
            </w:r>
          </w:p>
        </w:tc>
      </w:tr>
      <w:tr w:rsidR="007F2A3B" w14:paraId="6808AE33" w14:textId="77777777" w:rsidTr="004A6A9B">
        <w:tc>
          <w:tcPr>
            <w:tcW w:w="3415" w:type="dxa"/>
          </w:tcPr>
          <w:p w14:paraId="722FB484" w14:textId="43E4DD85" w:rsidR="007F2A3B" w:rsidRDefault="007F2A3B" w:rsidP="007F2A3B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High/low bay LEDs</w:t>
            </w:r>
          </w:p>
        </w:tc>
        <w:tc>
          <w:tcPr>
            <w:tcW w:w="2520" w:type="dxa"/>
          </w:tcPr>
          <w:p w14:paraId="2B2D1215" w14:textId="3E131042" w:rsidR="007F2A3B" w:rsidRDefault="007F2A3B" w:rsidP="007F2A3B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81%</w:t>
            </w:r>
          </w:p>
        </w:tc>
        <w:tc>
          <w:tcPr>
            <w:tcW w:w="2520" w:type="dxa"/>
          </w:tcPr>
          <w:p w14:paraId="7B1B7948" w14:textId="7C637EC0" w:rsidR="007F2A3B" w:rsidRDefault="007F2A3B" w:rsidP="007F2A3B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53%</w:t>
            </w:r>
          </w:p>
        </w:tc>
      </w:tr>
      <w:tr w:rsidR="007F2A3B" w14:paraId="03D960DA" w14:textId="77777777" w:rsidTr="004A6A9B">
        <w:tc>
          <w:tcPr>
            <w:tcW w:w="3415" w:type="dxa"/>
          </w:tcPr>
          <w:p w14:paraId="3E68A836" w14:textId="10029698" w:rsidR="007F2A3B" w:rsidRDefault="007F2A3B" w:rsidP="007F2A3B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Lighting with controls</w:t>
            </w:r>
          </w:p>
        </w:tc>
        <w:tc>
          <w:tcPr>
            <w:tcW w:w="2520" w:type="dxa"/>
          </w:tcPr>
          <w:p w14:paraId="5009F961" w14:textId="4E580F06" w:rsidR="007F2A3B" w:rsidRDefault="007F2A3B" w:rsidP="007F2A3B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91%</w:t>
            </w:r>
          </w:p>
        </w:tc>
        <w:tc>
          <w:tcPr>
            <w:tcW w:w="2520" w:type="dxa"/>
          </w:tcPr>
          <w:p w14:paraId="29B0EF4F" w14:textId="23452FCD" w:rsidR="007F2A3B" w:rsidRDefault="007F2A3B" w:rsidP="007F2A3B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61%</w:t>
            </w:r>
          </w:p>
        </w:tc>
      </w:tr>
    </w:tbl>
    <w:p w14:paraId="4E29DB3A" w14:textId="77777777" w:rsidR="008106A4" w:rsidRDefault="008106A4" w:rsidP="004862E9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</w:p>
    <w:p w14:paraId="2BAFF4DC" w14:textId="6E5F0403" w:rsidR="002C5C29" w:rsidRPr="00237EB5" w:rsidRDefault="002C5C29" w:rsidP="004862E9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Given the substantial </w:t>
      </w:r>
      <w:r w:rsidRPr="00EF27FB">
        <w:rPr>
          <w:rFonts w:asciiTheme="minorHAnsi" w:eastAsiaTheme="minorHAnsi" w:hAnsiTheme="minorHAnsi" w:cstheme="minorHAnsi"/>
          <w:sz w:val="22"/>
          <w:szCs w:val="22"/>
        </w:rPr>
        <w:t>difference</w:t>
      </w:r>
      <w:r>
        <w:rPr>
          <w:rFonts w:asciiTheme="minorHAnsi" w:eastAsiaTheme="minorHAnsi" w:hAnsiTheme="minorHAnsi" w:cstheme="minorHAnsi"/>
          <w:sz w:val="22"/>
          <w:szCs w:val="22"/>
        </w:rPr>
        <w:t>s</w:t>
      </w:r>
      <w:r w:rsidRPr="000D7EC6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in NTG </w:t>
      </w:r>
      <w:r w:rsidRPr="001874CC">
        <w:rPr>
          <w:rFonts w:asciiTheme="minorHAnsi" w:eastAsiaTheme="minorHAnsi" w:hAnsiTheme="minorHAnsi" w:cstheme="minorHAnsi"/>
          <w:sz w:val="22"/>
          <w:szCs w:val="22"/>
        </w:rPr>
        <w:t xml:space="preserve">for </w:t>
      </w:r>
      <w:r w:rsidRPr="0065126E">
        <w:rPr>
          <w:rFonts w:asciiTheme="minorHAnsi" w:eastAsiaTheme="minorHAnsi" w:hAnsiTheme="minorHAnsi" w:cstheme="minorHAnsi"/>
          <w:sz w:val="22"/>
          <w:szCs w:val="22"/>
        </w:rPr>
        <w:t>high/low bay and lighting with controls</w:t>
      </w:r>
      <w:r w:rsidRPr="00EF27FB">
        <w:rPr>
          <w:rFonts w:asciiTheme="minorHAnsi" w:eastAsiaTheme="minorHAnsi" w:hAnsiTheme="minorHAnsi" w:cstheme="minorHAnsi"/>
          <w:sz w:val="22"/>
          <w:szCs w:val="22"/>
        </w:rPr>
        <w:t xml:space="preserve">, </w:t>
      </w:r>
      <w:r>
        <w:rPr>
          <w:rFonts w:asciiTheme="minorHAnsi" w:eastAsiaTheme="minorHAnsi" w:hAnsiTheme="minorHAnsi" w:cstheme="minorHAnsi"/>
          <w:sz w:val="22"/>
          <w:szCs w:val="22"/>
        </w:rPr>
        <w:t>is it approp</w:t>
      </w:r>
      <w:r w:rsidR="009B2262">
        <w:rPr>
          <w:rFonts w:asciiTheme="minorHAnsi" w:eastAsiaTheme="minorHAnsi" w:hAnsiTheme="minorHAnsi" w:cstheme="minorHAnsi"/>
          <w:sz w:val="22"/>
          <w:szCs w:val="22"/>
        </w:rPr>
        <w:t>riate to as</w:t>
      </w:r>
      <w:r w:rsidRPr="00EF27FB">
        <w:rPr>
          <w:rFonts w:asciiTheme="minorHAnsi" w:eastAsiaTheme="minorHAnsi" w:hAnsiTheme="minorHAnsi" w:cstheme="minorHAnsi"/>
          <w:sz w:val="22"/>
          <w:szCs w:val="22"/>
        </w:rPr>
        <w:t>sum</w:t>
      </w:r>
      <w:r w:rsidR="009B2262">
        <w:rPr>
          <w:rFonts w:asciiTheme="minorHAnsi" w:eastAsiaTheme="minorHAnsi" w:hAnsiTheme="minorHAnsi" w:cstheme="minorHAnsi"/>
          <w:sz w:val="22"/>
          <w:szCs w:val="22"/>
        </w:rPr>
        <w:t>e</w:t>
      </w:r>
      <w:r w:rsidRPr="00EF27FB">
        <w:rPr>
          <w:rFonts w:asciiTheme="minorHAnsi" w:eastAsiaTheme="minorHAnsi" w:hAnsiTheme="minorHAnsi" w:cstheme="minorHAnsi"/>
          <w:sz w:val="22"/>
          <w:szCs w:val="22"/>
        </w:rPr>
        <w:t xml:space="preserve"> that the 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CT </w:t>
      </w:r>
      <w:r w:rsidRPr="00EF27FB">
        <w:rPr>
          <w:rFonts w:asciiTheme="minorHAnsi" w:eastAsiaTheme="minorHAnsi" w:hAnsiTheme="minorHAnsi" w:cstheme="minorHAnsi"/>
          <w:sz w:val="22"/>
          <w:szCs w:val="22"/>
        </w:rPr>
        <w:t>trajectory is the same as MA for these categories</w:t>
      </w:r>
      <w:r w:rsidR="009B2262">
        <w:rPr>
          <w:rFonts w:asciiTheme="minorHAnsi" w:eastAsiaTheme="minorHAnsi" w:hAnsiTheme="minorHAnsi" w:cstheme="minorHAnsi"/>
          <w:sz w:val="22"/>
          <w:szCs w:val="22"/>
        </w:rPr>
        <w:t>?</w:t>
      </w:r>
      <w:r w:rsidRPr="00EF27FB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9B2262">
        <w:rPr>
          <w:rFonts w:asciiTheme="minorHAnsi" w:eastAsiaTheme="minorHAnsi" w:hAnsiTheme="minorHAnsi" w:cstheme="minorHAnsi"/>
          <w:sz w:val="22"/>
          <w:szCs w:val="22"/>
        </w:rPr>
        <w:t xml:space="preserve">While we agree </w:t>
      </w:r>
      <w:r w:rsidR="001440C9">
        <w:rPr>
          <w:rFonts w:asciiTheme="minorHAnsi" w:eastAsiaTheme="minorHAnsi" w:hAnsiTheme="minorHAnsi" w:cstheme="minorHAnsi"/>
          <w:sz w:val="22"/>
          <w:szCs w:val="22"/>
        </w:rPr>
        <w:t>about the findings on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9B2262">
        <w:rPr>
          <w:rFonts w:asciiTheme="minorHAnsi" w:eastAsiaTheme="minorHAnsi" w:hAnsiTheme="minorHAnsi" w:cstheme="minorHAnsi"/>
          <w:sz w:val="22"/>
          <w:szCs w:val="22"/>
        </w:rPr>
        <w:t>continued</w:t>
      </w:r>
      <w:r w:rsidRPr="00237EB5">
        <w:rPr>
          <w:rFonts w:asciiTheme="minorHAnsi" w:eastAsiaTheme="minorHAnsi" w:hAnsiTheme="minorHAnsi" w:cstheme="minorHAnsi"/>
          <w:sz w:val="22"/>
          <w:szCs w:val="22"/>
        </w:rPr>
        <w:t xml:space="preserve"> decline in </w:t>
      </w:r>
      <w:r w:rsidR="009F1EEF" w:rsidRPr="00237EB5">
        <w:rPr>
          <w:rFonts w:asciiTheme="minorHAnsi" w:eastAsiaTheme="minorHAnsi" w:hAnsiTheme="minorHAnsi" w:cstheme="minorHAnsi"/>
          <w:sz w:val="22"/>
          <w:szCs w:val="22"/>
        </w:rPr>
        <w:t xml:space="preserve">lighting </w:t>
      </w:r>
      <w:r w:rsidRPr="00237EB5">
        <w:rPr>
          <w:rFonts w:asciiTheme="minorHAnsi" w:eastAsiaTheme="minorHAnsi" w:hAnsiTheme="minorHAnsi" w:cstheme="minorHAnsi"/>
          <w:sz w:val="22"/>
          <w:szCs w:val="22"/>
        </w:rPr>
        <w:t>NTG across all program/measure breakouts</w:t>
      </w:r>
      <w:r w:rsidR="009F1EEF" w:rsidRPr="00237EB5">
        <w:rPr>
          <w:rFonts w:asciiTheme="minorHAnsi" w:eastAsiaTheme="minorHAnsi" w:hAnsiTheme="minorHAnsi" w:cstheme="minorHAnsi"/>
          <w:sz w:val="22"/>
          <w:szCs w:val="22"/>
        </w:rPr>
        <w:t>, we are</w:t>
      </w:r>
      <w:r w:rsidRPr="00237EB5">
        <w:rPr>
          <w:rFonts w:asciiTheme="minorHAnsi" w:eastAsiaTheme="minorHAnsi" w:hAnsiTheme="minorHAnsi" w:cstheme="minorHAnsi"/>
          <w:sz w:val="22"/>
          <w:szCs w:val="22"/>
        </w:rPr>
        <w:t xml:space="preserve"> concerned that the assumed trajectory</w:t>
      </w:r>
      <w:r w:rsidRPr="00237EB5">
        <w:rPr>
          <w:rFonts w:ascii="Calibri" w:hAnsi="Calibri" w:cs="Calibri"/>
          <w:sz w:val="22"/>
          <w:szCs w:val="22"/>
        </w:rPr>
        <w:t xml:space="preserve"> for CT might be too steep for high/low bay and lighting with controls. </w:t>
      </w:r>
    </w:p>
    <w:p w14:paraId="07D25913" w14:textId="77777777" w:rsidR="002C5C29" w:rsidRDefault="002C5C29" w:rsidP="002C5C29">
      <w:pPr>
        <w:pStyle w:val="NormalWeb"/>
        <w:spacing w:before="0" w:beforeAutospacing="0" w:after="0" w:afterAutospacing="0"/>
        <w:ind w:left="720"/>
        <w:rPr>
          <w:rFonts w:asciiTheme="minorHAnsi" w:eastAsiaTheme="minorHAnsi" w:hAnsiTheme="minorHAnsi" w:cstheme="minorHAnsi"/>
          <w:sz w:val="22"/>
          <w:szCs w:val="22"/>
        </w:rPr>
      </w:pPr>
    </w:p>
    <w:p w14:paraId="54F6F97D" w14:textId="19AF2532" w:rsidR="008F253F" w:rsidRDefault="008F253F" w:rsidP="009E1A4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eastAsiaTheme="minorHAnsi" w:hAnsiTheme="minorHAnsi" w:cstheme="minorHAnsi"/>
          <w:sz w:val="22"/>
          <w:szCs w:val="22"/>
        </w:rPr>
      </w:pPr>
      <w:r w:rsidRPr="00525FD8">
        <w:rPr>
          <w:rFonts w:asciiTheme="minorHAnsi" w:eastAsiaTheme="minorHAnsi" w:hAnsiTheme="minorHAnsi" w:cstheme="minorHAnsi"/>
          <w:sz w:val="22"/>
          <w:szCs w:val="22"/>
        </w:rPr>
        <w:t xml:space="preserve">The C&amp;I programs will phase out LED screw-based technologies in July 2023 for Midstream (referred to as “Upstream” in the Draft Report) and </w:t>
      </w:r>
      <w:r>
        <w:rPr>
          <w:rFonts w:asciiTheme="minorHAnsi" w:eastAsiaTheme="minorHAnsi" w:hAnsiTheme="minorHAnsi" w:cstheme="minorHAnsi"/>
          <w:sz w:val="22"/>
          <w:szCs w:val="22"/>
        </w:rPr>
        <w:t>in December</w:t>
      </w:r>
      <w:r w:rsidRPr="00525FD8">
        <w:rPr>
          <w:rFonts w:asciiTheme="minorHAnsi" w:eastAsiaTheme="minorHAnsi" w:hAnsiTheme="minorHAnsi" w:cstheme="minorHAnsi"/>
          <w:sz w:val="22"/>
          <w:szCs w:val="22"/>
        </w:rPr>
        <w:t xml:space="preserve"> 2023 for EO and Small Business. We recommend separat</w:t>
      </w:r>
      <w:r>
        <w:rPr>
          <w:rFonts w:asciiTheme="minorHAnsi" w:eastAsiaTheme="minorHAnsi" w:hAnsiTheme="minorHAnsi" w:cstheme="minorHAnsi"/>
          <w:sz w:val="22"/>
          <w:szCs w:val="22"/>
        </w:rPr>
        <w:t>ing</w:t>
      </w:r>
      <w:r w:rsidRPr="00525FD8">
        <w:rPr>
          <w:rFonts w:asciiTheme="minorHAnsi" w:eastAsiaTheme="minorHAnsi" w:hAnsiTheme="minorHAnsi" w:cstheme="minorHAnsi"/>
          <w:sz w:val="22"/>
          <w:szCs w:val="22"/>
        </w:rPr>
        <w:t xml:space="preserve"> out the 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prospective </w:t>
      </w:r>
      <w:r w:rsidRPr="00525FD8">
        <w:rPr>
          <w:rFonts w:asciiTheme="minorHAnsi" w:eastAsiaTheme="minorHAnsi" w:hAnsiTheme="minorHAnsi" w:cstheme="minorHAnsi"/>
          <w:sz w:val="22"/>
          <w:szCs w:val="22"/>
        </w:rPr>
        <w:t xml:space="preserve">NTG ratios for screw-based lamps to </w:t>
      </w:r>
      <w:r>
        <w:rPr>
          <w:rFonts w:asciiTheme="minorHAnsi" w:eastAsiaTheme="minorHAnsi" w:hAnsiTheme="minorHAnsi" w:cstheme="minorHAnsi"/>
          <w:sz w:val="22"/>
          <w:szCs w:val="22"/>
        </w:rPr>
        <w:t>better align</w:t>
      </w:r>
      <w:r w:rsidRPr="00525FD8">
        <w:rPr>
          <w:rFonts w:asciiTheme="minorHAnsi" w:eastAsiaTheme="minorHAnsi" w:hAnsiTheme="minorHAnsi" w:cstheme="minorHAnsi"/>
          <w:sz w:val="22"/>
          <w:szCs w:val="22"/>
        </w:rPr>
        <w:t xml:space="preserve"> the NTG ratios with 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future </w:t>
      </w:r>
      <w:r w:rsidRPr="00525FD8">
        <w:rPr>
          <w:rFonts w:asciiTheme="minorHAnsi" w:eastAsiaTheme="minorHAnsi" w:hAnsiTheme="minorHAnsi" w:cstheme="minorHAnsi"/>
          <w:sz w:val="22"/>
          <w:szCs w:val="22"/>
        </w:rPr>
        <w:t xml:space="preserve">program offerings. </w:t>
      </w:r>
    </w:p>
    <w:p w14:paraId="1DD379DE" w14:textId="77777777" w:rsidR="008F253F" w:rsidRDefault="008F253F" w:rsidP="008F253F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</w:p>
    <w:p w14:paraId="2877FCB9" w14:textId="6620A606" w:rsidR="00B44381" w:rsidRDefault="00CF3D1D" w:rsidP="00D96B7B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37BE2">
        <w:rPr>
          <w:rFonts w:ascii="Calibri" w:hAnsi="Calibri" w:cs="Calibri"/>
          <w:sz w:val="22"/>
          <w:szCs w:val="22"/>
        </w:rPr>
        <w:t xml:space="preserve">In addition to separating out NTG for screw-based lamps, </w:t>
      </w:r>
      <w:r w:rsidR="001A0201" w:rsidRPr="00A37BE2">
        <w:rPr>
          <w:rFonts w:ascii="Calibri" w:hAnsi="Calibri" w:cs="Calibri"/>
          <w:sz w:val="22"/>
          <w:szCs w:val="22"/>
        </w:rPr>
        <w:t>Eversource requests th</w:t>
      </w:r>
      <w:r w:rsidR="00704DBD" w:rsidRPr="00A37BE2">
        <w:rPr>
          <w:rFonts w:ascii="Calibri" w:hAnsi="Calibri" w:cs="Calibri"/>
          <w:sz w:val="22"/>
          <w:szCs w:val="22"/>
        </w:rPr>
        <w:t>at</w:t>
      </w:r>
      <w:r w:rsidR="001A0201" w:rsidRPr="00A37BE2">
        <w:rPr>
          <w:rFonts w:ascii="Calibri" w:hAnsi="Calibri" w:cs="Calibri"/>
          <w:sz w:val="22"/>
          <w:szCs w:val="22"/>
        </w:rPr>
        <w:t xml:space="preserve"> the NTG</w:t>
      </w:r>
      <w:r w:rsidR="008B1825" w:rsidRPr="00A37BE2">
        <w:rPr>
          <w:rFonts w:ascii="Calibri" w:hAnsi="Calibri" w:cs="Calibri"/>
          <w:sz w:val="22"/>
          <w:szCs w:val="22"/>
        </w:rPr>
        <w:t xml:space="preserve"> ratios</w:t>
      </w:r>
      <w:r w:rsidR="001A0201" w:rsidRPr="00A37BE2">
        <w:rPr>
          <w:rFonts w:ascii="Calibri" w:hAnsi="Calibri" w:cs="Calibri"/>
          <w:sz w:val="22"/>
          <w:szCs w:val="22"/>
        </w:rPr>
        <w:t xml:space="preserve"> for EO and </w:t>
      </w:r>
      <w:r w:rsidR="00286EA2" w:rsidRPr="00A37BE2">
        <w:rPr>
          <w:rFonts w:ascii="Calibri" w:hAnsi="Calibri" w:cs="Calibri"/>
          <w:sz w:val="22"/>
          <w:szCs w:val="22"/>
        </w:rPr>
        <w:t>Small Business</w:t>
      </w:r>
      <w:r w:rsidR="001A0201" w:rsidRPr="00A37BE2">
        <w:rPr>
          <w:rFonts w:ascii="Calibri" w:hAnsi="Calibri" w:cs="Calibri"/>
          <w:sz w:val="22"/>
          <w:szCs w:val="22"/>
        </w:rPr>
        <w:t xml:space="preserve"> </w:t>
      </w:r>
      <w:r w:rsidR="00704DBD" w:rsidRPr="00A37BE2">
        <w:rPr>
          <w:rFonts w:ascii="Calibri" w:hAnsi="Calibri" w:cs="Calibri"/>
          <w:sz w:val="22"/>
          <w:szCs w:val="22"/>
        </w:rPr>
        <w:t xml:space="preserve">be </w:t>
      </w:r>
      <w:r w:rsidR="004862E9" w:rsidRPr="00A37BE2">
        <w:rPr>
          <w:rFonts w:ascii="Calibri" w:hAnsi="Calibri" w:cs="Calibri"/>
          <w:sz w:val="22"/>
          <w:szCs w:val="22"/>
        </w:rPr>
        <w:t xml:space="preserve">further </w:t>
      </w:r>
      <w:r w:rsidR="00286EA2" w:rsidRPr="00A37BE2">
        <w:rPr>
          <w:rFonts w:ascii="Calibri" w:hAnsi="Calibri" w:cs="Calibri"/>
          <w:sz w:val="22"/>
          <w:szCs w:val="22"/>
        </w:rPr>
        <w:t>divided</w:t>
      </w:r>
      <w:r w:rsidR="00704DBD" w:rsidRPr="00A37BE2">
        <w:rPr>
          <w:rFonts w:ascii="Calibri" w:hAnsi="Calibri" w:cs="Calibri"/>
          <w:sz w:val="22"/>
          <w:szCs w:val="22"/>
        </w:rPr>
        <w:t xml:space="preserve"> </w:t>
      </w:r>
      <w:r w:rsidR="00795801" w:rsidRPr="00A37BE2">
        <w:rPr>
          <w:rFonts w:ascii="Calibri" w:hAnsi="Calibri" w:cs="Calibri"/>
          <w:sz w:val="22"/>
          <w:szCs w:val="22"/>
        </w:rPr>
        <w:t>into</w:t>
      </w:r>
      <w:r w:rsidR="001A0201" w:rsidRPr="00A37BE2">
        <w:rPr>
          <w:rFonts w:ascii="Calibri" w:hAnsi="Calibri" w:cs="Calibri"/>
          <w:sz w:val="22"/>
          <w:szCs w:val="22"/>
        </w:rPr>
        <w:t xml:space="preserve"> lighting </w:t>
      </w:r>
      <w:r w:rsidR="00905E3C" w:rsidRPr="00A37BE2">
        <w:rPr>
          <w:rFonts w:ascii="Calibri" w:hAnsi="Calibri" w:cs="Calibri"/>
          <w:sz w:val="22"/>
          <w:szCs w:val="22"/>
        </w:rPr>
        <w:t xml:space="preserve">with </w:t>
      </w:r>
      <w:r w:rsidR="001A0201" w:rsidRPr="00A37BE2">
        <w:rPr>
          <w:rFonts w:ascii="Calibri" w:hAnsi="Calibri" w:cs="Calibri"/>
          <w:sz w:val="22"/>
          <w:szCs w:val="22"/>
        </w:rPr>
        <w:t>and with</w:t>
      </w:r>
      <w:r w:rsidR="005F0F92" w:rsidRPr="00A37BE2">
        <w:rPr>
          <w:rFonts w:ascii="Calibri" w:hAnsi="Calibri" w:cs="Calibri"/>
          <w:sz w:val="22"/>
          <w:szCs w:val="22"/>
        </w:rPr>
        <w:t>out</w:t>
      </w:r>
      <w:r w:rsidR="001A0201" w:rsidRPr="00A37BE2">
        <w:rPr>
          <w:rFonts w:ascii="Calibri" w:hAnsi="Calibri" w:cs="Calibri"/>
          <w:sz w:val="22"/>
          <w:szCs w:val="22"/>
        </w:rPr>
        <w:t xml:space="preserve"> controls</w:t>
      </w:r>
      <w:r w:rsidR="00905E3C" w:rsidRPr="00A37BE2">
        <w:rPr>
          <w:rFonts w:ascii="Calibri" w:hAnsi="Calibri" w:cs="Calibri"/>
          <w:sz w:val="22"/>
          <w:szCs w:val="22"/>
        </w:rPr>
        <w:t xml:space="preserve"> </w:t>
      </w:r>
      <w:r w:rsidR="005F0F92" w:rsidRPr="00A37BE2">
        <w:rPr>
          <w:rFonts w:ascii="Calibri" w:hAnsi="Calibri" w:cs="Calibri"/>
          <w:sz w:val="22"/>
          <w:szCs w:val="22"/>
        </w:rPr>
        <w:t xml:space="preserve">given the </w:t>
      </w:r>
      <w:r w:rsidR="00286EA2" w:rsidRPr="00A37BE2">
        <w:rPr>
          <w:rFonts w:ascii="Calibri" w:hAnsi="Calibri" w:cs="Calibri"/>
          <w:sz w:val="22"/>
          <w:szCs w:val="22"/>
        </w:rPr>
        <w:t>s</w:t>
      </w:r>
      <w:r w:rsidR="0039662B" w:rsidRPr="00A37BE2">
        <w:rPr>
          <w:rFonts w:ascii="Calibri" w:hAnsi="Calibri" w:cs="Calibri"/>
          <w:sz w:val="22"/>
          <w:szCs w:val="22"/>
        </w:rPr>
        <w:t>ubstantial difference</w:t>
      </w:r>
      <w:r w:rsidR="00742F74" w:rsidRPr="00A37BE2">
        <w:rPr>
          <w:rFonts w:ascii="Calibri" w:hAnsi="Calibri" w:cs="Calibri"/>
          <w:sz w:val="22"/>
          <w:szCs w:val="22"/>
        </w:rPr>
        <w:t>s</w:t>
      </w:r>
      <w:r w:rsidR="0039662B" w:rsidRPr="00A37BE2">
        <w:rPr>
          <w:rFonts w:ascii="Calibri" w:hAnsi="Calibri" w:cs="Calibri"/>
          <w:sz w:val="22"/>
          <w:szCs w:val="22"/>
        </w:rPr>
        <w:t xml:space="preserve"> in </w:t>
      </w:r>
      <w:r w:rsidR="008B1825" w:rsidRPr="00A37BE2">
        <w:rPr>
          <w:rFonts w:ascii="Calibri" w:hAnsi="Calibri" w:cs="Calibri"/>
          <w:sz w:val="22"/>
          <w:szCs w:val="22"/>
        </w:rPr>
        <w:t>these</w:t>
      </w:r>
      <w:r w:rsidR="0039662B" w:rsidRPr="00A37BE2">
        <w:rPr>
          <w:rFonts w:ascii="Calibri" w:hAnsi="Calibri" w:cs="Calibri"/>
          <w:sz w:val="22"/>
          <w:szCs w:val="22"/>
        </w:rPr>
        <w:t xml:space="preserve"> ratios </w:t>
      </w:r>
      <w:r w:rsidR="00D622B9" w:rsidRPr="00A37BE2">
        <w:rPr>
          <w:rFonts w:ascii="Calibri" w:hAnsi="Calibri" w:cs="Calibri"/>
          <w:sz w:val="22"/>
          <w:szCs w:val="22"/>
        </w:rPr>
        <w:t>based on</w:t>
      </w:r>
      <w:r w:rsidR="00461833" w:rsidRPr="00A37BE2">
        <w:rPr>
          <w:rFonts w:ascii="Calibri" w:hAnsi="Calibri" w:cs="Calibri"/>
          <w:sz w:val="22"/>
          <w:szCs w:val="22"/>
        </w:rPr>
        <w:t xml:space="preserve"> </w:t>
      </w:r>
      <w:r w:rsidR="007E0FA4" w:rsidRPr="00A37BE2">
        <w:rPr>
          <w:rFonts w:ascii="Calibri" w:hAnsi="Calibri" w:cs="Calibri"/>
          <w:sz w:val="22"/>
          <w:szCs w:val="22"/>
        </w:rPr>
        <w:t>Mid</w:t>
      </w:r>
      <w:r w:rsidR="00461833" w:rsidRPr="00A37BE2">
        <w:rPr>
          <w:rFonts w:ascii="Calibri" w:hAnsi="Calibri" w:cs="Calibri"/>
          <w:sz w:val="22"/>
          <w:szCs w:val="22"/>
        </w:rPr>
        <w:t>stream</w:t>
      </w:r>
      <w:r w:rsidR="00D622B9" w:rsidRPr="00A37BE2">
        <w:rPr>
          <w:rFonts w:ascii="Calibri" w:hAnsi="Calibri" w:cs="Calibri"/>
          <w:sz w:val="22"/>
          <w:szCs w:val="22"/>
        </w:rPr>
        <w:t xml:space="preserve"> results</w:t>
      </w:r>
      <w:r w:rsidR="00461833" w:rsidRPr="00A37BE2">
        <w:rPr>
          <w:rFonts w:ascii="Calibri" w:hAnsi="Calibri" w:cs="Calibri"/>
          <w:sz w:val="22"/>
          <w:szCs w:val="22"/>
        </w:rPr>
        <w:t>.</w:t>
      </w:r>
      <w:r w:rsidR="008B1825" w:rsidRPr="00A37BE2">
        <w:rPr>
          <w:rFonts w:ascii="Calibri" w:hAnsi="Calibri" w:cs="Calibri"/>
          <w:sz w:val="22"/>
          <w:szCs w:val="22"/>
        </w:rPr>
        <w:t xml:space="preserve"> </w:t>
      </w:r>
      <w:r w:rsidR="007E0FA4" w:rsidRPr="00A37BE2">
        <w:rPr>
          <w:rFonts w:ascii="Calibri" w:hAnsi="Calibri" w:cs="Calibri"/>
          <w:sz w:val="22"/>
          <w:szCs w:val="22"/>
        </w:rPr>
        <w:t>For Midstream</w:t>
      </w:r>
      <w:r w:rsidR="00E228A1" w:rsidRPr="00A37BE2">
        <w:rPr>
          <w:rFonts w:ascii="Calibri" w:hAnsi="Calibri" w:cs="Calibri"/>
          <w:sz w:val="22"/>
          <w:szCs w:val="22"/>
        </w:rPr>
        <w:t xml:space="preserve"> NTG</w:t>
      </w:r>
      <w:r w:rsidR="00B52A45" w:rsidRPr="00A37BE2">
        <w:rPr>
          <w:rFonts w:ascii="Calibri" w:hAnsi="Calibri" w:cs="Calibri"/>
          <w:sz w:val="22"/>
          <w:szCs w:val="22"/>
        </w:rPr>
        <w:t>,</w:t>
      </w:r>
      <w:r w:rsidR="006B7CB5" w:rsidRPr="00A37BE2">
        <w:rPr>
          <w:rFonts w:ascii="Calibri" w:hAnsi="Calibri" w:cs="Calibri"/>
          <w:sz w:val="22"/>
          <w:szCs w:val="22"/>
        </w:rPr>
        <w:t xml:space="preserve"> </w:t>
      </w:r>
      <w:r w:rsidR="00E228A1" w:rsidRPr="00A37BE2">
        <w:rPr>
          <w:rFonts w:ascii="Calibri" w:hAnsi="Calibri" w:cs="Calibri"/>
          <w:sz w:val="22"/>
          <w:szCs w:val="22"/>
        </w:rPr>
        <w:t xml:space="preserve">it </w:t>
      </w:r>
      <w:r w:rsidR="000B3B8A" w:rsidRPr="00A37BE2">
        <w:rPr>
          <w:rFonts w:ascii="Calibri" w:hAnsi="Calibri" w:cs="Calibri"/>
          <w:sz w:val="22"/>
          <w:szCs w:val="22"/>
        </w:rPr>
        <w:t>would be</w:t>
      </w:r>
      <w:r w:rsidR="00E228A1" w:rsidRPr="00A37BE2">
        <w:rPr>
          <w:rFonts w:ascii="Calibri" w:hAnsi="Calibri" w:cs="Calibri"/>
          <w:sz w:val="22"/>
          <w:szCs w:val="22"/>
        </w:rPr>
        <w:t xml:space="preserve"> helpful to break out the NTG ratios </w:t>
      </w:r>
      <w:r w:rsidR="00A37BE2">
        <w:rPr>
          <w:rFonts w:ascii="Calibri" w:hAnsi="Calibri" w:cs="Calibri"/>
          <w:sz w:val="22"/>
          <w:szCs w:val="22"/>
        </w:rPr>
        <w:t>using</w:t>
      </w:r>
      <w:r w:rsidR="00E228A1" w:rsidRPr="00A37BE2">
        <w:rPr>
          <w:rFonts w:ascii="Calibri" w:hAnsi="Calibri" w:cs="Calibri"/>
          <w:sz w:val="22"/>
          <w:szCs w:val="22"/>
        </w:rPr>
        <w:t xml:space="preserve"> the categories in the CT PSD</w:t>
      </w:r>
      <w:r w:rsidR="00CB0C02">
        <w:rPr>
          <w:rFonts w:ascii="Calibri" w:hAnsi="Calibri" w:cs="Calibri"/>
          <w:sz w:val="22"/>
          <w:szCs w:val="22"/>
        </w:rPr>
        <w:t xml:space="preserve"> as much as possible</w:t>
      </w:r>
      <w:r w:rsidR="00A37BE2">
        <w:rPr>
          <w:rFonts w:ascii="Calibri" w:hAnsi="Calibri" w:cs="Calibri"/>
          <w:sz w:val="22"/>
          <w:szCs w:val="22"/>
        </w:rPr>
        <w:t>:</w:t>
      </w:r>
      <w:r w:rsidR="00824588">
        <w:rPr>
          <w:rFonts w:ascii="Calibri" w:hAnsi="Calibri" w:cs="Calibri"/>
          <w:sz w:val="22"/>
          <w:szCs w:val="22"/>
        </w:rPr>
        <w:t xml:space="preserve"> </w:t>
      </w:r>
      <w:r w:rsidR="00824588" w:rsidRPr="00E66018">
        <w:rPr>
          <w:rFonts w:ascii="Calibri" w:hAnsi="Calibri" w:cs="Calibri"/>
          <w:color w:val="000000"/>
        </w:rPr>
        <w:t>LED Screw In</w:t>
      </w:r>
      <w:r w:rsidR="00824588">
        <w:rPr>
          <w:rFonts w:ascii="Calibri" w:hAnsi="Calibri" w:cs="Calibri"/>
          <w:color w:val="000000"/>
        </w:rPr>
        <w:t xml:space="preserve">, </w:t>
      </w:r>
      <w:r w:rsidR="00824588" w:rsidRPr="00E66018">
        <w:rPr>
          <w:rFonts w:ascii="Calibri" w:hAnsi="Calibri" w:cs="Calibri"/>
          <w:color w:val="000000"/>
        </w:rPr>
        <w:t>LED Stairwell Kit</w:t>
      </w:r>
      <w:r w:rsidR="00824588">
        <w:rPr>
          <w:rFonts w:ascii="Calibri" w:hAnsi="Calibri" w:cs="Calibri"/>
          <w:color w:val="000000"/>
        </w:rPr>
        <w:t>,</w:t>
      </w:r>
      <w:r w:rsidR="00824588" w:rsidRPr="00824588">
        <w:rPr>
          <w:rFonts w:ascii="Calibri" w:hAnsi="Calibri" w:cs="Calibri"/>
          <w:color w:val="000000"/>
        </w:rPr>
        <w:t xml:space="preserve"> </w:t>
      </w:r>
      <w:r w:rsidR="00824588" w:rsidRPr="00E66018">
        <w:rPr>
          <w:rFonts w:ascii="Calibri" w:hAnsi="Calibri" w:cs="Calibri"/>
          <w:color w:val="000000"/>
        </w:rPr>
        <w:t>LED Linear Lamp (TLED)</w:t>
      </w:r>
      <w:r w:rsidR="00824588">
        <w:rPr>
          <w:rFonts w:ascii="Calibri" w:hAnsi="Calibri" w:cs="Calibri"/>
          <w:color w:val="000000"/>
        </w:rPr>
        <w:t xml:space="preserve">, </w:t>
      </w:r>
      <w:r w:rsidR="00824588" w:rsidRPr="00E66018">
        <w:rPr>
          <w:rFonts w:ascii="Calibri" w:hAnsi="Calibri" w:cs="Calibri"/>
          <w:color w:val="000000"/>
        </w:rPr>
        <w:t>LED Linear Lamp (TLED) with Controls</w:t>
      </w:r>
      <w:r w:rsidR="00824588">
        <w:rPr>
          <w:rFonts w:ascii="Calibri" w:hAnsi="Calibri" w:cs="Calibri"/>
          <w:color w:val="000000"/>
        </w:rPr>
        <w:t xml:space="preserve">, </w:t>
      </w:r>
      <w:r w:rsidR="00CB0C02" w:rsidRPr="00E66018">
        <w:rPr>
          <w:rFonts w:ascii="Calibri" w:hAnsi="Calibri" w:cs="Calibri"/>
          <w:color w:val="000000"/>
        </w:rPr>
        <w:t>LED Linear Fixture</w:t>
      </w:r>
      <w:r w:rsidR="00CB0C02">
        <w:rPr>
          <w:rFonts w:ascii="Calibri" w:hAnsi="Calibri" w:cs="Calibri"/>
          <w:color w:val="000000"/>
        </w:rPr>
        <w:t xml:space="preserve">, </w:t>
      </w:r>
      <w:r w:rsidR="00CB0C02" w:rsidRPr="00E66018">
        <w:rPr>
          <w:rFonts w:ascii="Calibri" w:hAnsi="Calibri" w:cs="Calibri"/>
          <w:color w:val="000000"/>
        </w:rPr>
        <w:t>LED Linear Fixture with Controls</w:t>
      </w:r>
      <w:r w:rsidR="00CB0C02">
        <w:rPr>
          <w:rFonts w:ascii="Calibri" w:hAnsi="Calibri" w:cs="Calibri"/>
          <w:color w:val="000000"/>
        </w:rPr>
        <w:t xml:space="preserve">, </w:t>
      </w:r>
      <w:r w:rsidR="00CB0C02" w:rsidRPr="00E66018">
        <w:rPr>
          <w:rFonts w:ascii="Calibri" w:hAnsi="Calibri" w:cs="Calibri"/>
          <w:color w:val="000000"/>
        </w:rPr>
        <w:t>High Bay / Low Bay</w:t>
      </w:r>
      <w:r w:rsidR="00CB0C02">
        <w:rPr>
          <w:rFonts w:ascii="Calibri" w:hAnsi="Calibri" w:cs="Calibri"/>
          <w:color w:val="000000"/>
        </w:rPr>
        <w:t xml:space="preserve">, </w:t>
      </w:r>
      <w:r w:rsidR="00CB0C02" w:rsidRPr="00E66018">
        <w:rPr>
          <w:rFonts w:ascii="Calibri" w:hAnsi="Calibri" w:cs="Calibri"/>
          <w:color w:val="000000"/>
        </w:rPr>
        <w:t>High Bay / Low Bay with Controls</w:t>
      </w:r>
      <w:r w:rsidR="00CB0C02">
        <w:rPr>
          <w:rFonts w:ascii="Calibri" w:hAnsi="Calibri" w:cs="Calibri"/>
          <w:color w:val="000000"/>
        </w:rPr>
        <w:t xml:space="preserve">, </w:t>
      </w:r>
      <w:r w:rsidR="00CB0C02" w:rsidRPr="00E66018">
        <w:rPr>
          <w:rFonts w:ascii="Calibri" w:hAnsi="Calibri" w:cs="Calibri"/>
          <w:color w:val="000000"/>
        </w:rPr>
        <w:t>LED Exterior</w:t>
      </w:r>
      <w:r w:rsidR="00CB0C02">
        <w:rPr>
          <w:rFonts w:ascii="Calibri" w:hAnsi="Calibri" w:cs="Calibri"/>
          <w:color w:val="000000"/>
        </w:rPr>
        <w:t xml:space="preserve">, </w:t>
      </w:r>
      <w:r w:rsidR="00CB0C02" w:rsidRPr="00E66018">
        <w:rPr>
          <w:rFonts w:ascii="Calibri" w:hAnsi="Calibri" w:cs="Calibri"/>
          <w:color w:val="000000"/>
        </w:rPr>
        <w:t>LED Exterior with Controls</w:t>
      </w:r>
    </w:p>
    <w:p w14:paraId="7B0D82E7" w14:textId="77777777" w:rsidR="007C513A" w:rsidRDefault="007C513A" w:rsidP="007C513A">
      <w:pPr>
        <w:pStyle w:val="NoSpacing"/>
        <w:ind w:left="720"/>
      </w:pPr>
    </w:p>
    <w:p w14:paraId="7D4E0B73" w14:textId="60590668" w:rsidR="00CB0C02" w:rsidRDefault="007C513A" w:rsidP="007C513A">
      <w:pPr>
        <w:pStyle w:val="NoSpacing"/>
        <w:numPr>
          <w:ilvl w:val="0"/>
          <w:numId w:val="12"/>
        </w:numPr>
      </w:pPr>
      <w:r w:rsidRPr="00726E62">
        <w:t>The attached document “CT C2014B_CI Lighting NTG Report_REVIEW_DRAFT_20230424_</w:t>
      </w:r>
      <w:r>
        <w:t xml:space="preserve"> </w:t>
      </w:r>
      <w:r w:rsidRPr="00726E62">
        <w:t xml:space="preserve">Eversource comments.docx” contains our redline version of the Draft </w:t>
      </w:r>
      <w:r>
        <w:t>Report</w:t>
      </w:r>
      <w:r w:rsidRPr="00726E62">
        <w:t xml:space="preserve"> for additional </w:t>
      </w:r>
      <w:r>
        <w:t xml:space="preserve">comments </w:t>
      </w:r>
      <w:r w:rsidRPr="00726E62">
        <w:t>and suggested edits for your consideration.</w:t>
      </w:r>
    </w:p>
    <w:bookmarkStart w:id="0" w:name="_MON_1745071016"/>
    <w:bookmarkEnd w:id="0"/>
    <w:p w14:paraId="6105A333" w14:textId="6668A388" w:rsidR="006810FB" w:rsidRDefault="006810FB" w:rsidP="006810FB">
      <w:pPr>
        <w:pStyle w:val="ListParagraph"/>
      </w:pPr>
      <w:r>
        <w:object w:dxaOrig="1508" w:dyaOrig="984" w14:anchorId="74E092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5pt" o:ole="">
            <v:imagedata r:id="rId11" o:title=""/>
          </v:shape>
          <o:OLEObject Type="Embed" ProgID="Word.Document.12" ShapeID="_x0000_i1025" DrawAspect="Icon" ObjectID="_1745071651" r:id="rId12">
            <o:FieldCodes>\s</o:FieldCodes>
          </o:OLEObject>
        </w:object>
      </w:r>
    </w:p>
    <w:p w14:paraId="5A82A520" w14:textId="77777777" w:rsidR="006810FB" w:rsidRDefault="006810FB" w:rsidP="006810FB">
      <w:pPr>
        <w:pStyle w:val="NoSpacing"/>
        <w:ind w:left="720"/>
      </w:pPr>
    </w:p>
    <w:p w14:paraId="1E956F66" w14:textId="61870D5A" w:rsidR="007C513A" w:rsidRDefault="007C513A" w:rsidP="007C513A">
      <w:pPr>
        <w:pStyle w:val="NoSpacing"/>
      </w:pPr>
    </w:p>
    <w:p w14:paraId="67A5D698" w14:textId="675D31D8" w:rsidR="00C91018" w:rsidRPr="00113D12" w:rsidRDefault="00835F63" w:rsidP="00113D12">
      <w:pPr>
        <w:pStyle w:val="NoSpacing"/>
        <w:rPr>
          <w:rFonts w:eastAsia="CIDFont+F1"/>
        </w:rPr>
      </w:pPr>
      <w:r w:rsidRPr="00113D12">
        <w:t>T</w:t>
      </w:r>
      <w:r w:rsidR="00C91018" w:rsidRPr="00113D12">
        <w:rPr>
          <w:rFonts w:eastAsia="CIDFont+F1"/>
        </w:rPr>
        <w:t>hank you for the opportunity to provide comments.</w:t>
      </w:r>
    </w:p>
    <w:p w14:paraId="0A004868" w14:textId="77777777" w:rsidR="00C91018" w:rsidRPr="00113D12" w:rsidRDefault="00C91018" w:rsidP="00113D12">
      <w:pPr>
        <w:pStyle w:val="NoSpacing"/>
        <w:rPr>
          <w:rFonts w:eastAsia="CIDFont+F1"/>
        </w:rPr>
      </w:pPr>
    </w:p>
    <w:p w14:paraId="522B3CAF" w14:textId="77777777" w:rsidR="00040F48" w:rsidRPr="00113D12" w:rsidRDefault="00040F48" w:rsidP="00113D12">
      <w:pPr>
        <w:pStyle w:val="NoSpacing"/>
        <w:rPr>
          <w:rFonts w:eastAsia="CIDFont+F1"/>
        </w:rPr>
      </w:pPr>
    </w:p>
    <w:p w14:paraId="5FC3E615" w14:textId="77777777" w:rsidR="00040F48" w:rsidRPr="00113D12" w:rsidRDefault="00040F48" w:rsidP="00113D12">
      <w:pPr>
        <w:pStyle w:val="NoSpacing"/>
        <w:rPr>
          <w:rFonts w:eastAsia="CIDFont+F1"/>
        </w:rPr>
      </w:pPr>
      <w:r w:rsidRPr="00113D12">
        <w:rPr>
          <w:rFonts w:eastAsia="CIDFont+F1"/>
        </w:rPr>
        <w:t>Sincerely,</w:t>
      </w:r>
    </w:p>
    <w:p w14:paraId="795E8BAB" w14:textId="77777777" w:rsidR="00040F48" w:rsidRPr="00113D12" w:rsidRDefault="00040F48" w:rsidP="00113D12">
      <w:pPr>
        <w:pStyle w:val="NoSpacing"/>
      </w:pPr>
    </w:p>
    <w:p w14:paraId="7D714ADD" w14:textId="5CE1C9AC" w:rsidR="00040F48" w:rsidRPr="00113D12" w:rsidRDefault="00DB7D82" w:rsidP="00E50206">
      <w:pPr>
        <w:pStyle w:val="NoSpacing"/>
      </w:pPr>
      <w:r>
        <w:t>Romilee Emerick</w:t>
      </w:r>
      <w:r w:rsidR="0088578C" w:rsidRPr="00113D12">
        <w:tab/>
      </w:r>
      <w:r w:rsidR="0088578C" w:rsidRPr="00113D12">
        <w:tab/>
      </w:r>
      <w:r w:rsidR="0088578C" w:rsidRPr="00113D12">
        <w:tab/>
      </w:r>
      <w:r w:rsidR="0088578C" w:rsidRPr="00113D12">
        <w:tab/>
      </w:r>
      <w:r w:rsidR="0088578C" w:rsidRPr="00113D12">
        <w:tab/>
      </w:r>
      <w:r w:rsidR="0088578C" w:rsidRPr="00113D12">
        <w:tab/>
      </w:r>
    </w:p>
    <w:p w14:paraId="61048473" w14:textId="0BFA2A27" w:rsidR="00040F48" w:rsidRPr="00113D12" w:rsidRDefault="00DB7D82" w:rsidP="00113D12">
      <w:pPr>
        <w:pStyle w:val="NoSpacing"/>
      </w:pPr>
      <w:r>
        <w:t>Supervisor</w:t>
      </w:r>
      <w:r w:rsidR="00040F48" w:rsidRPr="00113D12">
        <w:t xml:space="preserve">, </w:t>
      </w:r>
      <w:r w:rsidR="004B03FA" w:rsidRPr="00113D12">
        <w:t xml:space="preserve">Energy Efficiency </w:t>
      </w:r>
      <w:r w:rsidR="00040F48" w:rsidRPr="00113D12">
        <w:t>Evaluation</w:t>
      </w:r>
      <w:r w:rsidR="004B03FA">
        <w:t>,</w:t>
      </w:r>
      <w:r w:rsidR="00040F48" w:rsidRPr="00113D12">
        <w:t xml:space="preserve"> Eversource</w:t>
      </w:r>
      <w:r w:rsidR="0088578C" w:rsidRPr="00113D12">
        <w:tab/>
      </w:r>
      <w:r w:rsidR="0088578C" w:rsidRPr="00113D12">
        <w:tab/>
      </w:r>
    </w:p>
    <w:p w14:paraId="60267755" w14:textId="66B03AA9" w:rsidR="00C91018" w:rsidRDefault="00000000" w:rsidP="00113D12">
      <w:pPr>
        <w:pStyle w:val="NoSpacing"/>
      </w:pPr>
      <w:hyperlink r:id="rId13" w:history="1">
        <w:r w:rsidR="00DB7D82" w:rsidRPr="002453DF">
          <w:rPr>
            <w:rStyle w:val="Hyperlink"/>
          </w:rPr>
          <w:t>maromilee.emerick@eversource.com</w:t>
        </w:r>
      </w:hyperlink>
    </w:p>
    <w:p w14:paraId="12E3664B" w14:textId="366EA8E2" w:rsidR="00113D12" w:rsidRDefault="00113D12" w:rsidP="00113D12">
      <w:pPr>
        <w:pStyle w:val="NoSpacing"/>
      </w:pPr>
    </w:p>
    <w:p w14:paraId="4E51AE08" w14:textId="2E8E5122" w:rsidR="00113D12" w:rsidRDefault="00113D12" w:rsidP="00113D12">
      <w:pPr>
        <w:pStyle w:val="NoSpacing"/>
      </w:pPr>
    </w:p>
    <w:p w14:paraId="24CB523B" w14:textId="271E62D9" w:rsidR="00113D12" w:rsidRDefault="00113D12" w:rsidP="00113D12">
      <w:pPr>
        <w:pStyle w:val="NoSpacing"/>
      </w:pPr>
    </w:p>
    <w:p w14:paraId="53C2E843" w14:textId="77552C7A" w:rsidR="00113D12" w:rsidRDefault="00113D12" w:rsidP="00113D12">
      <w:pPr>
        <w:pStyle w:val="NoSpacing"/>
      </w:pPr>
    </w:p>
    <w:p w14:paraId="199831DE" w14:textId="77777777" w:rsidR="00113D12" w:rsidRPr="00113D12" w:rsidRDefault="00113D12" w:rsidP="00113D12">
      <w:pPr>
        <w:pStyle w:val="NoSpacing"/>
      </w:pPr>
    </w:p>
    <w:sectPr w:rsidR="00113D12" w:rsidRPr="00113D12" w:rsidSect="00D25ECC">
      <w:head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1BD32" w14:textId="77777777" w:rsidR="003113B0" w:rsidRDefault="003113B0" w:rsidP="004C48D6">
      <w:pPr>
        <w:spacing w:after="0" w:line="240" w:lineRule="auto"/>
      </w:pPr>
      <w:r>
        <w:separator/>
      </w:r>
    </w:p>
  </w:endnote>
  <w:endnote w:type="continuationSeparator" w:id="0">
    <w:p w14:paraId="308AED5A" w14:textId="77777777" w:rsidR="003113B0" w:rsidRDefault="003113B0" w:rsidP="004C4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95DBD" w14:textId="77777777" w:rsidR="003113B0" w:rsidRDefault="003113B0" w:rsidP="004C48D6">
      <w:pPr>
        <w:spacing w:after="0" w:line="240" w:lineRule="auto"/>
      </w:pPr>
      <w:r>
        <w:separator/>
      </w:r>
    </w:p>
  </w:footnote>
  <w:footnote w:type="continuationSeparator" w:id="0">
    <w:p w14:paraId="0C42A50F" w14:textId="77777777" w:rsidR="003113B0" w:rsidRDefault="003113B0" w:rsidP="004C4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5AA61" w14:textId="37DF5245" w:rsidR="00D25ECC" w:rsidRDefault="00C13D0B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976279A" wp14:editId="0CA1F47D">
          <wp:simplePos x="0" y="0"/>
          <wp:positionH relativeFrom="column">
            <wp:posOffset>-95250</wp:posOffset>
          </wp:positionH>
          <wp:positionV relativeFrom="paragraph">
            <wp:posOffset>127000</wp:posOffset>
          </wp:positionV>
          <wp:extent cx="1784350" cy="420370"/>
          <wp:effectExtent l="0" t="0" r="6350" b="0"/>
          <wp:wrapThrough wrapText="bothSides">
            <wp:wrapPolygon edited="0">
              <wp:start x="0" y="0"/>
              <wp:lineTo x="0" y="20556"/>
              <wp:lineTo x="21446" y="20556"/>
              <wp:lineTo x="21446" y="0"/>
              <wp:lineTo x="0" y="0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3618"/>
    <w:multiLevelType w:val="multilevel"/>
    <w:tmpl w:val="FE7A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563012"/>
    <w:multiLevelType w:val="hybridMultilevel"/>
    <w:tmpl w:val="5900E9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75AED"/>
    <w:multiLevelType w:val="hybridMultilevel"/>
    <w:tmpl w:val="1C30A2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24DB7"/>
    <w:multiLevelType w:val="hybridMultilevel"/>
    <w:tmpl w:val="9BB8539C"/>
    <w:lvl w:ilvl="0" w:tplc="BFB641CC">
      <w:numFmt w:val="bullet"/>
      <w:lvlText w:val="-"/>
      <w:lvlJc w:val="left"/>
      <w:pPr>
        <w:ind w:left="720" w:hanging="360"/>
      </w:pPr>
      <w:rPr>
        <w:rFonts w:ascii="CIDFont+F1" w:eastAsia="CIDFont+F1" w:hAnsi="CIDFont+F1" w:cs="CIDFont+F1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45014"/>
    <w:multiLevelType w:val="hybridMultilevel"/>
    <w:tmpl w:val="38043E6C"/>
    <w:lvl w:ilvl="0" w:tplc="E744D46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05CC1"/>
    <w:multiLevelType w:val="hybridMultilevel"/>
    <w:tmpl w:val="581C9884"/>
    <w:lvl w:ilvl="0" w:tplc="DACE9E7A">
      <w:numFmt w:val="bullet"/>
      <w:lvlText w:val="-"/>
      <w:lvlJc w:val="left"/>
      <w:pPr>
        <w:ind w:left="720" w:hanging="360"/>
      </w:pPr>
      <w:rPr>
        <w:rFonts w:ascii="CIDFont+F1" w:eastAsia="CIDFont+F1" w:hAnsi="CIDFont+F1" w:cs="CIDFont+F1" w:hint="eastAsi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23E82"/>
    <w:multiLevelType w:val="hybridMultilevel"/>
    <w:tmpl w:val="BA9CA27E"/>
    <w:lvl w:ilvl="0" w:tplc="A8460846">
      <w:numFmt w:val="bullet"/>
      <w:lvlText w:val="-"/>
      <w:lvlJc w:val="left"/>
      <w:pPr>
        <w:ind w:left="720" w:hanging="360"/>
      </w:pPr>
      <w:rPr>
        <w:rFonts w:ascii="CIDFont+F1" w:eastAsia="CIDFont+F1" w:hAnsi="CIDFont+F1" w:cs="CIDFont+F1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45F56"/>
    <w:multiLevelType w:val="hybridMultilevel"/>
    <w:tmpl w:val="C3286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C0BFC"/>
    <w:multiLevelType w:val="hybridMultilevel"/>
    <w:tmpl w:val="0AA01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AC7301"/>
    <w:multiLevelType w:val="hybridMultilevel"/>
    <w:tmpl w:val="5900E9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A46BA"/>
    <w:multiLevelType w:val="hybridMultilevel"/>
    <w:tmpl w:val="1C30A2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A02B5"/>
    <w:multiLevelType w:val="hybridMultilevel"/>
    <w:tmpl w:val="5900E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625047">
    <w:abstractNumId w:val="5"/>
  </w:num>
  <w:num w:numId="2" w16cid:durableId="676427275">
    <w:abstractNumId w:val="3"/>
  </w:num>
  <w:num w:numId="3" w16cid:durableId="1813014691">
    <w:abstractNumId w:val="6"/>
  </w:num>
  <w:num w:numId="4" w16cid:durableId="2030258866">
    <w:abstractNumId w:val="8"/>
  </w:num>
  <w:num w:numId="5" w16cid:durableId="1262490094">
    <w:abstractNumId w:val="2"/>
  </w:num>
  <w:num w:numId="6" w16cid:durableId="1176699350">
    <w:abstractNumId w:val="0"/>
  </w:num>
  <w:num w:numId="7" w16cid:durableId="1249509612">
    <w:abstractNumId w:val="10"/>
  </w:num>
  <w:num w:numId="8" w16cid:durableId="1249074496">
    <w:abstractNumId w:val="7"/>
  </w:num>
  <w:num w:numId="9" w16cid:durableId="1272512924">
    <w:abstractNumId w:val="11"/>
  </w:num>
  <w:num w:numId="10" w16cid:durableId="1339969605">
    <w:abstractNumId w:val="1"/>
  </w:num>
  <w:num w:numId="11" w16cid:durableId="775519562">
    <w:abstractNumId w:val="9"/>
  </w:num>
  <w:num w:numId="12" w16cid:durableId="16462799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6"/>
    <w:rsid w:val="000054C9"/>
    <w:rsid w:val="00017DCD"/>
    <w:rsid w:val="00020669"/>
    <w:rsid w:val="000255D7"/>
    <w:rsid w:val="00030116"/>
    <w:rsid w:val="00040F48"/>
    <w:rsid w:val="00066E96"/>
    <w:rsid w:val="00085584"/>
    <w:rsid w:val="00086A9C"/>
    <w:rsid w:val="000907A9"/>
    <w:rsid w:val="0009332E"/>
    <w:rsid w:val="00095C46"/>
    <w:rsid w:val="00096E09"/>
    <w:rsid w:val="000A2904"/>
    <w:rsid w:val="000A415A"/>
    <w:rsid w:val="000B1B75"/>
    <w:rsid w:val="000B3B8A"/>
    <w:rsid w:val="000C035C"/>
    <w:rsid w:val="000C08AF"/>
    <w:rsid w:val="000C13ED"/>
    <w:rsid w:val="000C36A6"/>
    <w:rsid w:val="000C7D1D"/>
    <w:rsid w:val="000D6E47"/>
    <w:rsid w:val="000D7EC6"/>
    <w:rsid w:val="000F1469"/>
    <w:rsid w:val="000F23D0"/>
    <w:rsid w:val="000F2510"/>
    <w:rsid w:val="00112520"/>
    <w:rsid w:val="00113D12"/>
    <w:rsid w:val="001440C9"/>
    <w:rsid w:val="00153B3E"/>
    <w:rsid w:val="00154FD7"/>
    <w:rsid w:val="00160B1A"/>
    <w:rsid w:val="001840C9"/>
    <w:rsid w:val="001874CC"/>
    <w:rsid w:val="001972C5"/>
    <w:rsid w:val="001A0201"/>
    <w:rsid w:val="001A3EA9"/>
    <w:rsid w:val="001A603D"/>
    <w:rsid w:val="001A6340"/>
    <w:rsid w:val="001B6DB0"/>
    <w:rsid w:val="001C245C"/>
    <w:rsid w:val="001C4C45"/>
    <w:rsid w:val="001C5348"/>
    <w:rsid w:val="001E40A9"/>
    <w:rsid w:val="001F0F2D"/>
    <w:rsid w:val="001F1133"/>
    <w:rsid w:val="001F15AD"/>
    <w:rsid w:val="00211DAB"/>
    <w:rsid w:val="00226E04"/>
    <w:rsid w:val="00232CD0"/>
    <w:rsid w:val="00237EB5"/>
    <w:rsid w:val="0024109E"/>
    <w:rsid w:val="00241A0E"/>
    <w:rsid w:val="00243B00"/>
    <w:rsid w:val="002476CB"/>
    <w:rsid w:val="00252EA1"/>
    <w:rsid w:val="00253BC3"/>
    <w:rsid w:val="002642D1"/>
    <w:rsid w:val="00284BE9"/>
    <w:rsid w:val="00286EA2"/>
    <w:rsid w:val="002A0208"/>
    <w:rsid w:val="002A65DC"/>
    <w:rsid w:val="002A759C"/>
    <w:rsid w:val="002B07DE"/>
    <w:rsid w:val="002B0D00"/>
    <w:rsid w:val="002B1458"/>
    <w:rsid w:val="002B184D"/>
    <w:rsid w:val="002B7665"/>
    <w:rsid w:val="002C1F0B"/>
    <w:rsid w:val="002C3073"/>
    <w:rsid w:val="002C5C29"/>
    <w:rsid w:val="002E649C"/>
    <w:rsid w:val="002F0A5E"/>
    <w:rsid w:val="002F3788"/>
    <w:rsid w:val="002F7DD1"/>
    <w:rsid w:val="003113B0"/>
    <w:rsid w:val="00311927"/>
    <w:rsid w:val="003151DA"/>
    <w:rsid w:val="00322BFF"/>
    <w:rsid w:val="003265A1"/>
    <w:rsid w:val="00337070"/>
    <w:rsid w:val="00337D55"/>
    <w:rsid w:val="00340130"/>
    <w:rsid w:val="0034210F"/>
    <w:rsid w:val="00344DB5"/>
    <w:rsid w:val="00344F51"/>
    <w:rsid w:val="0035155B"/>
    <w:rsid w:val="003537B1"/>
    <w:rsid w:val="00354901"/>
    <w:rsid w:val="00373907"/>
    <w:rsid w:val="00376F3B"/>
    <w:rsid w:val="0038190F"/>
    <w:rsid w:val="003826C8"/>
    <w:rsid w:val="00390FCB"/>
    <w:rsid w:val="0039531D"/>
    <w:rsid w:val="0039662B"/>
    <w:rsid w:val="003A6357"/>
    <w:rsid w:val="003A7359"/>
    <w:rsid w:val="003B222E"/>
    <w:rsid w:val="003C2D4B"/>
    <w:rsid w:val="003C4A15"/>
    <w:rsid w:val="003D307A"/>
    <w:rsid w:val="00401F80"/>
    <w:rsid w:val="00417BBC"/>
    <w:rsid w:val="00436ADD"/>
    <w:rsid w:val="00450C18"/>
    <w:rsid w:val="00461833"/>
    <w:rsid w:val="00462159"/>
    <w:rsid w:val="004801DF"/>
    <w:rsid w:val="00480209"/>
    <w:rsid w:val="0048194E"/>
    <w:rsid w:val="00484F64"/>
    <w:rsid w:val="004862E9"/>
    <w:rsid w:val="004940C5"/>
    <w:rsid w:val="004960A2"/>
    <w:rsid w:val="004A439A"/>
    <w:rsid w:val="004A6A9B"/>
    <w:rsid w:val="004B03FA"/>
    <w:rsid w:val="004B4438"/>
    <w:rsid w:val="004C48D6"/>
    <w:rsid w:val="004C729A"/>
    <w:rsid w:val="004C7B5A"/>
    <w:rsid w:val="004D75A0"/>
    <w:rsid w:val="004E1D13"/>
    <w:rsid w:val="004E3ECC"/>
    <w:rsid w:val="004F3240"/>
    <w:rsid w:val="004F6B57"/>
    <w:rsid w:val="00512ED9"/>
    <w:rsid w:val="005133A7"/>
    <w:rsid w:val="005146E4"/>
    <w:rsid w:val="00517C66"/>
    <w:rsid w:val="005228B0"/>
    <w:rsid w:val="005231BF"/>
    <w:rsid w:val="00525FD8"/>
    <w:rsid w:val="00533619"/>
    <w:rsid w:val="00534180"/>
    <w:rsid w:val="00543A26"/>
    <w:rsid w:val="00546D6E"/>
    <w:rsid w:val="005656E0"/>
    <w:rsid w:val="00583EA7"/>
    <w:rsid w:val="00587444"/>
    <w:rsid w:val="005A3FA7"/>
    <w:rsid w:val="005A5FC4"/>
    <w:rsid w:val="005A6D00"/>
    <w:rsid w:val="005B7A79"/>
    <w:rsid w:val="005D36A4"/>
    <w:rsid w:val="005E30FE"/>
    <w:rsid w:val="005E34FF"/>
    <w:rsid w:val="005E555E"/>
    <w:rsid w:val="005F0F92"/>
    <w:rsid w:val="005F215F"/>
    <w:rsid w:val="00624FEB"/>
    <w:rsid w:val="0062519A"/>
    <w:rsid w:val="0062655C"/>
    <w:rsid w:val="006312AF"/>
    <w:rsid w:val="00632B92"/>
    <w:rsid w:val="00635525"/>
    <w:rsid w:val="00637925"/>
    <w:rsid w:val="00643D3C"/>
    <w:rsid w:val="00645192"/>
    <w:rsid w:val="00646990"/>
    <w:rsid w:val="0065126E"/>
    <w:rsid w:val="006706C8"/>
    <w:rsid w:val="00673303"/>
    <w:rsid w:val="006746D3"/>
    <w:rsid w:val="00675251"/>
    <w:rsid w:val="006810FB"/>
    <w:rsid w:val="0069299E"/>
    <w:rsid w:val="006A73EB"/>
    <w:rsid w:val="006A741F"/>
    <w:rsid w:val="006B2A35"/>
    <w:rsid w:val="006B7CB5"/>
    <w:rsid w:val="006E66C5"/>
    <w:rsid w:val="006F1200"/>
    <w:rsid w:val="00700088"/>
    <w:rsid w:val="0070273F"/>
    <w:rsid w:val="00704DBD"/>
    <w:rsid w:val="00707166"/>
    <w:rsid w:val="00715FA0"/>
    <w:rsid w:val="0071722A"/>
    <w:rsid w:val="00721F61"/>
    <w:rsid w:val="00726E62"/>
    <w:rsid w:val="007337BC"/>
    <w:rsid w:val="0073480D"/>
    <w:rsid w:val="0073486A"/>
    <w:rsid w:val="00742F74"/>
    <w:rsid w:val="007470DB"/>
    <w:rsid w:val="007471B1"/>
    <w:rsid w:val="0075542B"/>
    <w:rsid w:val="00756E1B"/>
    <w:rsid w:val="00761D7E"/>
    <w:rsid w:val="00773D74"/>
    <w:rsid w:val="0078295A"/>
    <w:rsid w:val="007849B1"/>
    <w:rsid w:val="007849DB"/>
    <w:rsid w:val="007950F5"/>
    <w:rsid w:val="00795801"/>
    <w:rsid w:val="007A52C6"/>
    <w:rsid w:val="007B6ECA"/>
    <w:rsid w:val="007C1C1C"/>
    <w:rsid w:val="007C3EDD"/>
    <w:rsid w:val="007C513A"/>
    <w:rsid w:val="007D2432"/>
    <w:rsid w:val="007D5039"/>
    <w:rsid w:val="007E0FA4"/>
    <w:rsid w:val="007F20AF"/>
    <w:rsid w:val="007F2A3B"/>
    <w:rsid w:val="007F32DD"/>
    <w:rsid w:val="007F5053"/>
    <w:rsid w:val="00800004"/>
    <w:rsid w:val="00805E28"/>
    <w:rsid w:val="008106A4"/>
    <w:rsid w:val="00816FF7"/>
    <w:rsid w:val="008230D2"/>
    <w:rsid w:val="00824588"/>
    <w:rsid w:val="00835F63"/>
    <w:rsid w:val="00845F31"/>
    <w:rsid w:val="00850F6F"/>
    <w:rsid w:val="00852ADA"/>
    <w:rsid w:val="0085464F"/>
    <w:rsid w:val="00857DA0"/>
    <w:rsid w:val="00864838"/>
    <w:rsid w:val="00871615"/>
    <w:rsid w:val="008743F2"/>
    <w:rsid w:val="008807C6"/>
    <w:rsid w:val="0088485A"/>
    <w:rsid w:val="0088578C"/>
    <w:rsid w:val="0089526F"/>
    <w:rsid w:val="008978DE"/>
    <w:rsid w:val="008A64B4"/>
    <w:rsid w:val="008B1825"/>
    <w:rsid w:val="008B6189"/>
    <w:rsid w:val="008C5C91"/>
    <w:rsid w:val="008E2589"/>
    <w:rsid w:val="008F253F"/>
    <w:rsid w:val="008F7753"/>
    <w:rsid w:val="00901F84"/>
    <w:rsid w:val="00905904"/>
    <w:rsid w:val="00905E3C"/>
    <w:rsid w:val="00911562"/>
    <w:rsid w:val="00916C00"/>
    <w:rsid w:val="00931C4B"/>
    <w:rsid w:val="009345FC"/>
    <w:rsid w:val="00936354"/>
    <w:rsid w:val="00940A5E"/>
    <w:rsid w:val="009417EC"/>
    <w:rsid w:val="00946D99"/>
    <w:rsid w:val="009733DD"/>
    <w:rsid w:val="00976A77"/>
    <w:rsid w:val="00990831"/>
    <w:rsid w:val="009A33AE"/>
    <w:rsid w:val="009A5F45"/>
    <w:rsid w:val="009A75A4"/>
    <w:rsid w:val="009B2262"/>
    <w:rsid w:val="009C196A"/>
    <w:rsid w:val="009C1B3C"/>
    <w:rsid w:val="009D4DDD"/>
    <w:rsid w:val="009E1A46"/>
    <w:rsid w:val="009E51D2"/>
    <w:rsid w:val="009F1EEF"/>
    <w:rsid w:val="00A02DAC"/>
    <w:rsid w:val="00A11368"/>
    <w:rsid w:val="00A169D7"/>
    <w:rsid w:val="00A17872"/>
    <w:rsid w:val="00A2096D"/>
    <w:rsid w:val="00A22ADA"/>
    <w:rsid w:val="00A30561"/>
    <w:rsid w:val="00A31E9F"/>
    <w:rsid w:val="00A32CDA"/>
    <w:rsid w:val="00A361D5"/>
    <w:rsid w:val="00A37BE2"/>
    <w:rsid w:val="00A41332"/>
    <w:rsid w:val="00A543FC"/>
    <w:rsid w:val="00A63806"/>
    <w:rsid w:val="00A63C7D"/>
    <w:rsid w:val="00A63FE2"/>
    <w:rsid w:val="00A7171E"/>
    <w:rsid w:val="00A72300"/>
    <w:rsid w:val="00A73ADD"/>
    <w:rsid w:val="00A73C35"/>
    <w:rsid w:val="00A803EE"/>
    <w:rsid w:val="00A96328"/>
    <w:rsid w:val="00AA2EB0"/>
    <w:rsid w:val="00AB3A79"/>
    <w:rsid w:val="00AB473C"/>
    <w:rsid w:val="00AC15D1"/>
    <w:rsid w:val="00AC560A"/>
    <w:rsid w:val="00AC5AEB"/>
    <w:rsid w:val="00AF5CCA"/>
    <w:rsid w:val="00B02FB7"/>
    <w:rsid w:val="00B05438"/>
    <w:rsid w:val="00B11323"/>
    <w:rsid w:val="00B23FF3"/>
    <w:rsid w:val="00B24D4D"/>
    <w:rsid w:val="00B269FE"/>
    <w:rsid w:val="00B42CAB"/>
    <w:rsid w:val="00B44381"/>
    <w:rsid w:val="00B52A45"/>
    <w:rsid w:val="00B54D23"/>
    <w:rsid w:val="00B55550"/>
    <w:rsid w:val="00B56A30"/>
    <w:rsid w:val="00B658AD"/>
    <w:rsid w:val="00B67C2F"/>
    <w:rsid w:val="00B7078D"/>
    <w:rsid w:val="00B70F8F"/>
    <w:rsid w:val="00B72896"/>
    <w:rsid w:val="00B76E74"/>
    <w:rsid w:val="00B84F0E"/>
    <w:rsid w:val="00B860A0"/>
    <w:rsid w:val="00B939DD"/>
    <w:rsid w:val="00B96DF1"/>
    <w:rsid w:val="00B97755"/>
    <w:rsid w:val="00BB430F"/>
    <w:rsid w:val="00BC6122"/>
    <w:rsid w:val="00BE5D1E"/>
    <w:rsid w:val="00BF3D82"/>
    <w:rsid w:val="00C01936"/>
    <w:rsid w:val="00C0274A"/>
    <w:rsid w:val="00C04F76"/>
    <w:rsid w:val="00C07213"/>
    <w:rsid w:val="00C07935"/>
    <w:rsid w:val="00C13D0B"/>
    <w:rsid w:val="00C14654"/>
    <w:rsid w:val="00C20AC9"/>
    <w:rsid w:val="00C220AF"/>
    <w:rsid w:val="00C237D5"/>
    <w:rsid w:val="00C24D43"/>
    <w:rsid w:val="00C26B1F"/>
    <w:rsid w:val="00C368F7"/>
    <w:rsid w:val="00C729C0"/>
    <w:rsid w:val="00C77F2C"/>
    <w:rsid w:val="00C80DBD"/>
    <w:rsid w:val="00C85BD1"/>
    <w:rsid w:val="00C91018"/>
    <w:rsid w:val="00C9596F"/>
    <w:rsid w:val="00CA04BD"/>
    <w:rsid w:val="00CA0542"/>
    <w:rsid w:val="00CB0C02"/>
    <w:rsid w:val="00CB3CED"/>
    <w:rsid w:val="00CB635B"/>
    <w:rsid w:val="00CC6E20"/>
    <w:rsid w:val="00CC7894"/>
    <w:rsid w:val="00CD50E1"/>
    <w:rsid w:val="00CE1E52"/>
    <w:rsid w:val="00CE22ED"/>
    <w:rsid w:val="00CE4682"/>
    <w:rsid w:val="00CE7511"/>
    <w:rsid w:val="00CF3B9F"/>
    <w:rsid w:val="00CF3D1D"/>
    <w:rsid w:val="00CF4D26"/>
    <w:rsid w:val="00CF798F"/>
    <w:rsid w:val="00D00534"/>
    <w:rsid w:val="00D169DD"/>
    <w:rsid w:val="00D25ECC"/>
    <w:rsid w:val="00D330AC"/>
    <w:rsid w:val="00D34C45"/>
    <w:rsid w:val="00D36823"/>
    <w:rsid w:val="00D41A7C"/>
    <w:rsid w:val="00D50EA6"/>
    <w:rsid w:val="00D61A64"/>
    <w:rsid w:val="00D622B9"/>
    <w:rsid w:val="00D6270D"/>
    <w:rsid w:val="00D63BC0"/>
    <w:rsid w:val="00D82C9A"/>
    <w:rsid w:val="00D86330"/>
    <w:rsid w:val="00D8733C"/>
    <w:rsid w:val="00D9247C"/>
    <w:rsid w:val="00D96304"/>
    <w:rsid w:val="00D973B3"/>
    <w:rsid w:val="00DA5911"/>
    <w:rsid w:val="00DA625D"/>
    <w:rsid w:val="00DA62F9"/>
    <w:rsid w:val="00DB3EFE"/>
    <w:rsid w:val="00DB7D82"/>
    <w:rsid w:val="00DD604F"/>
    <w:rsid w:val="00DE5196"/>
    <w:rsid w:val="00DF2061"/>
    <w:rsid w:val="00E02892"/>
    <w:rsid w:val="00E05E83"/>
    <w:rsid w:val="00E1190D"/>
    <w:rsid w:val="00E133E3"/>
    <w:rsid w:val="00E159BF"/>
    <w:rsid w:val="00E22320"/>
    <w:rsid w:val="00E228A1"/>
    <w:rsid w:val="00E3651A"/>
    <w:rsid w:val="00E37D34"/>
    <w:rsid w:val="00E40618"/>
    <w:rsid w:val="00E42ECB"/>
    <w:rsid w:val="00E47A75"/>
    <w:rsid w:val="00E50206"/>
    <w:rsid w:val="00E543E4"/>
    <w:rsid w:val="00E55DAD"/>
    <w:rsid w:val="00E61320"/>
    <w:rsid w:val="00E67DB4"/>
    <w:rsid w:val="00E768D7"/>
    <w:rsid w:val="00E81EA4"/>
    <w:rsid w:val="00E92AAD"/>
    <w:rsid w:val="00EA04CC"/>
    <w:rsid w:val="00EB03DD"/>
    <w:rsid w:val="00EB4916"/>
    <w:rsid w:val="00EB58B1"/>
    <w:rsid w:val="00ED30B7"/>
    <w:rsid w:val="00ED441C"/>
    <w:rsid w:val="00ED7896"/>
    <w:rsid w:val="00EE5483"/>
    <w:rsid w:val="00EF27FB"/>
    <w:rsid w:val="00EF402C"/>
    <w:rsid w:val="00F07F4D"/>
    <w:rsid w:val="00F11B38"/>
    <w:rsid w:val="00F2754E"/>
    <w:rsid w:val="00F44C99"/>
    <w:rsid w:val="00F50F17"/>
    <w:rsid w:val="00F52405"/>
    <w:rsid w:val="00F7793B"/>
    <w:rsid w:val="00F82486"/>
    <w:rsid w:val="00F857AD"/>
    <w:rsid w:val="00FA219A"/>
    <w:rsid w:val="00FA2B6B"/>
    <w:rsid w:val="00FB6694"/>
    <w:rsid w:val="00FC244A"/>
    <w:rsid w:val="00FC3B4A"/>
    <w:rsid w:val="00FC5FC9"/>
    <w:rsid w:val="00FD17FF"/>
    <w:rsid w:val="00FD472C"/>
    <w:rsid w:val="00FD5F44"/>
    <w:rsid w:val="00FE009D"/>
    <w:rsid w:val="00FE154F"/>
    <w:rsid w:val="00FF0E01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27E10C"/>
  <w15:chartTrackingRefBased/>
  <w15:docId w15:val="{B4FB464A-AC54-41C9-BD8C-192F1A42D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8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8D6"/>
  </w:style>
  <w:style w:type="paragraph" w:styleId="Footer">
    <w:name w:val="footer"/>
    <w:basedOn w:val="Normal"/>
    <w:link w:val="FooterChar"/>
    <w:uiPriority w:val="99"/>
    <w:unhideWhenUsed/>
    <w:rsid w:val="004C48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8D6"/>
  </w:style>
  <w:style w:type="paragraph" w:styleId="BalloonText">
    <w:name w:val="Balloon Text"/>
    <w:basedOn w:val="Normal"/>
    <w:link w:val="BalloonTextChar"/>
    <w:uiPriority w:val="99"/>
    <w:semiHidden/>
    <w:unhideWhenUsed/>
    <w:rsid w:val="00A02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DA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D50E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743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3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43F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368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68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68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68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82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857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578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13D1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24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qFormat/>
    <w:rsid w:val="004B4438"/>
    <w:pPr>
      <w:spacing w:before="40" w:after="140" w:line="280" w:lineRule="atLeast"/>
    </w:pPr>
    <w:rPr>
      <w:rFonts w:ascii="Arial" w:eastAsiaTheme="minorEastAsia" w:hAnsi="Arial" w:cs="Arial"/>
      <w:sz w:val="18"/>
      <w:szCs w:val="18"/>
      <w:lang w:val="en-GB" w:eastAsia="zh-CN"/>
    </w:rPr>
  </w:style>
  <w:style w:type="character" w:customStyle="1" w:styleId="BodyTextChar">
    <w:name w:val="Body Text Char"/>
    <w:basedOn w:val="DefaultParagraphFont"/>
    <w:link w:val="BodyText"/>
    <w:semiHidden/>
    <w:rsid w:val="004B4438"/>
    <w:rPr>
      <w:rFonts w:ascii="Arial" w:eastAsiaTheme="minorEastAsia" w:hAnsi="Arial" w:cs="Arial"/>
      <w:sz w:val="18"/>
      <w:szCs w:val="18"/>
      <w:lang w:val="en-GB" w:eastAsia="zh-CN"/>
    </w:rPr>
  </w:style>
  <w:style w:type="table" w:customStyle="1" w:styleId="DNVNiceStyle">
    <w:name w:val="DNV Nice Style"/>
    <w:basedOn w:val="PlainTable3"/>
    <w:uiPriority w:val="99"/>
    <w:rsid w:val="004B4438"/>
    <w:rPr>
      <w:rFonts w:ascii="Arial" w:eastAsiaTheme="minorEastAsia" w:hAnsi="Arial"/>
      <w:sz w:val="18"/>
      <w:szCs w:val="20"/>
      <w:lang w:eastAsia="zh-CN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jc w:val="center"/>
      </w:pPr>
      <w:rPr>
        <w:rFonts w:ascii="Arial" w:hAnsi="Arial" w:cs="Arial" w:hint="default"/>
        <w:b/>
        <w:bCs/>
        <w:caps w:val="0"/>
        <w:color w:val="FFFFFF" w:themeColor="background1"/>
        <w:sz w:val="18"/>
        <w:szCs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44546A" w:themeFill="text2"/>
      </w:tcPr>
    </w:tblStylePr>
    <w:tblStylePr w:type="lastRow">
      <w:rPr>
        <w:b w:val="0"/>
        <w:bCs/>
        <w:caps/>
      </w:rPr>
      <w:tblPr/>
      <w:tcPr>
        <w:tcBorders>
          <w:top w:val="nil"/>
        </w:tcBorders>
      </w:tcPr>
    </w:tblStylePr>
    <w:tblStylePr w:type="firstCol">
      <w:pPr>
        <w:jc w:val="left"/>
      </w:pPr>
      <w:rPr>
        <w:rFonts w:ascii="Arial" w:hAnsi="Arial" w:cs="Arial" w:hint="default"/>
        <w:b/>
        <w:bCs/>
        <w:caps w:val="0"/>
        <w:sz w:val="18"/>
        <w:szCs w:val="18"/>
      </w:rPr>
      <w:tblPr/>
      <w:tcPr>
        <w:tcBorders>
          <w:right w:val="single" w:sz="4" w:space="0" w:color="767171" w:themeColor="background2" w:themeShade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pPr>
        <w:jc w:val="left"/>
      </w:pPr>
      <w:tblPr/>
      <w:tcPr>
        <w:shd w:val="clear" w:color="auto" w:fill="F2F2F2" w:themeFill="background1" w:themeFillShade="F2"/>
        <w:vAlign w:val="center"/>
      </w:tcPr>
    </w:tblStylePr>
    <w:tblStylePr w:type="band2Horz">
      <w:pPr>
        <w:jc w:val="left"/>
      </w:pPr>
      <w:tblPr/>
      <w:tcPr>
        <w:vAlign w:val="center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4B44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784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5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8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omilee.emerick@eversource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7D27DB34FD634E87C6C53F8FEC236F" ma:contentTypeVersion="12" ma:contentTypeDescription="Create a new document." ma:contentTypeScope="" ma:versionID="a965c3d5d0544584ff64a977f871cf17">
  <xsd:schema xmlns:xsd="http://www.w3.org/2001/XMLSchema" xmlns:xs="http://www.w3.org/2001/XMLSchema" xmlns:p="http://schemas.microsoft.com/office/2006/metadata/properties" xmlns:ns3="da942a2d-d28d-410d-ab1f-560d94534d22" xmlns:ns4="9f801f51-ea18-4468-929a-d22a61e292cb" targetNamespace="http://schemas.microsoft.com/office/2006/metadata/properties" ma:root="true" ma:fieldsID="31eb9e0f001ecb999845c18485413a54" ns3:_="" ns4:_="">
    <xsd:import namespace="da942a2d-d28d-410d-ab1f-560d94534d22"/>
    <xsd:import namespace="9f801f51-ea18-4468-929a-d22a61e292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42a2d-d28d-410d-ab1f-560d94534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01f51-ea18-4468-929a-d22a61e292c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B5D1-3460-4FE6-98BE-1EB92C7AE1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40CA42-3737-4E97-93CF-976D98F7DF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0F0EF9-CEAB-416B-88AA-651AFFE731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942a2d-d28d-410d-ab1f-560d94534d22"/>
    <ds:schemaRef ds:uri="9f801f51-ea18-4468-929a-d22a61e29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1CFA55-7A55-44E1-B70C-9EBB126A1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maromilee.emerick@eversource.com</dc:creator>
  <cp:keywords/>
  <dc:description/>
  <cp:lastModifiedBy>Emerick, Ma Romilee</cp:lastModifiedBy>
  <cp:revision>225</cp:revision>
  <dcterms:created xsi:type="dcterms:W3CDTF">2023-05-08T13:49:00Z</dcterms:created>
  <dcterms:modified xsi:type="dcterms:W3CDTF">2023-05-08T21:21:00Z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0x010100F77D27DB34FD634E87C6C53F8FEC236F</vt:lpwstr>
  </property>
</Properties>
</file>