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F4508" w14:textId="71F45D0A" w:rsidR="000955AE" w:rsidRDefault="00CB01FE" w:rsidP="00CB01FE">
      <w:pPr>
        <w:jc w:val="center"/>
      </w:pPr>
      <w:r w:rsidRPr="00CB01FE">
        <w:rPr>
          <w:noProof/>
        </w:rPr>
        <w:drawing>
          <wp:inline distT="0" distB="0" distL="0" distR="0" wp14:anchorId="5752633C" wp14:editId="36312D57">
            <wp:extent cx="2390775" cy="571500"/>
            <wp:effectExtent l="0" t="0" r="9525" b="0"/>
            <wp:docPr id="1" name="Picture 1" descr="Energize 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ze 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14:paraId="1129F14A" w14:textId="24D103A5" w:rsidR="00CB01FE" w:rsidRPr="00CB01FE" w:rsidRDefault="00CB01FE" w:rsidP="00CB01FE">
      <w:pPr>
        <w:jc w:val="center"/>
        <w:rPr>
          <w:b/>
        </w:rPr>
      </w:pPr>
      <w:r>
        <w:rPr>
          <w:b/>
        </w:rPr>
        <w:t>CT</w:t>
      </w:r>
      <w:r w:rsidRPr="00CB01FE">
        <w:rPr>
          <w:b/>
        </w:rPr>
        <w:t xml:space="preserve"> Residential </w:t>
      </w:r>
      <w:r>
        <w:rPr>
          <w:b/>
        </w:rPr>
        <w:t>Retailer and Distributor Program Delivery</w:t>
      </w:r>
    </w:p>
    <w:p w14:paraId="111A6DB1" w14:textId="4B728CA3" w:rsidR="00CB01FE" w:rsidRPr="00CB01FE" w:rsidRDefault="00CB01FE" w:rsidP="00CB01FE">
      <w:r w:rsidRPr="00CB01FE">
        <w:t xml:space="preserve">The </w:t>
      </w:r>
      <w:r>
        <w:t>EnergizeCT</w:t>
      </w:r>
      <w:r w:rsidRPr="00CB01FE">
        <w:t xml:space="preserve"> Program Administrators will be issuing a request for proposals (RFP) for </w:t>
      </w:r>
      <w:r>
        <w:t>industry outreach, marketing and</w:t>
      </w:r>
      <w:r w:rsidR="008B7AD1">
        <w:t xml:space="preserve"> midstream</w:t>
      </w:r>
      <w:r>
        <w:t xml:space="preserve"> rebate fulfillment services in CT.</w:t>
      </w:r>
    </w:p>
    <w:p w14:paraId="3DEECF8E" w14:textId="62AEEC43" w:rsidR="00CB01FE" w:rsidRPr="00CB01FE" w:rsidRDefault="00CB01FE" w:rsidP="00CB01FE">
      <w:r w:rsidRPr="00CB01FE">
        <w:t xml:space="preserve">The Program Administrators include Eversource Energy, </w:t>
      </w:r>
      <w:r>
        <w:t>and Avangrid (“</w:t>
      </w:r>
      <w:r w:rsidRPr="00CB01FE">
        <w:t>The United Illuminating Company, The Southern Connecticut Gas Company, and Connecticut Natural Gas Company</w:t>
      </w:r>
      <w:r>
        <w:t>”)</w:t>
      </w:r>
      <w:r w:rsidRPr="00CB01FE">
        <w:t>.</w:t>
      </w:r>
    </w:p>
    <w:p w14:paraId="64BEF7C2" w14:textId="4587BC9E" w:rsidR="00CB01FE" w:rsidRDefault="00CB01FE" w:rsidP="00CB01FE">
      <w:r w:rsidRPr="00CB01FE">
        <w:t>The purpose of this Request for Proposal (“RFP”) is to seek proposals from qualified vendors</w:t>
      </w:r>
      <w:r>
        <w:t xml:space="preserve"> </w:t>
      </w:r>
      <w:r w:rsidRPr="00CB01FE">
        <w:t>for Residential Retail &amp; Distributor Program Delivery Services for Lighting and Non-Lighting measures, including HVAC, Water Heating, and Appliance programs across downstream, midstream, and upstream channels</w:t>
      </w:r>
      <w:r w:rsidR="008B7AD1">
        <w:t xml:space="preserve"> for Outreach and Marketing</w:t>
      </w:r>
      <w:r w:rsidRPr="00CB01FE">
        <w:t xml:space="preserve"> </w:t>
      </w:r>
      <w:r w:rsidR="008B7AD1">
        <w:t xml:space="preserve">as well as HVAC and Water Heating midstream rebate fulfillment </w:t>
      </w:r>
      <w:r w:rsidRPr="00CB01FE">
        <w:t>in the CT Sponsors’ territories</w:t>
      </w:r>
      <w:r w:rsidR="008B7AD1">
        <w:t>, as summarized in the table below</w:t>
      </w:r>
      <w:r w:rsidRPr="00CB01FE">
        <w:t>.  The key tasks include Program Administration, Incentive Processing, Industry Partner Outreach, Marketing, Quality Assurance and Quality Control, Reporting, and Data Management.</w:t>
      </w:r>
      <w:r>
        <w:t xml:space="preserve">  </w:t>
      </w:r>
      <w:r w:rsidRPr="00CB01FE">
        <w:t>Bidders have the option to partner, as needed, with other vendors to provide full services.</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658"/>
        <w:gridCol w:w="1544"/>
        <w:gridCol w:w="1734"/>
      </w:tblGrid>
      <w:tr w:rsidR="00984CC1" w:rsidRPr="00984CC1" w14:paraId="75D88D1B" w14:textId="77777777" w:rsidTr="00124A05">
        <w:trPr>
          <w:trHeight w:val="336"/>
        </w:trPr>
        <w:tc>
          <w:tcPr>
            <w:tcW w:w="4861" w:type="dxa"/>
            <w:shd w:val="clear" w:color="auto" w:fill="auto"/>
            <w:noWrap/>
            <w:vAlign w:val="center"/>
            <w:hideMark/>
          </w:tcPr>
          <w:p w14:paraId="6D78F524"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Products</w:t>
            </w:r>
          </w:p>
        </w:tc>
        <w:tc>
          <w:tcPr>
            <w:tcW w:w="1658" w:type="dxa"/>
            <w:shd w:val="clear" w:color="auto" w:fill="auto"/>
            <w:noWrap/>
            <w:vAlign w:val="center"/>
            <w:hideMark/>
          </w:tcPr>
          <w:p w14:paraId="546153EC"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 xml:space="preserve">Upstream </w:t>
            </w:r>
          </w:p>
        </w:tc>
        <w:tc>
          <w:tcPr>
            <w:tcW w:w="1544" w:type="dxa"/>
            <w:shd w:val="clear" w:color="auto" w:fill="auto"/>
            <w:noWrap/>
            <w:vAlign w:val="center"/>
            <w:hideMark/>
          </w:tcPr>
          <w:p w14:paraId="34DD69AA"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 xml:space="preserve">Midstream </w:t>
            </w:r>
          </w:p>
        </w:tc>
        <w:tc>
          <w:tcPr>
            <w:tcW w:w="1734" w:type="dxa"/>
            <w:shd w:val="clear" w:color="auto" w:fill="auto"/>
            <w:noWrap/>
            <w:vAlign w:val="center"/>
            <w:hideMark/>
          </w:tcPr>
          <w:p w14:paraId="2D2B6BEF"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Downstream</w:t>
            </w:r>
          </w:p>
        </w:tc>
      </w:tr>
      <w:tr w:rsidR="00984CC1" w:rsidRPr="00984CC1" w14:paraId="39D84516" w14:textId="77777777" w:rsidTr="00124A05">
        <w:trPr>
          <w:trHeight w:val="336"/>
        </w:trPr>
        <w:tc>
          <w:tcPr>
            <w:tcW w:w="4861" w:type="dxa"/>
            <w:shd w:val="clear" w:color="auto" w:fill="auto"/>
            <w:noWrap/>
            <w:vAlign w:val="center"/>
          </w:tcPr>
          <w:p w14:paraId="0FAA4A7C"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Industry Outreach and Marketing</w:t>
            </w:r>
          </w:p>
        </w:tc>
        <w:tc>
          <w:tcPr>
            <w:tcW w:w="1658" w:type="dxa"/>
            <w:shd w:val="clear" w:color="auto" w:fill="D0CECE" w:themeFill="background2" w:themeFillShade="E6"/>
            <w:noWrap/>
            <w:vAlign w:val="center"/>
          </w:tcPr>
          <w:p w14:paraId="12F82C53" w14:textId="77777777" w:rsidR="00984CC1" w:rsidRPr="00984CC1" w:rsidRDefault="00984CC1" w:rsidP="00984CC1">
            <w:pPr>
              <w:spacing w:after="0" w:line="240" w:lineRule="auto"/>
              <w:rPr>
                <w:rFonts w:eastAsia="Times New Roman" w:cstheme="minorHAnsi"/>
                <w:color w:val="000000"/>
              </w:rPr>
            </w:pPr>
          </w:p>
        </w:tc>
        <w:tc>
          <w:tcPr>
            <w:tcW w:w="1544" w:type="dxa"/>
            <w:shd w:val="clear" w:color="auto" w:fill="D0CECE" w:themeFill="background2" w:themeFillShade="E6"/>
            <w:noWrap/>
            <w:vAlign w:val="center"/>
          </w:tcPr>
          <w:p w14:paraId="55C9253F" w14:textId="77777777" w:rsidR="00984CC1" w:rsidRPr="00984CC1" w:rsidRDefault="00984CC1" w:rsidP="00984CC1">
            <w:pPr>
              <w:spacing w:after="0" w:line="240" w:lineRule="auto"/>
              <w:rPr>
                <w:rFonts w:eastAsia="Times New Roman" w:cstheme="minorHAnsi"/>
                <w:color w:val="000000"/>
              </w:rPr>
            </w:pPr>
          </w:p>
        </w:tc>
        <w:tc>
          <w:tcPr>
            <w:tcW w:w="1734" w:type="dxa"/>
            <w:shd w:val="clear" w:color="auto" w:fill="D0CECE" w:themeFill="background2" w:themeFillShade="E6"/>
            <w:noWrap/>
            <w:vAlign w:val="center"/>
          </w:tcPr>
          <w:p w14:paraId="20A6CB77" w14:textId="77777777" w:rsidR="00984CC1" w:rsidRPr="00984CC1" w:rsidRDefault="00984CC1" w:rsidP="00984CC1">
            <w:pPr>
              <w:spacing w:after="0" w:line="240" w:lineRule="auto"/>
              <w:rPr>
                <w:rFonts w:eastAsia="Times New Roman" w:cstheme="minorHAnsi"/>
                <w:color w:val="000000"/>
              </w:rPr>
            </w:pPr>
          </w:p>
        </w:tc>
      </w:tr>
      <w:tr w:rsidR="00984CC1" w:rsidRPr="00984CC1" w14:paraId="0B4A1DD9" w14:textId="77777777" w:rsidTr="00124A05">
        <w:trPr>
          <w:trHeight w:val="336"/>
        </w:trPr>
        <w:tc>
          <w:tcPr>
            <w:tcW w:w="4861" w:type="dxa"/>
            <w:shd w:val="clear" w:color="auto" w:fill="auto"/>
            <w:noWrap/>
            <w:vAlign w:val="center"/>
            <w:hideMark/>
          </w:tcPr>
          <w:p w14:paraId="38DF20F4"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Lighting</w:t>
            </w:r>
          </w:p>
        </w:tc>
        <w:tc>
          <w:tcPr>
            <w:tcW w:w="1658" w:type="dxa"/>
            <w:shd w:val="clear" w:color="auto" w:fill="auto"/>
            <w:noWrap/>
            <w:vAlign w:val="center"/>
            <w:hideMark/>
          </w:tcPr>
          <w:p w14:paraId="630000D0"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w:t>
            </w:r>
          </w:p>
        </w:tc>
        <w:tc>
          <w:tcPr>
            <w:tcW w:w="1544" w:type="dxa"/>
            <w:shd w:val="clear" w:color="auto" w:fill="D0CECE" w:themeFill="background2" w:themeFillShade="E6"/>
            <w:noWrap/>
            <w:vAlign w:val="center"/>
            <w:hideMark/>
          </w:tcPr>
          <w:p w14:paraId="122C130B"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 xml:space="preserve"> </w:t>
            </w:r>
          </w:p>
        </w:tc>
        <w:tc>
          <w:tcPr>
            <w:tcW w:w="1734" w:type="dxa"/>
            <w:shd w:val="clear" w:color="auto" w:fill="D0CECE" w:themeFill="background2" w:themeFillShade="E6"/>
            <w:noWrap/>
            <w:vAlign w:val="center"/>
            <w:hideMark/>
          </w:tcPr>
          <w:p w14:paraId="3FE33A8E"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 xml:space="preserve"> </w:t>
            </w:r>
          </w:p>
        </w:tc>
      </w:tr>
      <w:tr w:rsidR="00984CC1" w:rsidRPr="00984CC1" w14:paraId="7CDC57DB" w14:textId="77777777" w:rsidTr="00124A05">
        <w:trPr>
          <w:trHeight w:val="336"/>
        </w:trPr>
        <w:tc>
          <w:tcPr>
            <w:tcW w:w="4861" w:type="dxa"/>
            <w:shd w:val="clear" w:color="auto" w:fill="auto"/>
            <w:noWrap/>
            <w:vAlign w:val="center"/>
            <w:hideMark/>
          </w:tcPr>
          <w:p w14:paraId="3567D384"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Appliances</w:t>
            </w:r>
          </w:p>
        </w:tc>
        <w:tc>
          <w:tcPr>
            <w:tcW w:w="1658" w:type="dxa"/>
            <w:shd w:val="clear" w:color="auto" w:fill="D0CECE" w:themeFill="background2" w:themeFillShade="E6"/>
            <w:noWrap/>
            <w:vAlign w:val="center"/>
            <w:hideMark/>
          </w:tcPr>
          <w:p w14:paraId="6B2A45F1" w14:textId="77777777" w:rsidR="00984CC1" w:rsidRPr="00984CC1" w:rsidRDefault="00984CC1" w:rsidP="00984CC1">
            <w:pPr>
              <w:spacing w:after="0" w:line="240" w:lineRule="auto"/>
              <w:jc w:val="center"/>
              <w:rPr>
                <w:rFonts w:eastAsia="Times New Roman" w:cstheme="minorHAnsi"/>
                <w:color w:val="000000"/>
              </w:rPr>
            </w:pPr>
          </w:p>
        </w:tc>
        <w:tc>
          <w:tcPr>
            <w:tcW w:w="1544" w:type="dxa"/>
            <w:shd w:val="clear" w:color="auto" w:fill="auto"/>
            <w:noWrap/>
            <w:vAlign w:val="center"/>
            <w:hideMark/>
          </w:tcPr>
          <w:p w14:paraId="4FCA2A55"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w:t>
            </w:r>
          </w:p>
        </w:tc>
        <w:tc>
          <w:tcPr>
            <w:tcW w:w="1734" w:type="dxa"/>
            <w:shd w:val="clear" w:color="auto" w:fill="auto"/>
            <w:noWrap/>
            <w:vAlign w:val="center"/>
            <w:hideMark/>
          </w:tcPr>
          <w:p w14:paraId="19C6DB6B"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w:t>
            </w:r>
          </w:p>
        </w:tc>
      </w:tr>
      <w:tr w:rsidR="00984CC1" w:rsidRPr="00984CC1" w14:paraId="4A2307FA" w14:textId="77777777" w:rsidTr="00124A05">
        <w:trPr>
          <w:trHeight w:val="336"/>
        </w:trPr>
        <w:tc>
          <w:tcPr>
            <w:tcW w:w="4861" w:type="dxa"/>
            <w:shd w:val="clear" w:color="auto" w:fill="auto"/>
            <w:noWrap/>
            <w:vAlign w:val="center"/>
            <w:hideMark/>
          </w:tcPr>
          <w:p w14:paraId="2C237168" w14:textId="77777777" w:rsidR="00984CC1" w:rsidRPr="00984CC1" w:rsidRDefault="00984CC1" w:rsidP="00984CC1">
            <w:pPr>
              <w:spacing w:after="0" w:line="240" w:lineRule="auto"/>
              <w:rPr>
                <w:rFonts w:eastAsia="Times New Roman" w:cstheme="minorHAnsi"/>
                <w:b/>
                <w:bCs/>
                <w:color w:val="000000"/>
              </w:rPr>
            </w:pPr>
            <w:r w:rsidRPr="00984CC1">
              <w:rPr>
                <w:rFonts w:eastAsia="Times New Roman" w:cstheme="minorHAnsi"/>
                <w:b/>
                <w:bCs/>
                <w:color w:val="000000"/>
              </w:rPr>
              <w:t>Industry Outreach, Marketing and Rebate Fulfillment</w:t>
            </w:r>
          </w:p>
        </w:tc>
        <w:tc>
          <w:tcPr>
            <w:tcW w:w="1658" w:type="dxa"/>
            <w:shd w:val="clear" w:color="auto" w:fill="D0CECE" w:themeFill="background2" w:themeFillShade="E6"/>
            <w:noWrap/>
            <w:vAlign w:val="center"/>
            <w:hideMark/>
          </w:tcPr>
          <w:p w14:paraId="66C27E91"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 xml:space="preserve"> </w:t>
            </w:r>
          </w:p>
        </w:tc>
        <w:tc>
          <w:tcPr>
            <w:tcW w:w="1544" w:type="dxa"/>
            <w:shd w:val="clear" w:color="auto" w:fill="D0CECE" w:themeFill="background2" w:themeFillShade="E6"/>
            <w:noWrap/>
            <w:vAlign w:val="center"/>
            <w:hideMark/>
          </w:tcPr>
          <w:p w14:paraId="4E7E6E12"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 xml:space="preserve"> </w:t>
            </w:r>
          </w:p>
        </w:tc>
        <w:tc>
          <w:tcPr>
            <w:tcW w:w="1734" w:type="dxa"/>
            <w:shd w:val="clear" w:color="auto" w:fill="D0CECE" w:themeFill="background2" w:themeFillShade="E6"/>
            <w:noWrap/>
            <w:vAlign w:val="center"/>
            <w:hideMark/>
          </w:tcPr>
          <w:p w14:paraId="635189DE"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 xml:space="preserve"> </w:t>
            </w:r>
          </w:p>
        </w:tc>
      </w:tr>
      <w:tr w:rsidR="00984CC1" w:rsidRPr="00984CC1" w14:paraId="3537A32A" w14:textId="77777777" w:rsidTr="00124A05">
        <w:trPr>
          <w:trHeight w:val="336"/>
        </w:trPr>
        <w:tc>
          <w:tcPr>
            <w:tcW w:w="4861" w:type="dxa"/>
            <w:shd w:val="clear" w:color="auto" w:fill="auto"/>
            <w:noWrap/>
            <w:vAlign w:val="center"/>
            <w:hideMark/>
          </w:tcPr>
          <w:p w14:paraId="3CF5E51A" w14:textId="77777777" w:rsidR="00984CC1" w:rsidRPr="00984CC1" w:rsidRDefault="00984CC1" w:rsidP="00984CC1">
            <w:pPr>
              <w:spacing w:after="0" w:line="240" w:lineRule="auto"/>
              <w:rPr>
                <w:rFonts w:eastAsia="Times New Roman" w:cstheme="minorHAnsi"/>
                <w:color w:val="000000"/>
              </w:rPr>
            </w:pPr>
            <w:r w:rsidRPr="00984CC1">
              <w:rPr>
                <w:rFonts w:eastAsia="Times New Roman" w:cstheme="minorHAnsi"/>
                <w:color w:val="000000"/>
              </w:rPr>
              <w:t>HVAC and Water Heating</w:t>
            </w:r>
          </w:p>
        </w:tc>
        <w:tc>
          <w:tcPr>
            <w:tcW w:w="1658" w:type="dxa"/>
            <w:shd w:val="clear" w:color="auto" w:fill="D0CECE" w:themeFill="background2" w:themeFillShade="E6"/>
            <w:noWrap/>
            <w:vAlign w:val="center"/>
            <w:hideMark/>
          </w:tcPr>
          <w:p w14:paraId="4062E3C6" w14:textId="77777777" w:rsidR="00984CC1" w:rsidRPr="00984CC1" w:rsidRDefault="00984CC1" w:rsidP="00984CC1">
            <w:pPr>
              <w:spacing w:after="0" w:line="240" w:lineRule="auto"/>
              <w:jc w:val="center"/>
              <w:rPr>
                <w:rFonts w:eastAsia="Times New Roman" w:cstheme="minorHAnsi"/>
                <w:color w:val="000000"/>
              </w:rPr>
            </w:pPr>
          </w:p>
        </w:tc>
        <w:tc>
          <w:tcPr>
            <w:tcW w:w="1544" w:type="dxa"/>
            <w:shd w:val="clear" w:color="auto" w:fill="auto"/>
            <w:noWrap/>
            <w:vAlign w:val="center"/>
            <w:hideMark/>
          </w:tcPr>
          <w:p w14:paraId="2CC8E7CA" w14:textId="77777777" w:rsidR="00984CC1" w:rsidRPr="00984CC1" w:rsidRDefault="00984CC1" w:rsidP="00984CC1">
            <w:pPr>
              <w:spacing w:after="0" w:line="240" w:lineRule="auto"/>
              <w:jc w:val="center"/>
              <w:rPr>
                <w:rFonts w:eastAsia="Times New Roman" w:cstheme="minorHAnsi"/>
                <w:color w:val="000000"/>
              </w:rPr>
            </w:pPr>
            <w:r w:rsidRPr="00984CC1">
              <w:rPr>
                <w:rFonts w:eastAsia="Times New Roman" w:cstheme="minorHAnsi"/>
                <w:color w:val="000000"/>
              </w:rPr>
              <w:t>√</w:t>
            </w:r>
          </w:p>
        </w:tc>
        <w:tc>
          <w:tcPr>
            <w:tcW w:w="1734" w:type="dxa"/>
            <w:shd w:val="clear" w:color="auto" w:fill="D0CECE" w:themeFill="background2" w:themeFillShade="E6"/>
            <w:noWrap/>
            <w:vAlign w:val="center"/>
            <w:hideMark/>
          </w:tcPr>
          <w:p w14:paraId="32710773" w14:textId="77777777" w:rsidR="00984CC1" w:rsidRPr="00984CC1" w:rsidRDefault="00984CC1" w:rsidP="00984CC1">
            <w:pPr>
              <w:spacing w:after="0" w:line="240" w:lineRule="auto"/>
              <w:jc w:val="center"/>
              <w:rPr>
                <w:rFonts w:eastAsia="Times New Roman" w:cstheme="minorHAnsi"/>
                <w:color w:val="000000"/>
              </w:rPr>
            </w:pPr>
          </w:p>
        </w:tc>
      </w:tr>
    </w:tbl>
    <w:p w14:paraId="160984D3" w14:textId="6CBC1A21" w:rsidR="008B7AD1" w:rsidRDefault="008B7AD1" w:rsidP="00CB01FE"/>
    <w:p w14:paraId="612BF15F" w14:textId="68645384" w:rsidR="00CB01FE" w:rsidRPr="00CB01FE" w:rsidRDefault="00CB01FE" w:rsidP="00CB01FE">
      <w:r w:rsidRPr="00CB01FE">
        <w:t xml:space="preserve">Eversource will be conducting this RFP on behalf of the Program Administrators through the ARIBA e-sourcing platform. If you would like to participate in the RFP, please email </w:t>
      </w:r>
      <w:hyperlink r:id="rId8" w:history="1">
        <w:r w:rsidRPr="00CB01FE">
          <w:rPr>
            <w:rStyle w:val="Hyperlink"/>
          </w:rPr>
          <w:t>eeprocurement@eversource.com</w:t>
        </w:r>
      </w:hyperlink>
      <w:r w:rsidRPr="00CB01FE">
        <w:t xml:space="preserve"> to register in ARIBA and/or be sent an invitation </w:t>
      </w:r>
      <w:r w:rsidRPr="00CB01FE">
        <w:rPr>
          <w:b/>
          <w:bCs/>
        </w:rPr>
        <w:t xml:space="preserve">by </w:t>
      </w:r>
      <w:r>
        <w:rPr>
          <w:b/>
          <w:bCs/>
        </w:rPr>
        <w:t>Thursday</w:t>
      </w:r>
      <w:r w:rsidRPr="00CB01FE">
        <w:rPr>
          <w:b/>
          <w:bCs/>
        </w:rPr>
        <w:t xml:space="preserve">, </w:t>
      </w:r>
      <w:r>
        <w:rPr>
          <w:b/>
          <w:bCs/>
        </w:rPr>
        <w:t>November 10</w:t>
      </w:r>
      <w:r w:rsidRPr="00CB01FE">
        <w:rPr>
          <w:b/>
          <w:bCs/>
        </w:rPr>
        <w:t>, 2022.</w:t>
      </w:r>
    </w:p>
    <w:p w14:paraId="074BC6B9" w14:textId="33302BC3" w:rsidR="00CB01FE" w:rsidRPr="00CB01FE" w:rsidRDefault="00CB01FE" w:rsidP="00CB01FE">
      <w:r w:rsidRPr="00CB01FE">
        <w:t>In ARIBA, you will find all the information necessary to navigate through the tool and respond to the RFP.</w:t>
      </w:r>
      <w:r>
        <w:t xml:space="preserve">  </w:t>
      </w:r>
      <w:r w:rsidRPr="00CB01FE">
        <w:t>Please note that all questions relating to this RFP must be submitted through the ARIBA Sourcing tool using the Messages function to ensure accurate information is provided to all project team members and suppliers, as well as to ensure process consistency.  Eversource will ONLY provide information related to this RFP via the Message function.  No other communication vehicles will be allowed.</w:t>
      </w:r>
    </w:p>
    <w:p w14:paraId="40499027" w14:textId="77777777" w:rsidR="00CB01FE" w:rsidRDefault="00CB01FE" w:rsidP="00CB01FE"/>
    <w:sectPr w:rsidR="00CB01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4B17" w14:textId="77777777" w:rsidR="0079502C" w:rsidRDefault="0079502C" w:rsidP="0079502C">
      <w:pPr>
        <w:spacing w:after="0" w:line="240" w:lineRule="auto"/>
      </w:pPr>
      <w:r>
        <w:separator/>
      </w:r>
    </w:p>
  </w:endnote>
  <w:endnote w:type="continuationSeparator" w:id="0">
    <w:p w14:paraId="134847A3" w14:textId="77777777" w:rsidR="0079502C" w:rsidRDefault="0079502C" w:rsidP="0079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0EE31" w14:textId="77777777" w:rsidR="0079502C" w:rsidRDefault="0079502C" w:rsidP="0079502C">
      <w:pPr>
        <w:spacing w:after="0" w:line="240" w:lineRule="auto"/>
      </w:pPr>
      <w:r>
        <w:separator/>
      </w:r>
    </w:p>
  </w:footnote>
  <w:footnote w:type="continuationSeparator" w:id="0">
    <w:p w14:paraId="5705C3D4" w14:textId="77777777" w:rsidR="0079502C" w:rsidRDefault="0079502C" w:rsidP="0079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D025C"/>
    <w:multiLevelType w:val="hybridMultilevel"/>
    <w:tmpl w:val="1CAE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E"/>
    <w:rsid w:val="000955AE"/>
    <w:rsid w:val="0079502C"/>
    <w:rsid w:val="008B7AD1"/>
    <w:rsid w:val="00984CC1"/>
    <w:rsid w:val="00CB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B0FF8"/>
  <w15:chartTrackingRefBased/>
  <w15:docId w15:val="{F0AF3D7B-AB23-4E76-B13E-D0BC7BA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1FE"/>
    <w:rPr>
      <w:color w:val="0563C1" w:themeColor="hyperlink"/>
      <w:u w:val="single"/>
    </w:rPr>
  </w:style>
  <w:style w:type="character" w:styleId="UnresolvedMention">
    <w:name w:val="Unresolved Mention"/>
    <w:basedOn w:val="DefaultParagraphFont"/>
    <w:uiPriority w:val="99"/>
    <w:semiHidden/>
    <w:unhideWhenUsed/>
    <w:rsid w:val="00CB0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rocurement@eversourc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Ringe-Welch, Kate</dc:creator>
  <cp:keywords/>
  <dc:description/>
  <cp:lastModifiedBy>Ringe-Welch, Kate</cp:lastModifiedBy>
  <cp:revision>3</cp:revision>
  <dcterms:created xsi:type="dcterms:W3CDTF">2022-10-28T15:58:00Z</dcterms:created>
  <dcterms:modified xsi:type="dcterms:W3CDTF">2022-10-28T18:24:00Z</dcterms:modified>
</cp:coreProperties>
</file>