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694D" w14:textId="749C397C" w:rsidR="00183EFF" w:rsidRPr="007325DE" w:rsidRDefault="00011B25" w:rsidP="00183EFF">
      <w:pPr>
        <w:rPr>
          <w:rFonts w:ascii="Segoe UI" w:hAnsi="Segoe UI" w:cs="Segoe UI"/>
          <w:b/>
          <w:bCs/>
          <w:sz w:val="32"/>
          <w:szCs w:val="32"/>
          <w:u w:val="single"/>
        </w:rPr>
      </w:pPr>
      <w:r w:rsidRPr="007325DE">
        <w:rPr>
          <w:rFonts w:ascii="Segoe UI" w:hAnsi="Segoe UI" w:cs="Segoe UI"/>
          <w:b/>
          <w:bCs/>
          <w:sz w:val="32"/>
          <w:szCs w:val="32"/>
          <w:u w:val="single"/>
        </w:rPr>
        <w:t>Follow-up to April 7</w:t>
      </w:r>
      <w:r w:rsidRPr="007325DE">
        <w:rPr>
          <w:rFonts w:ascii="Segoe UI" w:hAnsi="Segoe UI" w:cs="Segoe UI"/>
          <w:b/>
          <w:bCs/>
          <w:sz w:val="32"/>
          <w:szCs w:val="32"/>
          <w:u w:val="single"/>
          <w:vertAlign w:val="superscript"/>
        </w:rPr>
        <w:t xml:space="preserve">th </w:t>
      </w:r>
      <w:r w:rsidR="00183EFF" w:rsidRPr="007325DE">
        <w:rPr>
          <w:rFonts w:ascii="Segoe UI" w:hAnsi="Segoe UI" w:cs="Segoe UI"/>
          <w:b/>
          <w:bCs/>
          <w:sz w:val="32"/>
          <w:szCs w:val="32"/>
          <w:u w:val="single"/>
        </w:rPr>
        <w:t>Response</w:t>
      </w:r>
    </w:p>
    <w:p w14:paraId="474BBE33" w14:textId="4DB493C9" w:rsidR="00011B25" w:rsidRDefault="00011B25" w:rsidP="00312B6B">
      <w:pPr>
        <w:spacing w:after="0"/>
        <w:rPr>
          <w:rFonts w:ascii="Segoe UI" w:hAnsi="Segoe UI" w:cs="Segoe UI"/>
        </w:rPr>
      </w:pPr>
      <w:r>
        <w:rPr>
          <w:rFonts w:ascii="Segoe UI" w:hAnsi="Segoe UI" w:cs="Segoe UI"/>
        </w:rPr>
        <w:t>In the evaluation team’s response to Eversource’s preliminary comments on the draft R1983 report (sent April 7</w:t>
      </w:r>
      <w:r w:rsidRPr="00011B25">
        <w:rPr>
          <w:rFonts w:ascii="Segoe UI" w:hAnsi="Segoe UI" w:cs="Segoe UI"/>
          <w:vertAlign w:val="superscript"/>
        </w:rPr>
        <w:t>th</w:t>
      </w:r>
      <w:r>
        <w:rPr>
          <w:rFonts w:ascii="Segoe UI" w:hAnsi="Segoe UI" w:cs="Segoe UI"/>
        </w:rPr>
        <w:t>), we committed to provide the following three items:</w:t>
      </w:r>
    </w:p>
    <w:p w14:paraId="6D6EB95B" w14:textId="77777777" w:rsidR="00011B25" w:rsidRDefault="00011B25" w:rsidP="00312B6B">
      <w:pPr>
        <w:spacing w:after="0"/>
        <w:rPr>
          <w:rFonts w:ascii="Segoe UI" w:hAnsi="Segoe UI" w:cs="Segoe UI"/>
        </w:rPr>
      </w:pPr>
    </w:p>
    <w:p w14:paraId="39BF0AEB" w14:textId="0485287D" w:rsidR="00011B25" w:rsidRDefault="00011B25" w:rsidP="00011B25">
      <w:pPr>
        <w:pStyle w:val="ListParagraph"/>
        <w:numPr>
          <w:ilvl w:val="0"/>
          <w:numId w:val="15"/>
        </w:numPr>
        <w:rPr>
          <w:rFonts w:ascii="Segoe UI" w:hAnsi="Segoe UI" w:cs="Segoe UI"/>
        </w:rPr>
      </w:pPr>
      <w:r w:rsidRPr="007325DE">
        <w:rPr>
          <w:rFonts w:ascii="Segoe UI" w:hAnsi="Segoe UI" w:cs="Segoe UI"/>
          <w:b/>
          <w:bCs/>
        </w:rPr>
        <w:t>Measure-specific gross realization rates</w:t>
      </w:r>
      <w:r>
        <w:rPr>
          <w:rFonts w:ascii="Segoe UI" w:hAnsi="Segoe UI" w:cs="Segoe UI"/>
        </w:rPr>
        <w:t xml:space="preserve"> for </w:t>
      </w:r>
      <w:r w:rsidR="007325DE">
        <w:rPr>
          <w:rFonts w:ascii="Segoe UI" w:hAnsi="Segoe UI" w:cs="Segoe UI"/>
        </w:rPr>
        <w:t xml:space="preserve">direct </w:t>
      </w:r>
      <w:r>
        <w:rPr>
          <w:rFonts w:ascii="Segoe UI" w:hAnsi="Segoe UI" w:cs="Segoe UI"/>
        </w:rPr>
        <w:t>comparison with the PSD’s current gross realization rates for air sealing and insulation.</w:t>
      </w:r>
    </w:p>
    <w:p w14:paraId="17AB88FC" w14:textId="6969016D" w:rsidR="00011B25" w:rsidRPr="00011B25" w:rsidRDefault="00D55D70" w:rsidP="00011B25">
      <w:pPr>
        <w:pStyle w:val="ListParagraph"/>
        <w:numPr>
          <w:ilvl w:val="0"/>
          <w:numId w:val="15"/>
        </w:numPr>
        <w:rPr>
          <w:rFonts w:ascii="Segoe UI" w:hAnsi="Segoe UI" w:cs="Segoe UI"/>
        </w:rPr>
      </w:pPr>
      <w:r>
        <w:rPr>
          <w:rFonts w:ascii="Segoe UI" w:hAnsi="Segoe UI" w:cs="Segoe UI"/>
          <w:b/>
          <w:bCs/>
          <w:color w:val="000000" w:themeColor="text1"/>
        </w:rPr>
        <w:t>B</w:t>
      </w:r>
      <w:r w:rsidR="00011B25" w:rsidRPr="007325DE">
        <w:rPr>
          <w:rFonts w:ascii="Segoe UI" w:hAnsi="Segoe UI" w:cs="Segoe UI"/>
          <w:b/>
          <w:bCs/>
          <w:color w:val="000000" w:themeColor="text1"/>
        </w:rPr>
        <w:t>illing analysis</w:t>
      </w:r>
      <w:r>
        <w:rPr>
          <w:rFonts w:ascii="Segoe UI" w:hAnsi="Segoe UI" w:cs="Segoe UI"/>
          <w:b/>
          <w:bCs/>
          <w:color w:val="000000" w:themeColor="text1"/>
        </w:rPr>
        <w:t xml:space="preserve"> dataset</w:t>
      </w:r>
      <w:r w:rsidR="00011B25">
        <w:rPr>
          <w:rFonts w:ascii="Segoe UI" w:hAnsi="Segoe UI" w:cs="Segoe UI"/>
          <w:color w:val="000000" w:themeColor="text1"/>
        </w:rPr>
        <w:t>, including actual and weather normalized pre usage and post usage, program reported savings, pre/post R values, pre/post cfm, sq footage of insulation added.</w:t>
      </w:r>
    </w:p>
    <w:p w14:paraId="6B28E8C2" w14:textId="4AEFFAA9" w:rsidR="00011B25" w:rsidRPr="00011B25" w:rsidRDefault="00F07F5C" w:rsidP="00011B25">
      <w:pPr>
        <w:pStyle w:val="ListParagraph"/>
        <w:numPr>
          <w:ilvl w:val="0"/>
          <w:numId w:val="15"/>
        </w:numPr>
        <w:rPr>
          <w:rFonts w:ascii="Segoe UI" w:hAnsi="Segoe UI" w:cs="Segoe UI"/>
        </w:rPr>
      </w:pPr>
      <w:r>
        <w:rPr>
          <w:rFonts w:ascii="Segoe UI" w:hAnsi="Segoe UI" w:cs="Segoe UI"/>
          <w:b/>
          <w:bCs/>
        </w:rPr>
        <w:t xml:space="preserve">Representativeness, </w:t>
      </w:r>
      <w:r w:rsidRPr="00F07F5C">
        <w:rPr>
          <w:rFonts w:ascii="Segoe UI" w:hAnsi="Segoe UI" w:cs="Segoe UI"/>
        </w:rPr>
        <w:t xml:space="preserve">a comparison </w:t>
      </w:r>
      <w:r w:rsidR="00011B25" w:rsidRPr="00F07F5C">
        <w:rPr>
          <w:rFonts w:ascii="Segoe UI" w:hAnsi="Segoe UI" w:cs="Segoe UI"/>
        </w:rPr>
        <w:t xml:space="preserve">of </w:t>
      </w:r>
      <w:r>
        <w:rPr>
          <w:rFonts w:ascii="Segoe UI" w:hAnsi="Segoe UI" w:cs="Segoe UI"/>
        </w:rPr>
        <w:t xml:space="preserve">the </w:t>
      </w:r>
      <w:r w:rsidR="00011B25" w:rsidRPr="00F07F5C">
        <w:rPr>
          <w:rFonts w:ascii="Segoe UI" w:hAnsi="Segoe UI" w:cs="Segoe UI"/>
        </w:rPr>
        <w:t xml:space="preserve">HES and HES-IE participants </w:t>
      </w:r>
      <w:r w:rsidR="00011B25">
        <w:rPr>
          <w:rFonts w:ascii="Segoe UI" w:hAnsi="Segoe UI" w:cs="Segoe UI"/>
        </w:rPr>
        <w:t xml:space="preserve">included in the team’s billing analysis </w:t>
      </w:r>
      <w:r w:rsidR="007325DE">
        <w:rPr>
          <w:rFonts w:ascii="Segoe UI" w:hAnsi="Segoe UI" w:cs="Segoe UI"/>
        </w:rPr>
        <w:t xml:space="preserve">with </w:t>
      </w:r>
      <w:r w:rsidR="00011B25">
        <w:rPr>
          <w:rFonts w:ascii="Segoe UI" w:hAnsi="Segoe UI" w:cs="Segoe UI"/>
        </w:rPr>
        <w:t xml:space="preserve">the </w:t>
      </w:r>
      <w:r w:rsidR="007325DE">
        <w:rPr>
          <w:rFonts w:ascii="Segoe UI" w:hAnsi="Segoe UI" w:cs="Segoe UI"/>
        </w:rPr>
        <w:t xml:space="preserve">HES &amp; HES-IE </w:t>
      </w:r>
      <w:r w:rsidR="00011B25">
        <w:rPr>
          <w:rFonts w:ascii="Segoe UI" w:hAnsi="Segoe UI" w:cs="Segoe UI"/>
        </w:rPr>
        <w:t>participants that were not included in that analysis</w:t>
      </w:r>
      <w:r w:rsidR="007325DE">
        <w:rPr>
          <w:rFonts w:ascii="Segoe UI" w:hAnsi="Segoe UI" w:cs="Segoe UI"/>
        </w:rPr>
        <w:t xml:space="preserve"> </w:t>
      </w:r>
      <w:r>
        <w:rPr>
          <w:rFonts w:ascii="Segoe UI" w:hAnsi="Segoe UI" w:cs="Segoe UI"/>
        </w:rPr>
        <w:t>and the overall population of HES &amp; HES-IE participants.</w:t>
      </w:r>
    </w:p>
    <w:p w14:paraId="25F02573" w14:textId="77777777" w:rsidR="00011B25" w:rsidRDefault="00011B25" w:rsidP="00312B6B">
      <w:pPr>
        <w:spacing w:after="0"/>
        <w:rPr>
          <w:rFonts w:ascii="Segoe UI" w:hAnsi="Segoe UI" w:cs="Segoe UI"/>
        </w:rPr>
      </w:pPr>
    </w:p>
    <w:p w14:paraId="73AA5B44" w14:textId="1263A505" w:rsidR="007325DE" w:rsidRPr="007325DE" w:rsidRDefault="007325DE" w:rsidP="007325DE">
      <w:pPr>
        <w:pStyle w:val="ListParagraph"/>
        <w:numPr>
          <w:ilvl w:val="0"/>
          <w:numId w:val="17"/>
        </w:numPr>
        <w:ind w:left="360"/>
        <w:rPr>
          <w:rFonts w:ascii="Segoe UI" w:hAnsi="Segoe UI" w:cs="Segoe UI"/>
          <w:b/>
          <w:bCs/>
          <w:sz w:val="32"/>
          <w:szCs w:val="32"/>
        </w:rPr>
      </w:pPr>
      <w:r w:rsidRPr="007325DE">
        <w:rPr>
          <w:rFonts w:ascii="Segoe UI" w:hAnsi="Segoe UI" w:cs="Segoe UI"/>
          <w:b/>
          <w:bCs/>
          <w:sz w:val="32"/>
          <w:szCs w:val="32"/>
        </w:rPr>
        <w:t>Measure-specific Gross Realization Rates</w:t>
      </w:r>
    </w:p>
    <w:p w14:paraId="22BA2C01" w14:textId="71C52780" w:rsidR="001C09A0" w:rsidRDefault="007325DE" w:rsidP="007325DE">
      <w:pPr>
        <w:rPr>
          <w:rFonts w:ascii="Segoe UI" w:hAnsi="Segoe UI" w:cs="Segoe UI"/>
        </w:rPr>
      </w:pPr>
      <w:r w:rsidRPr="007325DE">
        <w:rPr>
          <w:rFonts w:ascii="Segoe UI" w:hAnsi="Segoe UI" w:cs="Segoe UI"/>
        </w:rPr>
        <w:t xml:space="preserve">The </w:t>
      </w:r>
      <w:r>
        <w:rPr>
          <w:rFonts w:ascii="Segoe UI" w:hAnsi="Segoe UI" w:cs="Segoe UI"/>
        </w:rPr>
        <w:t>previous</w:t>
      </w:r>
      <w:r w:rsidR="004C02FC">
        <w:rPr>
          <w:rFonts w:ascii="Segoe UI" w:hAnsi="Segoe UI" w:cs="Segoe UI"/>
        </w:rPr>
        <w:t>ly shared</w:t>
      </w:r>
      <w:r>
        <w:rPr>
          <w:rFonts w:ascii="Segoe UI" w:hAnsi="Segoe UI" w:cs="Segoe UI"/>
        </w:rPr>
        <w:t xml:space="preserve"> ex ante and ex post savings, as well as the resulting realization rates, </w:t>
      </w:r>
      <w:r w:rsidR="004C02FC">
        <w:rPr>
          <w:rFonts w:ascii="Segoe UI" w:hAnsi="Segoe UI" w:cs="Segoe UI"/>
        </w:rPr>
        <w:t>assessed</w:t>
      </w:r>
      <w:r>
        <w:rPr>
          <w:rFonts w:ascii="Segoe UI" w:hAnsi="Segoe UI" w:cs="Segoe UI"/>
        </w:rPr>
        <w:t xml:space="preserve"> savings </w:t>
      </w:r>
      <w:r w:rsidR="004C02FC">
        <w:rPr>
          <w:rFonts w:ascii="Segoe UI" w:hAnsi="Segoe UI" w:cs="Segoe UI"/>
        </w:rPr>
        <w:t>at</w:t>
      </w:r>
      <w:r>
        <w:rPr>
          <w:rFonts w:ascii="Segoe UI" w:hAnsi="Segoe UI" w:cs="Segoe UI"/>
        </w:rPr>
        <w:t xml:space="preserve"> the </w:t>
      </w:r>
      <w:r w:rsidRPr="004C02FC">
        <w:rPr>
          <w:rFonts w:ascii="Segoe UI" w:hAnsi="Segoe UI" w:cs="Segoe UI"/>
          <w:i/>
          <w:iCs/>
        </w:rPr>
        <w:t>participant level</w:t>
      </w:r>
      <w:r>
        <w:rPr>
          <w:rFonts w:ascii="Segoe UI" w:hAnsi="Segoe UI" w:cs="Segoe UI"/>
        </w:rPr>
        <w:t xml:space="preserve">. </w:t>
      </w:r>
      <w:r w:rsidR="001C09A0">
        <w:rPr>
          <w:rFonts w:ascii="Segoe UI" w:hAnsi="Segoe UI" w:cs="Segoe UI"/>
        </w:rPr>
        <w:t>T</w:t>
      </w:r>
      <w:r w:rsidR="006B7F10">
        <w:rPr>
          <w:rFonts w:ascii="Segoe UI" w:hAnsi="Segoe UI" w:cs="Segoe UI"/>
        </w:rPr>
        <w:t xml:space="preserve">hey summarized </w:t>
      </w:r>
      <w:r w:rsidR="000B1CC1">
        <w:rPr>
          <w:rFonts w:ascii="Segoe UI" w:hAnsi="Segoe UI" w:cs="Segoe UI"/>
        </w:rPr>
        <w:t xml:space="preserve">the </w:t>
      </w:r>
      <w:r>
        <w:rPr>
          <w:rFonts w:ascii="Segoe UI" w:hAnsi="Segoe UI" w:cs="Segoe UI"/>
        </w:rPr>
        <w:t xml:space="preserve">reported (ex ante) and actual (ex post) savings for the average </w:t>
      </w:r>
      <w:r w:rsidR="004C02FC">
        <w:rPr>
          <w:rFonts w:ascii="Segoe UI" w:hAnsi="Segoe UI" w:cs="Segoe UI"/>
        </w:rPr>
        <w:t xml:space="preserve">HES (or HES-IE) </w:t>
      </w:r>
      <w:r w:rsidR="004C02FC" w:rsidRPr="000B1CC1">
        <w:rPr>
          <w:rFonts w:ascii="Segoe UI" w:hAnsi="Segoe UI" w:cs="Segoe UI"/>
        </w:rPr>
        <w:t>participant</w:t>
      </w:r>
      <w:r w:rsidR="004C02FC">
        <w:rPr>
          <w:rFonts w:ascii="Segoe UI" w:hAnsi="Segoe UI" w:cs="Segoe UI"/>
        </w:rPr>
        <w:t xml:space="preserve"> </w:t>
      </w:r>
      <w:r>
        <w:rPr>
          <w:rFonts w:ascii="Segoe UI" w:hAnsi="Segoe UI" w:cs="Segoe UI"/>
        </w:rPr>
        <w:t>that</w:t>
      </w:r>
      <w:r w:rsidR="004C02FC">
        <w:rPr>
          <w:rFonts w:ascii="Segoe UI" w:hAnsi="Segoe UI" w:cs="Segoe UI"/>
        </w:rPr>
        <w:t xml:space="preserve"> installed insulation and air sealing (or just air sealing)</w:t>
      </w:r>
      <w:r w:rsidR="001C09A0">
        <w:rPr>
          <w:rFonts w:ascii="Segoe UI" w:hAnsi="Segoe UI" w:cs="Segoe UI"/>
        </w:rPr>
        <w:t xml:space="preserve">. </w:t>
      </w:r>
      <w:r w:rsidR="004C02FC">
        <w:rPr>
          <w:rFonts w:ascii="Segoe UI" w:hAnsi="Segoe UI" w:cs="Segoe UI"/>
        </w:rPr>
        <w:t>Th</w:t>
      </w:r>
      <w:r w:rsidR="006B7F10">
        <w:rPr>
          <w:rFonts w:ascii="Segoe UI" w:hAnsi="Segoe UI" w:cs="Segoe UI"/>
        </w:rPr>
        <w:t xml:space="preserve">is </w:t>
      </w:r>
      <w:r w:rsidR="004C02FC">
        <w:rPr>
          <w:rFonts w:ascii="Segoe UI" w:hAnsi="Segoe UI" w:cs="Segoe UI"/>
        </w:rPr>
        <w:t>participant</w:t>
      </w:r>
      <w:r w:rsidR="001C09A0">
        <w:rPr>
          <w:rFonts w:ascii="Segoe UI" w:hAnsi="Segoe UI" w:cs="Segoe UI"/>
        </w:rPr>
        <w:t xml:space="preserve"> </w:t>
      </w:r>
      <w:r w:rsidR="004C02FC">
        <w:rPr>
          <w:rFonts w:ascii="Segoe UI" w:hAnsi="Segoe UI" w:cs="Segoe UI"/>
        </w:rPr>
        <w:t>perspective a</w:t>
      </w:r>
      <w:r w:rsidR="001C09A0">
        <w:rPr>
          <w:rFonts w:ascii="Segoe UI" w:hAnsi="Segoe UI" w:cs="Segoe UI"/>
        </w:rPr>
        <w:t>lign</w:t>
      </w:r>
      <w:r w:rsidR="000B1CC1">
        <w:rPr>
          <w:rFonts w:ascii="Segoe UI" w:hAnsi="Segoe UI" w:cs="Segoe UI"/>
        </w:rPr>
        <w:t>ed</w:t>
      </w:r>
      <w:r w:rsidR="001C09A0">
        <w:rPr>
          <w:rFonts w:ascii="Segoe UI" w:hAnsi="Segoe UI" w:cs="Segoe UI"/>
        </w:rPr>
        <w:t xml:space="preserve"> </w:t>
      </w:r>
      <w:r w:rsidR="004C02FC">
        <w:rPr>
          <w:rFonts w:ascii="Segoe UI" w:hAnsi="Segoe UI" w:cs="Segoe UI"/>
        </w:rPr>
        <w:t xml:space="preserve">with the </w:t>
      </w:r>
      <w:r w:rsidR="006B7F10">
        <w:rPr>
          <w:rFonts w:ascii="Segoe UI" w:hAnsi="Segoe UI" w:cs="Segoe UI"/>
        </w:rPr>
        <w:t xml:space="preserve">evaluation </w:t>
      </w:r>
      <w:r w:rsidR="004C02FC">
        <w:rPr>
          <w:rFonts w:ascii="Segoe UI" w:hAnsi="Segoe UI" w:cs="Segoe UI"/>
        </w:rPr>
        <w:t xml:space="preserve">team’s billing analysis, which </w:t>
      </w:r>
      <w:r w:rsidR="006B7F10">
        <w:rPr>
          <w:rFonts w:ascii="Segoe UI" w:hAnsi="Segoe UI" w:cs="Segoe UI"/>
        </w:rPr>
        <w:t xml:space="preserve">occurs </w:t>
      </w:r>
      <w:r w:rsidR="004C02FC">
        <w:rPr>
          <w:rFonts w:ascii="Segoe UI" w:hAnsi="Segoe UI" w:cs="Segoe UI"/>
        </w:rPr>
        <w:t xml:space="preserve">at the participant level. </w:t>
      </w:r>
    </w:p>
    <w:p w14:paraId="3D323868" w14:textId="456F34E7" w:rsidR="001C09A0" w:rsidRDefault="004C02FC" w:rsidP="007325DE">
      <w:pPr>
        <w:rPr>
          <w:rFonts w:ascii="Segoe UI" w:hAnsi="Segoe UI" w:cs="Segoe UI"/>
        </w:rPr>
      </w:pPr>
      <w:r>
        <w:rPr>
          <w:rFonts w:ascii="Segoe UI" w:hAnsi="Segoe UI" w:cs="Segoe UI"/>
        </w:rPr>
        <w:t xml:space="preserve">However, the PSD applies gross realization rates at the </w:t>
      </w:r>
      <w:r w:rsidRPr="00BF1ACD">
        <w:rPr>
          <w:rFonts w:ascii="Segoe UI" w:hAnsi="Segoe UI" w:cs="Segoe UI"/>
          <w:i/>
          <w:iCs/>
        </w:rPr>
        <w:t>measure-level</w:t>
      </w:r>
      <w:r w:rsidR="000B1CC1">
        <w:rPr>
          <w:rFonts w:ascii="Segoe UI" w:hAnsi="Segoe UI" w:cs="Segoe UI"/>
          <w:i/>
          <w:iCs/>
        </w:rPr>
        <w:t xml:space="preserve">, </w:t>
      </w:r>
      <w:r w:rsidR="000B1CC1" w:rsidRPr="000B1CC1">
        <w:rPr>
          <w:rFonts w:ascii="Segoe UI" w:hAnsi="Segoe UI" w:cs="Segoe UI"/>
        </w:rPr>
        <w:t>not the participant-level</w:t>
      </w:r>
      <w:r w:rsidR="001C09A0">
        <w:rPr>
          <w:rFonts w:ascii="Segoe UI" w:hAnsi="Segoe UI" w:cs="Segoe UI"/>
          <w:i/>
          <w:iCs/>
        </w:rPr>
        <w:t>.</w:t>
      </w:r>
      <w:r w:rsidR="001C09A0">
        <w:rPr>
          <w:rStyle w:val="FootnoteReference"/>
          <w:rFonts w:ascii="Segoe UI" w:hAnsi="Segoe UI" w:cs="Segoe UI"/>
        </w:rPr>
        <w:footnoteReference w:id="1"/>
      </w:r>
      <w:r w:rsidR="001C09A0" w:rsidRPr="001C09A0">
        <w:rPr>
          <w:rFonts w:ascii="Segoe UI" w:hAnsi="Segoe UI" w:cs="Segoe UI"/>
        </w:rPr>
        <w:t xml:space="preserve"> In other words, what is the appropriate </w:t>
      </w:r>
      <w:r w:rsidR="006B7F10" w:rsidRPr="001C09A0">
        <w:rPr>
          <w:rFonts w:ascii="Segoe UI" w:hAnsi="Segoe UI" w:cs="Segoe UI"/>
        </w:rPr>
        <w:t xml:space="preserve">gross realization rate </w:t>
      </w:r>
      <w:r w:rsidR="001C09A0" w:rsidRPr="001C09A0">
        <w:rPr>
          <w:rFonts w:ascii="Segoe UI" w:hAnsi="Segoe UI" w:cs="Segoe UI"/>
        </w:rPr>
        <w:t xml:space="preserve">that the Companies should apply to, </w:t>
      </w:r>
      <w:r w:rsidR="001C09A0">
        <w:rPr>
          <w:rFonts w:ascii="Segoe UI" w:hAnsi="Segoe UI" w:cs="Segoe UI"/>
        </w:rPr>
        <w:t xml:space="preserve">for example, </w:t>
      </w:r>
      <w:r w:rsidR="006B7F10" w:rsidRPr="006B7F10">
        <w:rPr>
          <w:rFonts w:ascii="Segoe UI" w:hAnsi="Segoe UI" w:cs="Segoe UI"/>
        </w:rPr>
        <w:t xml:space="preserve">air sealing savings calculated using the PSD algorithm </w:t>
      </w:r>
      <w:r w:rsidR="006B7F10">
        <w:rPr>
          <w:rFonts w:ascii="Segoe UI" w:hAnsi="Segoe UI" w:cs="Segoe UI"/>
        </w:rPr>
        <w:t>to</w:t>
      </w:r>
      <w:r w:rsidR="006B7F10" w:rsidRPr="006B7F10">
        <w:rPr>
          <w:rFonts w:ascii="Segoe UI" w:hAnsi="Segoe UI" w:cs="Segoe UI"/>
        </w:rPr>
        <w:t xml:space="preserve"> align </w:t>
      </w:r>
      <w:r w:rsidR="001C09A0">
        <w:rPr>
          <w:rFonts w:ascii="Segoe UI" w:hAnsi="Segoe UI" w:cs="Segoe UI"/>
        </w:rPr>
        <w:t xml:space="preserve">savings </w:t>
      </w:r>
      <w:r w:rsidR="006B7F10" w:rsidRPr="006B7F10">
        <w:rPr>
          <w:rFonts w:ascii="Segoe UI" w:hAnsi="Segoe UI" w:cs="Segoe UI"/>
        </w:rPr>
        <w:t xml:space="preserve">with </w:t>
      </w:r>
      <w:r w:rsidR="006B7F10">
        <w:rPr>
          <w:rFonts w:ascii="Segoe UI" w:hAnsi="Segoe UI" w:cs="Segoe UI"/>
        </w:rPr>
        <w:t>the findings of the most recent HES and HES-IE impact evaluation</w:t>
      </w:r>
      <w:r w:rsidR="001C09A0">
        <w:rPr>
          <w:rFonts w:ascii="Segoe UI" w:hAnsi="Segoe UI" w:cs="Segoe UI"/>
        </w:rPr>
        <w:t>?</w:t>
      </w:r>
    </w:p>
    <w:p w14:paraId="7E76BE71" w14:textId="2EA7B3A5" w:rsidR="001C09A0" w:rsidRDefault="000B1CC1" w:rsidP="007325DE">
      <w:pPr>
        <w:rPr>
          <w:rFonts w:ascii="Segoe UI" w:hAnsi="Segoe UI" w:cs="Segoe UI"/>
        </w:rPr>
      </w:pPr>
      <w:r>
        <w:rPr>
          <w:rFonts w:ascii="Segoe UI" w:hAnsi="Segoe UI" w:cs="Segoe UI"/>
        </w:rPr>
        <w:t xml:space="preserve">While these participant- and measure-level perspectives are similar for R1983 given the team’s billing analysis segmentation (i.e., air sealing only and air sealing and insulation), they are different. This means it is </w:t>
      </w:r>
      <w:r w:rsidR="006B7F10">
        <w:rPr>
          <w:rFonts w:ascii="Segoe UI" w:hAnsi="Segoe UI" w:cs="Segoe UI"/>
        </w:rPr>
        <w:t>necessary to convert the participant-level results to measure-level</w:t>
      </w:r>
      <w:r w:rsidR="001C09A0">
        <w:rPr>
          <w:rFonts w:ascii="Segoe UI" w:hAnsi="Segoe UI" w:cs="Segoe UI"/>
        </w:rPr>
        <w:t xml:space="preserve"> results</w:t>
      </w:r>
      <w:r>
        <w:rPr>
          <w:rFonts w:ascii="Segoe UI" w:hAnsi="Segoe UI" w:cs="Segoe UI"/>
        </w:rPr>
        <w:t xml:space="preserve"> before updating the PSD and/or directly comparing R1983 gross realization rates to the existing rates in the PSD</w:t>
      </w:r>
      <w:r w:rsidR="001C09A0">
        <w:rPr>
          <w:rFonts w:ascii="Segoe UI" w:hAnsi="Segoe UI" w:cs="Segoe UI"/>
        </w:rPr>
        <w:t xml:space="preserve">. For R1983, this </w:t>
      </w:r>
      <w:r>
        <w:rPr>
          <w:rFonts w:ascii="Segoe UI" w:hAnsi="Segoe UI" w:cs="Segoe UI"/>
        </w:rPr>
        <w:t xml:space="preserve">conversion focused on </w:t>
      </w:r>
      <w:r w:rsidR="001C09A0">
        <w:rPr>
          <w:rFonts w:ascii="Segoe UI" w:hAnsi="Segoe UI" w:cs="Segoe UI"/>
        </w:rPr>
        <w:t xml:space="preserve">isolating air sealing and insulation savings for the participants that did both. </w:t>
      </w:r>
    </w:p>
    <w:p w14:paraId="02BE0E90" w14:textId="77777777" w:rsidR="00055EB1" w:rsidRDefault="000B1CC1" w:rsidP="007325DE">
      <w:pPr>
        <w:rPr>
          <w:rFonts w:ascii="Segoe UI" w:hAnsi="Segoe UI" w:cs="Segoe UI"/>
        </w:rPr>
      </w:pPr>
      <w:r>
        <w:rPr>
          <w:rFonts w:ascii="Segoe UI" w:hAnsi="Segoe UI" w:cs="Segoe UI"/>
        </w:rPr>
        <w:t>T</w:t>
      </w:r>
      <w:r w:rsidR="001C09A0">
        <w:rPr>
          <w:rFonts w:ascii="Segoe UI" w:hAnsi="Segoe UI" w:cs="Segoe UI"/>
        </w:rPr>
        <w:t xml:space="preserve">able </w:t>
      </w:r>
      <w:r>
        <w:rPr>
          <w:rFonts w:ascii="Segoe UI" w:hAnsi="Segoe UI" w:cs="Segoe UI"/>
        </w:rPr>
        <w:t xml:space="preserve">1 </w:t>
      </w:r>
      <w:r w:rsidR="001C09A0">
        <w:rPr>
          <w:rFonts w:ascii="Segoe UI" w:hAnsi="Segoe UI" w:cs="Segoe UI"/>
        </w:rPr>
        <w:t xml:space="preserve">below summarizes the </w:t>
      </w:r>
      <w:r w:rsidR="001C09A0" w:rsidRPr="000B1CC1">
        <w:rPr>
          <w:rFonts w:ascii="Segoe UI" w:hAnsi="Segoe UI" w:cs="Segoe UI"/>
          <w:i/>
          <w:iCs/>
        </w:rPr>
        <w:t>measure-specific</w:t>
      </w:r>
      <w:r w:rsidR="001C09A0">
        <w:rPr>
          <w:rFonts w:ascii="Segoe UI" w:hAnsi="Segoe UI" w:cs="Segoe UI"/>
        </w:rPr>
        <w:t xml:space="preserve"> gross realization rates resulting from R1983</w:t>
      </w:r>
      <w:r w:rsidR="00055EB1">
        <w:rPr>
          <w:rFonts w:ascii="Segoe UI" w:hAnsi="Segoe UI" w:cs="Segoe UI"/>
        </w:rPr>
        <w:t xml:space="preserve">. </w:t>
      </w:r>
      <w:r>
        <w:rPr>
          <w:rFonts w:ascii="Segoe UI" w:hAnsi="Segoe UI" w:cs="Segoe UI"/>
        </w:rPr>
        <w:t xml:space="preserve">As communicated previously, the evaluation team recommends calculating gross realization rates – at either the participant- or measure-level – using the </w:t>
      </w:r>
      <w:proofErr w:type="gramStart"/>
      <w:r>
        <w:rPr>
          <w:rFonts w:ascii="Segoe UI" w:hAnsi="Segoe UI" w:cs="Segoe UI"/>
        </w:rPr>
        <w:t>ex post</w:t>
      </w:r>
      <w:proofErr w:type="gramEnd"/>
      <w:r>
        <w:rPr>
          <w:rFonts w:ascii="Segoe UI" w:hAnsi="Segoe UI" w:cs="Segoe UI"/>
        </w:rPr>
        <w:t xml:space="preserve"> savings and ex ante savings reported in the provided program tracking data.</w:t>
      </w:r>
      <w:r w:rsidR="00055EB1">
        <w:rPr>
          <w:rFonts w:ascii="Segoe UI" w:hAnsi="Segoe UI" w:cs="Segoe UI"/>
        </w:rPr>
        <w:t xml:space="preserve"> </w:t>
      </w:r>
    </w:p>
    <w:p w14:paraId="1BE387F4" w14:textId="7B230939" w:rsidR="001C09A0" w:rsidRDefault="00055EB1" w:rsidP="007325DE">
      <w:pPr>
        <w:rPr>
          <w:rFonts w:ascii="Segoe UI" w:hAnsi="Segoe UI" w:cs="Segoe UI"/>
        </w:rPr>
      </w:pPr>
      <w:r>
        <w:rPr>
          <w:rFonts w:ascii="Segoe UI" w:hAnsi="Segoe UI" w:cs="Segoe UI"/>
        </w:rPr>
        <w:t>Like the previous participant-level perspective, the measure-level gross realization rates show lower rates for air sealing and higher rates for insulation.</w:t>
      </w:r>
    </w:p>
    <w:p w14:paraId="1D7C9C15" w14:textId="4E6FF719" w:rsidR="000B1CC1" w:rsidRPr="00F61EA8" w:rsidRDefault="000B1CC1" w:rsidP="00055EB1">
      <w:pPr>
        <w:keepNext/>
        <w:jc w:val="center"/>
        <w:rPr>
          <w:rFonts w:ascii="Segoe UI" w:eastAsia="Times New Roman" w:hAnsi="Segoe UI" w:cs="Segoe UI"/>
          <w:b/>
          <w:bCs/>
          <w:color w:val="000000" w:themeColor="text1"/>
        </w:rPr>
      </w:pPr>
      <w:r w:rsidRPr="00F61EA8">
        <w:rPr>
          <w:rFonts w:ascii="Segoe UI" w:eastAsia="Times New Roman" w:hAnsi="Segoe UI" w:cs="Segoe UI"/>
          <w:b/>
          <w:bCs/>
          <w:color w:val="000000" w:themeColor="text1"/>
        </w:rPr>
        <w:lastRenderedPageBreak/>
        <w:t xml:space="preserve">Table </w:t>
      </w:r>
      <w:r>
        <w:rPr>
          <w:rFonts w:ascii="Segoe UI" w:eastAsia="Times New Roman" w:hAnsi="Segoe UI" w:cs="Segoe UI"/>
          <w:b/>
          <w:bCs/>
          <w:color w:val="000000" w:themeColor="text1"/>
        </w:rPr>
        <w:t>1</w:t>
      </w:r>
      <w:r w:rsidRPr="00F61EA8">
        <w:rPr>
          <w:rFonts w:ascii="Segoe UI" w:eastAsia="Times New Roman" w:hAnsi="Segoe UI" w:cs="Segoe UI"/>
          <w:b/>
          <w:bCs/>
          <w:color w:val="000000" w:themeColor="text1"/>
        </w:rPr>
        <w:t xml:space="preserve">:  </w:t>
      </w:r>
      <w:r w:rsidR="00055EB1">
        <w:rPr>
          <w:rFonts w:ascii="Segoe UI" w:eastAsia="Times New Roman" w:hAnsi="Segoe UI" w:cs="Segoe UI"/>
          <w:b/>
          <w:bCs/>
          <w:color w:val="000000" w:themeColor="text1"/>
        </w:rPr>
        <w:t xml:space="preserve">R1983 </w:t>
      </w:r>
      <w:r>
        <w:rPr>
          <w:rFonts w:ascii="Segoe UI" w:eastAsia="Times New Roman" w:hAnsi="Segoe UI" w:cs="Segoe UI"/>
          <w:b/>
          <w:bCs/>
          <w:color w:val="000000" w:themeColor="text1"/>
        </w:rPr>
        <w:t>Measure-Specific Ex Ante, Ex Post, and Gross Realization Rates</w:t>
      </w:r>
    </w:p>
    <w:tbl>
      <w:tblPr>
        <w:tblStyle w:val="BodyOdd"/>
        <w:tblW w:w="5000" w:type="pct"/>
        <w:tblLook w:val="04A0" w:firstRow="1" w:lastRow="0" w:firstColumn="1" w:lastColumn="0" w:noHBand="0" w:noVBand="1"/>
      </w:tblPr>
      <w:tblGrid>
        <w:gridCol w:w="3622"/>
        <w:gridCol w:w="1411"/>
        <w:gridCol w:w="1509"/>
        <w:gridCol w:w="1309"/>
        <w:gridCol w:w="1509"/>
      </w:tblGrid>
      <w:tr w:rsidR="00055EB1" w:rsidRPr="00D86AA8" w14:paraId="56F4AF58" w14:textId="77777777" w:rsidTr="00055EB1">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tcBorders>
              <w:right w:val="single" w:sz="4" w:space="0" w:color="FFFFFF"/>
            </w:tcBorders>
            <w:vAlign w:val="bottom"/>
          </w:tcPr>
          <w:p w14:paraId="507C9CC8" w14:textId="77777777" w:rsidR="00055EB1" w:rsidRPr="00D86AA8" w:rsidRDefault="00055EB1" w:rsidP="000B1CC1">
            <w:pPr>
              <w:keepNext/>
              <w:spacing w:before="20" w:after="20" w:line="240" w:lineRule="auto"/>
              <w:rPr>
                <w:rFonts w:ascii="Segoe UI" w:eastAsia="Times New Roman" w:hAnsi="Segoe UI" w:cs="Segoe UI"/>
                <w:szCs w:val="20"/>
              </w:rPr>
            </w:pPr>
          </w:p>
        </w:tc>
        <w:tc>
          <w:tcPr>
            <w:tcW w:w="1560" w:type="pct"/>
            <w:gridSpan w:val="2"/>
            <w:tcBorders>
              <w:right w:val="single" w:sz="4" w:space="0" w:color="FFFFFF"/>
            </w:tcBorders>
            <w:vAlign w:val="bottom"/>
          </w:tcPr>
          <w:p w14:paraId="6AEDB385" w14:textId="77777777" w:rsidR="00055EB1" w:rsidRPr="003D2898" w:rsidRDefault="00055EB1" w:rsidP="000B1CC1">
            <w:pPr>
              <w:keepNext/>
              <w:spacing w:before="20" w:after="2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kern w:val="24"/>
                <w:szCs w:val="20"/>
                <w:u w:val="single"/>
              </w:rPr>
            </w:pPr>
            <w:r w:rsidRPr="003D2898">
              <w:rPr>
                <w:rFonts w:ascii="Segoe UI" w:eastAsia="Times New Roman" w:hAnsi="Segoe UI" w:cs="Segoe UI"/>
                <w:kern w:val="24"/>
                <w:szCs w:val="20"/>
                <w:u w:val="single"/>
              </w:rPr>
              <w:t>HES</w:t>
            </w:r>
            <w:r>
              <w:rPr>
                <w:rFonts w:ascii="Segoe UI" w:eastAsia="Times New Roman" w:hAnsi="Segoe UI" w:cs="Segoe UI"/>
                <w:kern w:val="24"/>
                <w:szCs w:val="20"/>
                <w:u w:val="single"/>
              </w:rPr>
              <w:t xml:space="preserve"> </w:t>
            </w:r>
            <w:r w:rsidRPr="00343C0E">
              <w:rPr>
                <w:rFonts w:ascii="Segoe UI" w:eastAsia="Times New Roman" w:hAnsi="Segoe UI" w:cs="Segoe UI"/>
                <w:b w:val="0"/>
                <w:bCs/>
                <w:kern w:val="24"/>
                <w:szCs w:val="20"/>
                <w:u w:val="single"/>
              </w:rPr>
              <w:t>(CCF/year)</w:t>
            </w:r>
          </w:p>
        </w:tc>
        <w:tc>
          <w:tcPr>
            <w:tcW w:w="1505" w:type="pct"/>
            <w:gridSpan w:val="2"/>
            <w:tcBorders>
              <w:left w:val="single" w:sz="4" w:space="0" w:color="FFFFFF"/>
            </w:tcBorders>
            <w:vAlign w:val="bottom"/>
          </w:tcPr>
          <w:p w14:paraId="3C0CED34" w14:textId="77777777" w:rsidR="00055EB1" w:rsidRPr="00343C0E" w:rsidRDefault="00055EB1" w:rsidP="000B1CC1">
            <w:pPr>
              <w:keepNext/>
              <w:spacing w:before="20" w:after="2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kern w:val="24"/>
                <w:szCs w:val="20"/>
                <w:u w:val="single"/>
              </w:rPr>
            </w:pPr>
            <w:r w:rsidRPr="003D2898">
              <w:rPr>
                <w:rFonts w:ascii="Segoe UI" w:eastAsia="Times New Roman" w:hAnsi="Segoe UI" w:cs="Segoe UI"/>
                <w:kern w:val="24"/>
                <w:szCs w:val="20"/>
                <w:u w:val="single"/>
              </w:rPr>
              <w:t>HES-IE</w:t>
            </w:r>
            <w:r>
              <w:rPr>
                <w:rFonts w:ascii="Segoe UI" w:eastAsia="Times New Roman" w:hAnsi="Segoe UI" w:cs="Segoe UI"/>
                <w:kern w:val="24"/>
                <w:szCs w:val="20"/>
                <w:u w:val="single"/>
              </w:rPr>
              <w:t xml:space="preserve"> </w:t>
            </w:r>
            <w:r w:rsidRPr="00343C0E">
              <w:rPr>
                <w:rFonts w:ascii="Segoe UI" w:eastAsia="Times New Roman" w:hAnsi="Segoe UI" w:cs="Segoe UI"/>
                <w:b w:val="0"/>
                <w:bCs/>
                <w:kern w:val="24"/>
                <w:szCs w:val="20"/>
                <w:u w:val="single"/>
              </w:rPr>
              <w:t>(CCF/year)</w:t>
            </w:r>
          </w:p>
        </w:tc>
      </w:tr>
      <w:tr w:rsidR="00055EB1" w:rsidRPr="00D86AA8" w14:paraId="074EC183" w14:textId="77777777" w:rsidTr="00055E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tcBorders>
              <w:right w:val="single" w:sz="4" w:space="0" w:color="FFFFFF"/>
            </w:tcBorders>
            <w:shd w:val="clear" w:color="auto" w:fill="046A38"/>
            <w:vAlign w:val="bottom"/>
            <w:hideMark/>
          </w:tcPr>
          <w:p w14:paraId="03F79971" w14:textId="77777777" w:rsidR="00055EB1" w:rsidRPr="00D86AA8" w:rsidRDefault="00055EB1" w:rsidP="000B1CC1">
            <w:pPr>
              <w:keepNext/>
              <w:spacing w:before="20" w:after="20" w:line="240" w:lineRule="auto"/>
              <w:jc w:val="left"/>
              <w:rPr>
                <w:rFonts w:ascii="Segoe UI" w:eastAsia="Times New Roman" w:hAnsi="Segoe UI" w:cs="Segoe UI"/>
                <w:szCs w:val="20"/>
              </w:rPr>
            </w:pPr>
          </w:p>
        </w:tc>
        <w:tc>
          <w:tcPr>
            <w:tcW w:w="754" w:type="pct"/>
            <w:shd w:val="clear" w:color="auto" w:fill="046A38"/>
            <w:vAlign w:val="bottom"/>
          </w:tcPr>
          <w:p w14:paraId="6913E152" w14:textId="2F8E3385" w:rsidR="00055EB1" w:rsidRPr="007D329F" w:rsidRDefault="00055EB1" w:rsidP="00055EB1">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Air Sealing</w:t>
            </w:r>
          </w:p>
        </w:tc>
        <w:tc>
          <w:tcPr>
            <w:tcW w:w="806" w:type="pct"/>
            <w:tcBorders>
              <w:right w:val="single" w:sz="4" w:space="0" w:color="FFFFFF"/>
            </w:tcBorders>
            <w:shd w:val="clear" w:color="auto" w:fill="046A38"/>
            <w:vAlign w:val="bottom"/>
          </w:tcPr>
          <w:p w14:paraId="3AB7EA85" w14:textId="7D5B3680" w:rsidR="00055EB1" w:rsidRPr="007D329F" w:rsidRDefault="00055EB1" w:rsidP="00055EB1">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Insulation</w:t>
            </w:r>
          </w:p>
        </w:tc>
        <w:tc>
          <w:tcPr>
            <w:tcW w:w="699" w:type="pct"/>
            <w:tcBorders>
              <w:left w:val="single" w:sz="4" w:space="0" w:color="FFFFFF"/>
            </w:tcBorders>
            <w:shd w:val="clear" w:color="auto" w:fill="046A38"/>
            <w:vAlign w:val="bottom"/>
            <w:hideMark/>
          </w:tcPr>
          <w:p w14:paraId="3CACC117" w14:textId="2F46CDC1" w:rsidR="00055EB1" w:rsidRPr="007D329F" w:rsidRDefault="00055EB1" w:rsidP="00055EB1">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Air Sealing</w:t>
            </w:r>
          </w:p>
        </w:tc>
        <w:tc>
          <w:tcPr>
            <w:tcW w:w="806" w:type="pct"/>
            <w:shd w:val="clear" w:color="auto" w:fill="046A38"/>
            <w:vAlign w:val="bottom"/>
          </w:tcPr>
          <w:p w14:paraId="4A7861DA" w14:textId="4E18FC27" w:rsidR="00055EB1" w:rsidRPr="007D329F" w:rsidRDefault="00055EB1" w:rsidP="00055EB1">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Insulation</w:t>
            </w:r>
          </w:p>
        </w:tc>
      </w:tr>
      <w:tr w:rsidR="00055EB1" w:rsidRPr="00D86AA8" w14:paraId="369AD36C" w14:textId="77777777" w:rsidTr="00055EB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shd w:val="clear" w:color="auto" w:fill="auto"/>
            <w:vAlign w:val="center"/>
            <w:hideMark/>
          </w:tcPr>
          <w:p w14:paraId="736285D8" w14:textId="4B4B4C22" w:rsidR="00055EB1" w:rsidRPr="00055EB1" w:rsidRDefault="00055EB1" w:rsidP="000B1CC1">
            <w:pPr>
              <w:keepNext/>
              <w:spacing w:before="20" w:after="20" w:line="240" w:lineRule="auto"/>
              <w:jc w:val="left"/>
              <w:rPr>
                <w:rFonts w:ascii="Segoe UI" w:eastAsia="Times New Roman" w:hAnsi="Segoe UI" w:cs="Segoe UI"/>
                <w:bCs/>
                <w:kern w:val="24"/>
                <w:szCs w:val="20"/>
              </w:rPr>
            </w:pPr>
            <w:r w:rsidRPr="00055EB1">
              <w:rPr>
                <w:rFonts w:ascii="Segoe UI" w:eastAsia="Times New Roman" w:hAnsi="Segoe UI" w:cs="Segoe UI"/>
                <w:b/>
                <w:kern w:val="24"/>
                <w:szCs w:val="20"/>
              </w:rPr>
              <w:t>Ex Post</w:t>
            </w:r>
            <w:r w:rsidRPr="00055EB1">
              <w:rPr>
                <w:rFonts w:ascii="Segoe UI" w:eastAsia="Times New Roman" w:hAnsi="Segoe UI" w:cs="Segoe UI"/>
                <w:bCs/>
                <w:kern w:val="24"/>
                <w:szCs w:val="20"/>
              </w:rPr>
              <w:t xml:space="preserve"> (Billing Analysis)</w:t>
            </w:r>
          </w:p>
        </w:tc>
        <w:tc>
          <w:tcPr>
            <w:tcW w:w="754" w:type="pct"/>
            <w:shd w:val="clear" w:color="auto" w:fill="auto"/>
            <w:vAlign w:val="bottom"/>
          </w:tcPr>
          <w:p w14:paraId="44A2DC82"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bCs/>
                <w:kern w:val="24"/>
                <w:szCs w:val="20"/>
              </w:rPr>
              <w:t>17</w:t>
            </w:r>
          </w:p>
        </w:tc>
        <w:tc>
          <w:tcPr>
            <w:tcW w:w="806" w:type="pct"/>
            <w:shd w:val="clear" w:color="auto" w:fill="auto"/>
            <w:vAlign w:val="bottom"/>
          </w:tcPr>
          <w:p w14:paraId="36F23334"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bCs/>
                <w:kern w:val="24"/>
                <w:szCs w:val="20"/>
              </w:rPr>
              <w:t>60</w:t>
            </w:r>
          </w:p>
        </w:tc>
        <w:tc>
          <w:tcPr>
            <w:tcW w:w="699" w:type="pct"/>
            <w:shd w:val="clear" w:color="auto" w:fill="auto"/>
            <w:vAlign w:val="bottom"/>
          </w:tcPr>
          <w:p w14:paraId="04A332C7"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bCs/>
                <w:kern w:val="24"/>
                <w:szCs w:val="20"/>
              </w:rPr>
              <w:t>11</w:t>
            </w:r>
          </w:p>
        </w:tc>
        <w:tc>
          <w:tcPr>
            <w:tcW w:w="806" w:type="pct"/>
            <w:shd w:val="clear" w:color="auto" w:fill="auto"/>
            <w:vAlign w:val="bottom"/>
          </w:tcPr>
          <w:p w14:paraId="03DFAA74"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bCs/>
                <w:kern w:val="24"/>
                <w:szCs w:val="20"/>
              </w:rPr>
              <w:t>97</w:t>
            </w:r>
          </w:p>
        </w:tc>
      </w:tr>
      <w:tr w:rsidR="00055EB1" w:rsidRPr="00D86AA8" w14:paraId="5560A30A" w14:textId="77777777" w:rsidTr="00055E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shd w:val="clear" w:color="auto" w:fill="auto"/>
            <w:vAlign w:val="center"/>
          </w:tcPr>
          <w:p w14:paraId="6CADA14F" w14:textId="38C10CFE" w:rsidR="00055EB1" w:rsidRPr="00D86AA8" w:rsidRDefault="00055EB1" w:rsidP="000B1CC1">
            <w:pPr>
              <w:keepNext/>
              <w:spacing w:before="20" w:after="20" w:line="240" w:lineRule="auto"/>
              <w:jc w:val="left"/>
              <w:rPr>
                <w:rFonts w:ascii="Segoe UI" w:eastAsia="Times New Roman" w:hAnsi="Segoe UI" w:cs="Segoe UI"/>
                <w:bCs/>
                <w:kern w:val="24"/>
                <w:szCs w:val="20"/>
              </w:rPr>
            </w:pPr>
            <w:r w:rsidRPr="00055EB1">
              <w:rPr>
                <w:rFonts w:ascii="Segoe UI" w:eastAsia="Times New Roman" w:hAnsi="Segoe UI" w:cs="Segoe UI"/>
                <w:b/>
                <w:kern w:val="24"/>
                <w:szCs w:val="20"/>
              </w:rPr>
              <w:t>Ex Ante</w:t>
            </w:r>
            <w:r>
              <w:rPr>
                <w:rFonts w:ascii="Segoe UI" w:eastAsia="Times New Roman" w:hAnsi="Segoe UI" w:cs="Segoe UI"/>
                <w:b/>
                <w:kern w:val="24"/>
                <w:szCs w:val="20"/>
              </w:rPr>
              <w:t xml:space="preserve"> </w:t>
            </w:r>
            <w:r w:rsidRPr="00F61EA8">
              <w:rPr>
                <w:rFonts w:ascii="Segoe UI" w:eastAsia="Times New Roman" w:hAnsi="Segoe UI" w:cs="Segoe UI"/>
                <w:bCs/>
                <w:kern w:val="24"/>
                <w:szCs w:val="20"/>
              </w:rPr>
              <w:t>(</w:t>
            </w:r>
            <w:r>
              <w:rPr>
                <w:rFonts w:ascii="Segoe UI" w:eastAsia="Times New Roman" w:hAnsi="Segoe UI" w:cs="Segoe UI"/>
                <w:bCs/>
                <w:kern w:val="24"/>
                <w:szCs w:val="20"/>
              </w:rPr>
              <w:t>T</w:t>
            </w:r>
            <w:r w:rsidRPr="00F61EA8">
              <w:rPr>
                <w:rFonts w:ascii="Segoe UI" w:eastAsia="Times New Roman" w:hAnsi="Segoe UI" w:cs="Segoe UI"/>
                <w:bCs/>
                <w:kern w:val="24"/>
                <w:szCs w:val="20"/>
              </w:rPr>
              <w:t xml:space="preserve">racking </w:t>
            </w:r>
            <w:r>
              <w:rPr>
                <w:rFonts w:ascii="Segoe UI" w:eastAsia="Times New Roman" w:hAnsi="Segoe UI" w:cs="Segoe UI"/>
                <w:bCs/>
                <w:kern w:val="24"/>
                <w:szCs w:val="20"/>
              </w:rPr>
              <w:t>D</w:t>
            </w:r>
            <w:r w:rsidRPr="00F61EA8">
              <w:rPr>
                <w:rFonts w:ascii="Segoe UI" w:eastAsia="Times New Roman" w:hAnsi="Segoe UI" w:cs="Segoe UI"/>
                <w:bCs/>
                <w:kern w:val="24"/>
                <w:szCs w:val="20"/>
              </w:rPr>
              <w:t>ata)</w:t>
            </w:r>
          </w:p>
        </w:tc>
        <w:tc>
          <w:tcPr>
            <w:tcW w:w="754" w:type="pct"/>
            <w:shd w:val="clear" w:color="auto" w:fill="auto"/>
            <w:vAlign w:val="bottom"/>
          </w:tcPr>
          <w:p w14:paraId="462F5668" w14:textId="77777777" w:rsidR="00055EB1" w:rsidRPr="00055EB1" w:rsidRDefault="00055EB1" w:rsidP="000B1CC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24"/>
                <w:szCs w:val="20"/>
              </w:rPr>
            </w:pPr>
            <w:r w:rsidRPr="00055EB1">
              <w:rPr>
                <w:rFonts w:ascii="Segoe UI" w:hAnsi="Segoe UI" w:cs="Segoe UI"/>
                <w:color w:val="000000"/>
              </w:rPr>
              <w:t>102</w:t>
            </w:r>
          </w:p>
        </w:tc>
        <w:tc>
          <w:tcPr>
            <w:tcW w:w="806" w:type="pct"/>
            <w:shd w:val="clear" w:color="auto" w:fill="auto"/>
            <w:vAlign w:val="bottom"/>
          </w:tcPr>
          <w:p w14:paraId="2112ABE6" w14:textId="77777777" w:rsidR="00055EB1" w:rsidRPr="00055EB1" w:rsidRDefault="00055EB1" w:rsidP="000B1CC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kern w:val="24"/>
                <w:szCs w:val="20"/>
              </w:rPr>
            </w:pPr>
            <w:r w:rsidRPr="00055EB1">
              <w:rPr>
                <w:rFonts w:ascii="Segoe UI" w:hAnsi="Segoe UI" w:cs="Segoe UI"/>
                <w:color w:val="000000"/>
              </w:rPr>
              <w:t>119</w:t>
            </w:r>
          </w:p>
        </w:tc>
        <w:tc>
          <w:tcPr>
            <w:tcW w:w="699" w:type="pct"/>
            <w:shd w:val="clear" w:color="auto" w:fill="auto"/>
            <w:vAlign w:val="bottom"/>
          </w:tcPr>
          <w:p w14:paraId="64596168" w14:textId="77777777" w:rsidR="00055EB1" w:rsidRPr="00055EB1" w:rsidRDefault="00055EB1" w:rsidP="000B1CC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24"/>
                <w:szCs w:val="20"/>
              </w:rPr>
            </w:pPr>
            <w:r w:rsidRPr="00055EB1">
              <w:rPr>
                <w:rFonts w:ascii="Segoe UI" w:hAnsi="Segoe UI" w:cs="Segoe UI"/>
                <w:color w:val="000000"/>
              </w:rPr>
              <w:t>106</w:t>
            </w:r>
          </w:p>
        </w:tc>
        <w:tc>
          <w:tcPr>
            <w:tcW w:w="806" w:type="pct"/>
            <w:shd w:val="clear" w:color="auto" w:fill="auto"/>
            <w:vAlign w:val="bottom"/>
          </w:tcPr>
          <w:p w14:paraId="53FABE3A" w14:textId="77777777" w:rsidR="00055EB1" w:rsidRPr="00055EB1" w:rsidRDefault="00055EB1" w:rsidP="000B1CC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055EB1">
              <w:rPr>
                <w:rFonts w:ascii="Segoe UI" w:hAnsi="Segoe UI" w:cs="Segoe UI"/>
                <w:color w:val="000000"/>
              </w:rPr>
              <w:t>211</w:t>
            </w:r>
          </w:p>
        </w:tc>
      </w:tr>
      <w:tr w:rsidR="00055EB1" w:rsidRPr="00D86AA8" w14:paraId="45131A0F" w14:textId="77777777" w:rsidTr="00055EB1">
        <w:trPr>
          <w:cnfStyle w:val="000000010000" w:firstRow="0" w:lastRow="0" w:firstColumn="0" w:lastColumn="0" w:oddVBand="0" w:evenVBand="0" w:oddHBand="0" w:evenHBand="1"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1935" w:type="pct"/>
            <w:shd w:val="clear" w:color="auto" w:fill="D9D9D9" w:themeFill="background1" w:themeFillShade="D9"/>
            <w:vAlign w:val="center"/>
          </w:tcPr>
          <w:p w14:paraId="775BAD04" w14:textId="21168654" w:rsidR="00055EB1" w:rsidRPr="00055EB1" w:rsidRDefault="00055EB1" w:rsidP="000B1CC1">
            <w:pPr>
              <w:keepNext/>
              <w:spacing w:before="20" w:after="20" w:line="240" w:lineRule="auto"/>
              <w:jc w:val="left"/>
              <w:rPr>
                <w:rFonts w:ascii="Segoe UI" w:eastAsia="Times New Roman" w:hAnsi="Segoe UI" w:cs="Segoe UI"/>
                <w:b/>
                <w:kern w:val="24"/>
                <w:szCs w:val="20"/>
              </w:rPr>
            </w:pPr>
            <w:r w:rsidRPr="00055EB1">
              <w:rPr>
                <w:rFonts w:ascii="Segoe UI" w:eastAsia="Times New Roman" w:hAnsi="Segoe UI" w:cs="Segoe UI"/>
                <w:b/>
                <w:kern w:val="24"/>
                <w:szCs w:val="20"/>
              </w:rPr>
              <w:t>Gross Realization Rate</w:t>
            </w:r>
          </w:p>
        </w:tc>
        <w:tc>
          <w:tcPr>
            <w:tcW w:w="754" w:type="pct"/>
            <w:shd w:val="clear" w:color="auto" w:fill="D9D9D9" w:themeFill="background1" w:themeFillShade="D9"/>
            <w:vAlign w:val="bottom"/>
          </w:tcPr>
          <w:p w14:paraId="6C74E94B"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hAnsi="Segoe UI" w:cs="Segoe UI"/>
                <w:b/>
                <w:bCs/>
                <w:color w:val="000000"/>
              </w:rPr>
            </w:pPr>
            <w:r w:rsidRPr="00055EB1">
              <w:rPr>
                <w:rFonts w:ascii="Segoe UI" w:hAnsi="Segoe UI" w:cs="Segoe UI"/>
                <w:b/>
                <w:bCs/>
                <w:color w:val="000000"/>
              </w:rPr>
              <w:t>17%</w:t>
            </w:r>
          </w:p>
        </w:tc>
        <w:tc>
          <w:tcPr>
            <w:tcW w:w="806" w:type="pct"/>
            <w:shd w:val="clear" w:color="auto" w:fill="D9D9D9" w:themeFill="background1" w:themeFillShade="D9"/>
            <w:vAlign w:val="bottom"/>
          </w:tcPr>
          <w:p w14:paraId="5C26D316"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hAnsi="Segoe UI" w:cs="Segoe UI"/>
                <w:b/>
                <w:bCs/>
                <w:color w:val="000000"/>
              </w:rPr>
            </w:pPr>
            <w:r w:rsidRPr="00055EB1">
              <w:rPr>
                <w:rFonts w:ascii="Segoe UI" w:hAnsi="Segoe UI" w:cs="Segoe UI"/>
                <w:b/>
                <w:bCs/>
                <w:color w:val="000000"/>
              </w:rPr>
              <w:t>51%</w:t>
            </w:r>
          </w:p>
        </w:tc>
        <w:tc>
          <w:tcPr>
            <w:tcW w:w="699" w:type="pct"/>
            <w:shd w:val="clear" w:color="auto" w:fill="D9D9D9" w:themeFill="background1" w:themeFillShade="D9"/>
            <w:vAlign w:val="bottom"/>
          </w:tcPr>
          <w:p w14:paraId="587CE21C"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hAnsi="Segoe UI" w:cs="Segoe UI"/>
                <w:b/>
                <w:bCs/>
                <w:color w:val="000000"/>
              </w:rPr>
            </w:pPr>
            <w:r w:rsidRPr="00055EB1">
              <w:rPr>
                <w:rFonts w:ascii="Segoe UI" w:hAnsi="Segoe UI" w:cs="Segoe UI"/>
                <w:b/>
                <w:bCs/>
                <w:color w:val="000000"/>
              </w:rPr>
              <w:t>10%</w:t>
            </w:r>
          </w:p>
        </w:tc>
        <w:tc>
          <w:tcPr>
            <w:tcW w:w="806" w:type="pct"/>
            <w:shd w:val="clear" w:color="auto" w:fill="D9D9D9" w:themeFill="background1" w:themeFillShade="D9"/>
            <w:vAlign w:val="bottom"/>
          </w:tcPr>
          <w:p w14:paraId="49FB3452" w14:textId="77777777" w:rsidR="00055EB1" w:rsidRPr="00055EB1" w:rsidRDefault="00055EB1" w:rsidP="000B1CC1">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hAnsi="Segoe UI" w:cs="Segoe UI"/>
                <w:b/>
                <w:bCs/>
                <w:color w:val="000000"/>
              </w:rPr>
            </w:pPr>
            <w:r w:rsidRPr="00055EB1">
              <w:rPr>
                <w:rFonts w:ascii="Segoe UI" w:hAnsi="Segoe UI" w:cs="Segoe UI"/>
                <w:b/>
                <w:bCs/>
                <w:color w:val="000000"/>
              </w:rPr>
              <w:t>46%</w:t>
            </w:r>
          </w:p>
        </w:tc>
      </w:tr>
    </w:tbl>
    <w:p w14:paraId="2EE18A1F" w14:textId="77777777" w:rsidR="000B1CC1" w:rsidRDefault="000B1CC1" w:rsidP="007325DE">
      <w:pPr>
        <w:rPr>
          <w:rFonts w:ascii="Segoe UI" w:hAnsi="Segoe UI" w:cs="Segoe UI"/>
        </w:rPr>
      </w:pPr>
    </w:p>
    <w:p w14:paraId="4B23BACB" w14:textId="77777777" w:rsidR="001C116B" w:rsidRDefault="00D55D70" w:rsidP="00055EB1">
      <w:pPr>
        <w:rPr>
          <w:rFonts w:ascii="Segoe UI" w:eastAsia="Times New Roman" w:hAnsi="Segoe UI" w:cs="Segoe UI"/>
          <w:color w:val="000000" w:themeColor="text1"/>
        </w:rPr>
      </w:pPr>
      <w:r>
        <w:rPr>
          <w:rFonts w:ascii="Segoe UI" w:eastAsia="Times New Roman" w:hAnsi="Segoe UI" w:cs="Segoe UI"/>
          <w:color w:val="000000" w:themeColor="text1"/>
        </w:rPr>
        <w:t>Table 2 compares the gross realization rates determined through R1983 to those currently listed in the PSD, which are based on the previous impact evaluation. As evident below, the gross realization rates from R1983 are considerably lower for</w:t>
      </w:r>
      <w:r w:rsidR="001C116B">
        <w:rPr>
          <w:rFonts w:ascii="Segoe UI" w:eastAsia="Times New Roman" w:hAnsi="Segoe UI" w:cs="Segoe UI"/>
          <w:color w:val="000000" w:themeColor="text1"/>
        </w:rPr>
        <w:t xml:space="preserve"> both programs and measures.</w:t>
      </w:r>
    </w:p>
    <w:p w14:paraId="1D208656" w14:textId="1196395F" w:rsidR="001C116B" w:rsidRDefault="001C116B" w:rsidP="00055EB1">
      <w:pPr>
        <w:rPr>
          <w:rFonts w:ascii="Segoe UI" w:eastAsia="Times New Roman" w:hAnsi="Segoe UI" w:cs="Segoe UI"/>
          <w:color w:val="000000" w:themeColor="text1"/>
        </w:rPr>
      </w:pPr>
      <w:r>
        <w:rPr>
          <w:rFonts w:ascii="Segoe UI" w:eastAsia="Times New Roman" w:hAnsi="Segoe UI" w:cs="Segoe UI"/>
          <w:color w:val="000000" w:themeColor="text1"/>
        </w:rPr>
        <w:t>Once R1983 is finalized, the R1983 results will supplant the current PSD rates during the next PSD update.</w:t>
      </w:r>
    </w:p>
    <w:p w14:paraId="0E2EAE12" w14:textId="6B725F4B" w:rsidR="00055EB1" w:rsidRPr="00F61EA8" w:rsidRDefault="00055EB1" w:rsidP="00055EB1">
      <w:pPr>
        <w:keepNext/>
        <w:jc w:val="center"/>
        <w:rPr>
          <w:rFonts w:ascii="Segoe UI" w:eastAsia="Times New Roman" w:hAnsi="Segoe UI" w:cs="Segoe UI"/>
          <w:b/>
          <w:bCs/>
          <w:color w:val="000000" w:themeColor="text1"/>
        </w:rPr>
      </w:pPr>
      <w:r w:rsidRPr="00F61EA8">
        <w:rPr>
          <w:rFonts w:ascii="Segoe UI" w:eastAsia="Times New Roman" w:hAnsi="Segoe UI" w:cs="Segoe UI"/>
          <w:b/>
          <w:bCs/>
          <w:color w:val="000000" w:themeColor="text1"/>
        </w:rPr>
        <w:t xml:space="preserve">Table </w:t>
      </w:r>
      <w:r>
        <w:rPr>
          <w:rFonts w:ascii="Segoe UI" w:eastAsia="Times New Roman" w:hAnsi="Segoe UI" w:cs="Segoe UI"/>
          <w:b/>
          <w:bCs/>
          <w:color w:val="000000" w:themeColor="text1"/>
        </w:rPr>
        <w:t>2</w:t>
      </w:r>
      <w:r w:rsidRPr="00F61EA8">
        <w:rPr>
          <w:rFonts w:ascii="Segoe UI" w:eastAsia="Times New Roman" w:hAnsi="Segoe UI" w:cs="Segoe UI"/>
          <w:b/>
          <w:bCs/>
          <w:color w:val="000000" w:themeColor="text1"/>
        </w:rPr>
        <w:t xml:space="preserve">:  </w:t>
      </w:r>
      <w:r>
        <w:rPr>
          <w:rFonts w:ascii="Segoe UI" w:eastAsia="Times New Roman" w:hAnsi="Segoe UI" w:cs="Segoe UI"/>
          <w:b/>
          <w:bCs/>
          <w:color w:val="000000" w:themeColor="text1"/>
        </w:rPr>
        <w:t>Comparison of R1983 and Current PSD Gross Realization Rates</w:t>
      </w:r>
    </w:p>
    <w:tbl>
      <w:tblPr>
        <w:tblStyle w:val="BodyOdd"/>
        <w:tblW w:w="5000" w:type="pct"/>
        <w:tblLook w:val="04A0" w:firstRow="1" w:lastRow="0" w:firstColumn="1" w:lastColumn="0" w:noHBand="0" w:noVBand="1"/>
      </w:tblPr>
      <w:tblGrid>
        <w:gridCol w:w="3622"/>
        <w:gridCol w:w="1411"/>
        <w:gridCol w:w="1509"/>
        <w:gridCol w:w="1309"/>
        <w:gridCol w:w="1509"/>
      </w:tblGrid>
      <w:tr w:rsidR="00055EB1" w:rsidRPr="00D86AA8" w14:paraId="48780F67" w14:textId="77777777" w:rsidTr="00FC7AA6">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tcBorders>
              <w:right w:val="single" w:sz="4" w:space="0" w:color="FFFFFF"/>
            </w:tcBorders>
            <w:vAlign w:val="bottom"/>
          </w:tcPr>
          <w:p w14:paraId="2FD8A4C8" w14:textId="77777777" w:rsidR="00055EB1" w:rsidRPr="00D86AA8" w:rsidRDefault="00055EB1" w:rsidP="00FC7AA6">
            <w:pPr>
              <w:keepNext/>
              <w:spacing w:before="20" w:after="20" w:line="240" w:lineRule="auto"/>
              <w:rPr>
                <w:rFonts w:ascii="Segoe UI" w:eastAsia="Times New Roman" w:hAnsi="Segoe UI" w:cs="Segoe UI"/>
                <w:szCs w:val="20"/>
              </w:rPr>
            </w:pPr>
          </w:p>
        </w:tc>
        <w:tc>
          <w:tcPr>
            <w:tcW w:w="1560" w:type="pct"/>
            <w:gridSpan w:val="2"/>
            <w:tcBorders>
              <w:right w:val="single" w:sz="4" w:space="0" w:color="FFFFFF"/>
            </w:tcBorders>
            <w:vAlign w:val="bottom"/>
          </w:tcPr>
          <w:p w14:paraId="253667FF" w14:textId="6C0A19DA" w:rsidR="00055EB1" w:rsidRPr="003D2898" w:rsidRDefault="00055EB1" w:rsidP="00FC7AA6">
            <w:pPr>
              <w:keepNext/>
              <w:spacing w:before="20" w:after="2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kern w:val="24"/>
                <w:szCs w:val="20"/>
                <w:u w:val="single"/>
              </w:rPr>
            </w:pPr>
            <w:r w:rsidRPr="003D2898">
              <w:rPr>
                <w:rFonts w:ascii="Segoe UI" w:eastAsia="Times New Roman" w:hAnsi="Segoe UI" w:cs="Segoe UI"/>
                <w:kern w:val="24"/>
                <w:szCs w:val="20"/>
                <w:u w:val="single"/>
              </w:rPr>
              <w:t>HES</w:t>
            </w:r>
          </w:p>
        </w:tc>
        <w:tc>
          <w:tcPr>
            <w:tcW w:w="1505" w:type="pct"/>
            <w:gridSpan w:val="2"/>
            <w:tcBorders>
              <w:left w:val="single" w:sz="4" w:space="0" w:color="FFFFFF"/>
            </w:tcBorders>
            <w:vAlign w:val="bottom"/>
          </w:tcPr>
          <w:p w14:paraId="33406539" w14:textId="4775CF51" w:rsidR="00055EB1" w:rsidRPr="00343C0E" w:rsidRDefault="00055EB1" w:rsidP="00FC7AA6">
            <w:pPr>
              <w:keepNext/>
              <w:spacing w:before="20" w:after="20" w:line="240" w:lineRule="auto"/>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b w:val="0"/>
                <w:bCs/>
                <w:kern w:val="24"/>
                <w:szCs w:val="20"/>
                <w:u w:val="single"/>
              </w:rPr>
            </w:pPr>
            <w:r w:rsidRPr="003D2898">
              <w:rPr>
                <w:rFonts w:ascii="Segoe UI" w:eastAsia="Times New Roman" w:hAnsi="Segoe UI" w:cs="Segoe UI"/>
                <w:kern w:val="24"/>
                <w:szCs w:val="20"/>
                <w:u w:val="single"/>
              </w:rPr>
              <w:t>HES-IE</w:t>
            </w:r>
            <w:r>
              <w:rPr>
                <w:rFonts w:ascii="Segoe UI" w:eastAsia="Times New Roman" w:hAnsi="Segoe UI" w:cs="Segoe UI"/>
                <w:kern w:val="24"/>
                <w:szCs w:val="20"/>
                <w:u w:val="single"/>
              </w:rPr>
              <w:t xml:space="preserve"> </w:t>
            </w:r>
          </w:p>
        </w:tc>
      </w:tr>
      <w:tr w:rsidR="00055EB1" w:rsidRPr="00D86AA8" w14:paraId="26255641" w14:textId="77777777" w:rsidTr="00FC7AA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tcBorders>
              <w:right w:val="single" w:sz="4" w:space="0" w:color="FFFFFF"/>
            </w:tcBorders>
            <w:shd w:val="clear" w:color="auto" w:fill="046A38"/>
            <w:vAlign w:val="bottom"/>
            <w:hideMark/>
          </w:tcPr>
          <w:p w14:paraId="40F3B823" w14:textId="77777777" w:rsidR="00055EB1" w:rsidRPr="00D86AA8" w:rsidRDefault="00055EB1" w:rsidP="00FC7AA6">
            <w:pPr>
              <w:keepNext/>
              <w:spacing w:before="20" w:after="20" w:line="240" w:lineRule="auto"/>
              <w:jc w:val="left"/>
              <w:rPr>
                <w:rFonts w:ascii="Segoe UI" w:eastAsia="Times New Roman" w:hAnsi="Segoe UI" w:cs="Segoe UI"/>
                <w:szCs w:val="20"/>
              </w:rPr>
            </w:pPr>
          </w:p>
        </w:tc>
        <w:tc>
          <w:tcPr>
            <w:tcW w:w="754" w:type="pct"/>
            <w:shd w:val="clear" w:color="auto" w:fill="046A38"/>
            <w:vAlign w:val="bottom"/>
          </w:tcPr>
          <w:p w14:paraId="60EBE8C2" w14:textId="77777777" w:rsidR="00055EB1" w:rsidRPr="007D329F" w:rsidRDefault="00055EB1" w:rsidP="00FC7AA6">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Air Sealing</w:t>
            </w:r>
          </w:p>
        </w:tc>
        <w:tc>
          <w:tcPr>
            <w:tcW w:w="806" w:type="pct"/>
            <w:tcBorders>
              <w:right w:val="single" w:sz="4" w:space="0" w:color="FFFFFF"/>
            </w:tcBorders>
            <w:shd w:val="clear" w:color="auto" w:fill="046A38"/>
            <w:vAlign w:val="bottom"/>
          </w:tcPr>
          <w:p w14:paraId="554D56B5" w14:textId="77777777" w:rsidR="00055EB1" w:rsidRPr="007D329F" w:rsidRDefault="00055EB1" w:rsidP="00FC7AA6">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Insulation</w:t>
            </w:r>
          </w:p>
        </w:tc>
        <w:tc>
          <w:tcPr>
            <w:tcW w:w="699" w:type="pct"/>
            <w:tcBorders>
              <w:left w:val="single" w:sz="4" w:space="0" w:color="FFFFFF"/>
            </w:tcBorders>
            <w:shd w:val="clear" w:color="auto" w:fill="046A38"/>
            <w:vAlign w:val="bottom"/>
            <w:hideMark/>
          </w:tcPr>
          <w:p w14:paraId="13043DBD" w14:textId="77777777" w:rsidR="00055EB1" w:rsidRPr="007D329F" w:rsidRDefault="00055EB1" w:rsidP="00FC7AA6">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Air Sealing</w:t>
            </w:r>
          </w:p>
        </w:tc>
        <w:tc>
          <w:tcPr>
            <w:tcW w:w="806" w:type="pct"/>
            <w:shd w:val="clear" w:color="auto" w:fill="046A38"/>
            <w:vAlign w:val="bottom"/>
          </w:tcPr>
          <w:p w14:paraId="24C1494A" w14:textId="77777777" w:rsidR="00055EB1" w:rsidRPr="007D329F" w:rsidRDefault="00055EB1" w:rsidP="00FC7AA6">
            <w:pPr>
              <w:keepNext/>
              <w:spacing w:before="20" w:after="20" w:line="240" w:lineRule="auto"/>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FFFFFF" w:themeColor="background1"/>
                <w:kern w:val="24"/>
                <w:szCs w:val="20"/>
              </w:rPr>
            </w:pPr>
            <w:r w:rsidRPr="007D329F">
              <w:rPr>
                <w:rFonts w:ascii="Segoe UI" w:eastAsia="Times New Roman" w:hAnsi="Segoe UI" w:cs="Segoe UI"/>
                <w:color w:val="FFFFFF" w:themeColor="background1"/>
                <w:kern w:val="24"/>
                <w:szCs w:val="20"/>
              </w:rPr>
              <w:t>Insulation</w:t>
            </w:r>
          </w:p>
        </w:tc>
      </w:tr>
      <w:tr w:rsidR="00055EB1" w:rsidRPr="00D86AA8" w14:paraId="528F499A" w14:textId="77777777" w:rsidTr="00055EB1">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shd w:val="clear" w:color="auto" w:fill="auto"/>
            <w:vAlign w:val="center"/>
            <w:hideMark/>
          </w:tcPr>
          <w:p w14:paraId="016AC233" w14:textId="4281050B" w:rsidR="00055EB1" w:rsidRPr="00055EB1" w:rsidRDefault="00055EB1" w:rsidP="00FC7AA6">
            <w:pPr>
              <w:keepNext/>
              <w:spacing w:before="20" w:after="20" w:line="240" w:lineRule="auto"/>
              <w:jc w:val="left"/>
              <w:rPr>
                <w:rFonts w:ascii="Segoe UI" w:eastAsia="Times New Roman" w:hAnsi="Segoe UI" w:cs="Segoe UI"/>
                <w:bCs/>
                <w:kern w:val="24"/>
                <w:szCs w:val="20"/>
              </w:rPr>
            </w:pPr>
            <w:r>
              <w:rPr>
                <w:rFonts w:ascii="Segoe UI" w:eastAsia="Times New Roman" w:hAnsi="Segoe UI" w:cs="Segoe UI"/>
                <w:b/>
                <w:bCs/>
                <w:kern w:val="24"/>
                <w:szCs w:val="20"/>
              </w:rPr>
              <w:t>Current PSD</w:t>
            </w:r>
            <w:r w:rsidR="00D55D70">
              <w:rPr>
                <w:rStyle w:val="FootnoteReference"/>
                <w:rFonts w:ascii="Segoe UI" w:eastAsia="Times New Roman" w:hAnsi="Segoe UI" w:cs="Segoe UI"/>
                <w:b/>
                <w:bCs/>
                <w:kern w:val="24"/>
                <w:szCs w:val="20"/>
              </w:rPr>
              <w:footnoteReference w:id="2"/>
            </w:r>
            <w:r>
              <w:rPr>
                <w:rFonts w:ascii="Segoe UI" w:eastAsia="Times New Roman" w:hAnsi="Segoe UI" w:cs="Segoe UI"/>
                <w:b/>
                <w:bCs/>
                <w:kern w:val="24"/>
                <w:szCs w:val="20"/>
              </w:rPr>
              <w:t xml:space="preserve"> </w:t>
            </w:r>
          </w:p>
        </w:tc>
        <w:tc>
          <w:tcPr>
            <w:tcW w:w="754" w:type="pct"/>
            <w:shd w:val="clear" w:color="auto" w:fill="auto"/>
            <w:vAlign w:val="bottom"/>
          </w:tcPr>
          <w:p w14:paraId="77A8D60C" w14:textId="05B763DD" w:rsidR="00055EB1" w:rsidRPr="00055EB1" w:rsidRDefault="00055EB1" w:rsidP="00FC7AA6">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color w:val="000000" w:themeColor="text1"/>
                <w:szCs w:val="20"/>
              </w:rPr>
              <w:t>70%</w:t>
            </w:r>
          </w:p>
        </w:tc>
        <w:tc>
          <w:tcPr>
            <w:tcW w:w="806" w:type="pct"/>
            <w:shd w:val="clear" w:color="auto" w:fill="auto"/>
            <w:vAlign w:val="bottom"/>
          </w:tcPr>
          <w:p w14:paraId="23287B0E" w14:textId="45954893" w:rsidR="00055EB1" w:rsidRPr="00055EB1" w:rsidRDefault="00055EB1" w:rsidP="00FC7AA6">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color w:val="000000" w:themeColor="text1"/>
                <w:szCs w:val="20"/>
              </w:rPr>
              <w:t>121%</w:t>
            </w:r>
          </w:p>
        </w:tc>
        <w:tc>
          <w:tcPr>
            <w:tcW w:w="699" w:type="pct"/>
            <w:shd w:val="clear" w:color="auto" w:fill="auto"/>
            <w:vAlign w:val="bottom"/>
          </w:tcPr>
          <w:p w14:paraId="63058E4B" w14:textId="1B2B2A78" w:rsidR="00055EB1" w:rsidRPr="00055EB1" w:rsidRDefault="00055EB1" w:rsidP="00FC7AA6">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color w:val="000000" w:themeColor="text1"/>
                <w:szCs w:val="20"/>
              </w:rPr>
              <w:t>70%</w:t>
            </w:r>
          </w:p>
        </w:tc>
        <w:tc>
          <w:tcPr>
            <w:tcW w:w="806" w:type="pct"/>
            <w:shd w:val="clear" w:color="auto" w:fill="auto"/>
            <w:vAlign w:val="bottom"/>
          </w:tcPr>
          <w:p w14:paraId="6730B4A7" w14:textId="3CAF1E01" w:rsidR="00055EB1" w:rsidRPr="00055EB1" w:rsidRDefault="00055EB1" w:rsidP="00FC7AA6">
            <w:pPr>
              <w:keepNext/>
              <w:spacing w:before="20" w:after="20" w:line="240" w:lineRule="auto"/>
              <w:jc w:val="right"/>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bCs/>
                <w:kern w:val="24"/>
                <w:szCs w:val="20"/>
              </w:rPr>
            </w:pPr>
            <w:r w:rsidRPr="00055EB1">
              <w:rPr>
                <w:rFonts w:ascii="Segoe UI" w:eastAsia="Times New Roman" w:hAnsi="Segoe UI" w:cs="Segoe UI"/>
                <w:color w:val="000000" w:themeColor="text1"/>
                <w:szCs w:val="20"/>
              </w:rPr>
              <w:t>84%</w:t>
            </w:r>
          </w:p>
        </w:tc>
      </w:tr>
      <w:tr w:rsidR="00055EB1" w:rsidRPr="00D86AA8" w14:paraId="04876399" w14:textId="77777777" w:rsidTr="00055EB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935" w:type="pct"/>
            <w:shd w:val="clear" w:color="auto" w:fill="auto"/>
            <w:vAlign w:val="center"/>
          </w:tcPr>
          <w:p w14:paraId="5E07781A" w14:textId="0363779F" w:rsidR="00055EB1" w:rsidRPr="00D86AA8" w:rsidRDefault="00055EB1" w:rsidP="00055EB1">
            <w:pPr>
              <w:keepNext/>
              <w:spacing w:before="20" w:after="20" w:line="240" w:lineRule="auto"/>
              <w:jc w:val="left"/>
              <w:rPr>
                <w:rFonts w:ascii="Segoe UI" w:eastAsia="Times New Roman" w:hAnsi="Segoe UI" w:cs="Segoe UI"/>
                <w:bCs/>
                <w:kern w:val="24"/>
                <w:szCs w:val="20"/>
              </w:rPr>
            </w:pPr>
            <w:r>
              <w:rPr>
                <w:rFonts w:ascii="Segoe UI" w:eastAsia="Times New Roman" w:hAnsi="Segoe UI" w:cs="Segoe UI"/>
                <w:b/>
                <w:kern w:val="24"/>
                <w:szCs w:val="20"/>
              </w:rPr>
              <w:t>R1983</w:t>
            </w:r>
          </w:p>
        </w:tc>
        <w:tc>
          <w:tcPr>
            <w:tcW w:w="754" w:type="pct"/>
            <w:shd w:val="clear" w:color="auto" w:fill="auto"/>
            <w:vAlign w:val="bottom"/>
          </w:tcPr>
          <w:p w14:paraId="5F977182" w14:textId="4B1DA968" w:rsidR="00055EB1" w:rsidRPr="00055EB1" w:rsidRDefault="00055EB1" w:rsidP="00055EB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24"/>
                <w:szCs w:val="20"/>
              </w:rPr>
            </w:pPr>
            <w:r w:rsidRPr="00055EB1">
              <w:rPr>
                <w:rFonts w:ascii="Segoe UI" w:hAnsi="Segoe UI" w:cs="Segoe UI"/>
                <w:b/>
                <w:bCs/>
                <w:color w:val="000000"/>
                <w:szCs w:val="20"/>
              </w:rPr>
              <w:t>17%</w:t>
            </w:r>
          </w:p>
        </w:tc>
        <w:tc>
          <w:tcPr>
            <w:tcW w:w="806" w:type="pct"/>
            <w:shd w:val="clear" w:color="auto" w:fill="auto"/>
            <w:vAlign w:val="bottom"/>
          </w:tcPr>
          <w:p w14:paraId="4FEA6FED" w14:textId="4BF8DE5C" w:rsidR="00055EB1" w:rsidRPr="00055EB1" w:rsidRDefault="00055EB1" w:rsidP="00055EB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kern w:val="24"/>
                <w:szCs w:val="20"/>
              </w:rPr>
            </w:pPr>
            <w:r w:rsidRPr="00055EB1">
              <w:rPr>
                <w:rFonts w:ascii="Segoe UI" w:hAnsi="Segoe UI" w:cs="Segoe UI"/>
                <w:b/>
                <w:bCs/>
                <w:color w:val="000000"/>
                <w:szCs w:val="20"/>
              </w:rPr>
              <w:t>51%</w:t>
            </w:r>
          </w:p>
        </w:tc>
        <w:tc>
          <w:tcPr>
            <w:tcW w:w="699" w:type="pct"/>
            <w:shd w:val="clear" w:color="auto" w:fill="auto"/>
            <w:vAlign w:val="bottom"/>
          </w:tcPr>
          <w:p w14:paraId="6FD4BFEB" w14:textId="257758A0" w:rsidR="00055EB1" w:rsidRPr="00055EB1" w:rsidRDefault="00055EB1" w:rsidP="00055EB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Cs/>
                <w:kern w:val="24"/>
                <w:szCs w:val="20"/>
              </w:rPr>
            </w:pPr>
            <w:r w:rsidRPr="00055EB1">
              <w:rPr>
                <w:rFonts w:ascii="Segoe UI" w:hAnsi="Segoe UI" w:cs="Segoe UI"/>
                <w:b/>
                <w:bCs/>
                <w:color w:val="000000"/>
                <w:szCs w:val="20"/>
              </w:rPr>
              <w:t>10%</w:t>
            </w:r>
          </w:p>
        </w:tc>
        <w:tc>
          <w:tcPr>
            <w:tcW w:w="806" w:type="pct"/>
            <w:shd w:val="clear" w:color="auto" w:fill="auto"/>
            <w:vAlign w:val="bottom"/>
          </w:tcPr>
          <w:p w14:paraId="4FD39EFE" w14:textId="6E8FA67F" w:rsidR="00055EB1" w:rsidRPr="00055EB1" w:rsidRDefault="00055EB1" w:rsidP="00055EB1">
            <w:pPr>
              <w:keepNext/>
              <w:spacing w:before="20" w:after="20" w:line="240" w:lineRule="auto"/>
              <w:jc w:val="right"/>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Cs w:val="20"/>
              </w:rPr>
            </w:pPr>
            <w:r w:rsidRPr="00055EB1">
              <w:rPr>
                <w:rFonts w:ascii="Segoe UI" w:hAnsi="Segoe UI" w:cs="Segoe UI"/>
                <w:b/>
                <w:bCs/>
                <w:color w:val="000000"/>
                <w:szCs w:val="20"/>
              </w:rPr>
              <w:t>46%</w:t>
            </w:r>
          </w:p>
        </w:tc>
      </w:tr>
    </w:tbl>
    <w:p w14:paraId="4396E07B" w14:textId="04CB2240" w:rsidR="00055EB1" w:rsidRDefault="00055EB1" w:rsidP="00055EB1">
      <w:pPr>
        <w:rPr>
          <w:rFonts w:ascii="Segoe UI" w:eastAsia="Times New Roman" w:hAnsi="Segoe UI" w:cs="Segoe UI"/>
          <w:color w:val="000000" w:themeColor="text1"/>
        </w:rPr>
      </w:pPr>
    </w:p>
    <w:p w14:paraId="3EDCF928" w14:textId="244B5D04" w:rsidR="00D55D70" w:rsidRPr="007325DE" w:rsidRDefault="00D55D70" w:rsidP="00D55D70">
      <w:pPr>
        <w:pStyle w:val="ListParagraph"/>
        <w:numPr>
          <w:ilvl w:val="0"/>
          <w:numId w:val="17"/>
        </w:numPr>
        <w:ind w:left="360"/>
        <w:rPr>
          <w:rFonts w:ascii="Segoe UI" w:hAnsi="Segoe UI" w:cs="Segoe UI"/>
          <w:b/>
          <w:bCs/>
          <w:sz w:val="32"/>
          <w:szCs w:val="32"/>
        </w:rPr>
      </w:pPr>
      <w:r>
        <w:rPr>
          <w:rFonts w:ascii="Segoe UI" w:hAnsi="Segoe UI" w:cs="Segoe UI"/>
          <w:b/>
          <w:bCs/>
          <w:sz w:val="32"/>
          <w:szCs w:val="32"/>
        </w:rPr>
        <w:t>Billing Analysis Dataset</w:t>
      </w:r>
    </w:p>
    <w:p w14:paraId="0F5328AF" w14:textId="51EB0AC2" w:rsidR="00D55D70" w:rsidRPr="00D55D70" w:rsidRDefault="00D55D70" w:rsidP="00D55D70">
      <w:pPr>
        <w:rPr>
          <w:rFonts w:ascii="Segoe UI" w:hAnsi="Segoe UI" w:cs="Segoe UI"/>
          <w:color w:val="000000" w:themeColor="text1"/>
        </w:rPr>
      </w:pPr>
      <w:r w:rsidRPr="00D55D70">
        <w:rPr>
          <w:rFonts w:ascii="Segoe UI" w:hAnsi="Segoe UI" w:cs="Segoe UI"/>
          <w:color w:val="000000" w:themeColor="text1"/>
        </w:rPr>
        <w:t>The evaluation team received the following request from Eversource:</w:t>
      </w:r>
    </w:p>
    <w:p w14:paraId="0340A4AD" w14:textId="4FC59F69" w:rsidR="00D55D70" w:rsidRDefault="00D55D70" w:rsidP="00D55D70">
      <w:pPr>
        <w:ind w:left="720"/>
        <w:rPr>
          <w:rFonts w:ascii="Segoe UI" w:hAnsi="Segoe UI" w:cs="Segoe UI"/>
          <w:color w:val="000000" w:themeColor="text1"/>
          <w:u w:val="single"/>
        </w:rPr>
      </w:pPr>
      <w:r w:rsidRPr="000D3FC9">
        <w:rPr>
          <w:rFonts w:ascii="Segoe UI" w:eastAsia="Times New Roman" w:hAnsi="Segoe UI" w:cs="Segoe UI"/>
          <w:i/>
          <w:iCs/>
        </w:rPr>
        <w:t>Is it possible to get an anonymized (or Eversource only) summary of the ex-post savings in an Excel format with values such as customer identifier, insulation type/air sealing, pre usage, post usage, savings reported, weather normalized calculated savings, pre/post R values, pre/post cfm, sq footage of insulation and any other fields deemed useful in such a review?</w:t>
      </w:r>
    </w:p>
    <w:p w14:paraId="3388398B" w14:textId="2DEC2927" w:rsidR="00574990" w:rsidRDefault="00D55D70" w:rsidP="00D55D70">
      <w:pPr>
        <w:rPr>
          <w:rFonts w:ascii="Segoe UI" w:hAnsi="Segoe UI" w:cs="Segoe UI"/>
          <w:color w:val="000000" w:themeColor="text1"/>
        </w:rPr>
      </w:pPr>
      <w:r w:rsidRPr="00D55D70">
        <w:rPr>
          <w:rFonts w:ascii="Segoe UI" w:hAnsi="Segoe UI" w:cs="Segoe UI"/>
          <w:color w:val="000000" w:themeColor="text1"/>
        </w:rPr>
        <w:t>Below is an embedded Excel file providing the requested information.</w:t>
      </w:r>
      <w:r>
        <w:rPr>
          <w:rFonts w:ascii="Segoe UI" w:hAnsi="Segoe UI" w:cs="Segoe UI"/>
          <w:color w:val="000000" w:themeColor="text1"/>
        </w:rPr>
        <w:t xml:space="preserve"> Please refer to the ReadMe tab in the workbook, as well as our team’s previous response, for additional context.</w:t>
      </w:r>
      <w:r w:rsidR="004937F3" w:rsidRPr="00D55D70">
        <w:rPr>
          <w:rFonts w:ascii="Segoe UI" w:hAnsi="Segoe UI" w:cs="Segoe UI"/>
          <w:color w:val="000000" w:themeColor="text1"/>
        </w:rPr>
        <w:t xml:space="preserve"> </w:t>
      </w:r>
    </w:p>
    <w:p w14:paraId="17F9BF69" w14:textId="40257469" w:rsidR="00F07F5C" w:rsidRDefault="00A80D67" w:rsidP="00D55D70">
      <w:pPr>
        <w:rPr>
          <w:rFonts w:ascii="Segoe UI" w:hAnsi="Segoe UI" w:cs="Segoe UI"/>
          <w:color w:val="000000" w:themeColor="text1"/>
        </w:rPr>
      </w:pPr>
      <w:r>
        <w:rPr>
          <w:rFonts w:ascii="Segoe UI" w:hAnsi="Segoe UI" w:cs="Segoe UI"/>
          <w:color w:val="000000" w:themeColor="text1"/>
        </w:rPr>
        <w:object w:dxaOrig="1539" w:dyaOrig="997" w14:anchorId="77EFC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pt;height:50.1pt" o:ole="">
            <v:imagedata r:id="rId8" o:title=""/>
          </v:shape>
          <o:OLEObject Type="Embed" ProgID="Excel.Sheet.12" ShapeID="_x0000_i1027" DrawAspect="Icon" ObjectID="_1742825293" r:id="rId9"/>
        </w:object>
      </w:r>
    </w:p>
    <w:p w14:paraId="42C1A405" w14:textId="736FF378" w:rsidR="00D55D70" w:rsidRPr="007325DE" w:rsidRDefault="00F07F5C" w:rsidP="00D55D70">
      <w:pPr>
        <w:pStyle w:val="ListParagraph"/>
        <w:numPr>
          <w:ilvl w:val="0"/>
          <w:numId w:val="17"/>
        </w:numPr>
        <w:ind w:left="360"/>
        <w:rPr>
          <w:rFonts w:ascii="Segoe UI" w:hAnsi="Segoe UI" w:cs="Segoe UI"/>
          <w:b/>
          <w:bCs/>
          <w:sz w:val="32"/>
          <w:szCs w:val="32"/>
        </w:rPr>
      </w:pPr>
      <w:r>
        <w:rPr>
          <w:rFonts w:ascii="Segoe UI" w:hAnsi="Segoe UI" w:cs="Segoe UI"/>
          <w:b/>
          <w:bCs/>
          <w:sz w:val="32"/>
          <w:szCs w:val="32"/>
        </w:rPr>
        <w:t xml:space="preserve">Representativeness </w:t>
      </w:r>
    </w:p>
    <w:p w14:paraId="19BE238B" w14:textId="77777777" w:rsidR="00D55D70" w:rsidRPr="00D55D70" w:rsidRDefault="00D55D70" w:rsidP="00D55D70">
      <w:pPr>
        <w:rPr>
          <w:rFonts w:ascii="Segoe UI" w:hAnsi="Segoe UI" w:cs="Segoe UI"/>
          <w:color w:val="000000" w:themeColor="text1"/>
        </w:rPr>
      </w:pPr>
      <w:r w:rsidRPr="00D55D70">
        <w:rPr>
          <w:rFonts w:ascii="Segoe UI" w:hAnsi="Segoe UI" w:cs="Segoe UI"/>
          <w:color w:val="000000" w:themeColor="text1"/>
        </w:rPr>
        <w:lastRenderedPageBreak/>
        <w:t>The evaluation team received the following request from Eversource:</w:t>
      </w:r>
    </w:p>
    <w:p w14:paraId="744291AD" w14:textId="331296C2" w:rsidR="001C116B" w:rsidRPr="005C4E89" w:rsidRDefault="001C116B" w:rsidP="001C116B">
      <w:pPr>
        <w:pStyle w:val="CommentText"/>
        <w:ind w:left="360"/>
        <w:jc w:val="left"/>
        <w:rPr>
          <w:rFonts w:ascii="Segoe UI" w:eastAsia="Times New Roman" w:hAnsi="Segoe UI" w:cs="Segoe UI"/>
          <w:i/>
          <w:iCs/>
        </w:rPr>
      </w:pPr>
      <w:r w:rsidRPr="005C4E89">
        <w:rPr>
          <w:rFonts w:ascii="Segoe UI" w:eastAsia="Times New Roman" w:hAnsi="Segoe UI" w:cs="Segoe UI"/>
          <w:i/>
          <w:iCs/>
        </w:rPr>
        <w:t>While there were enough accounts available to generate statistically significant estimates at the statewide level, we would like to see validations showing the remaining customers left in the sample were representative of the HES and HES-IE populations.</w:t>
      </w:r>
    </w:p>
    <w:p w14:paraId="0B0FD879" w14:textId="0F865C73" w:rsidR="001C116B" w:rsidRPr="00D55D70" w:rsidRDefault="001C116B" w:rsidP="00D55D70">
      <w:pPr>
        <w:rPr>
          <w:rFonts w:ascii="Segoe UI" w:hAnsi="Segoe UI" w:cs="Segoe UI"/>
          <w:color w:val="000000" w:themeColor="text1"/>
        </w:rPr>
      </w:pPr>
      <w:r>
        <w:rPr>
          <w:rFonts w:ascii="Segoe UI" w:hAnsi="Segoe UI" w:cs="Segoe UI"/>
          <w:color w:val="000000" w:themeColor="text1"/>
        </w:rPr>
        <w:t>The Excel file embedded above also provides insights into this request. Specifically, the evaluation team compared participants in the final billing analysis dataset to those not included on the following basis:</w:t>
      </w:r>
    </w:p>
    <w:p w14:paraId="51167108" w14:textId="23B45788" w:rsidR="004937F3" w:rsidRDefault="004937F3" w:rsidP="001C116B">
      <w:pPr>
        <w:pStyle w:val="ListParagraph"/>
        <w:numPr>
          <w:ilvl w:val="0"/>
          <w:numId w:val="18"/>
        </w:numPr>
        <w:rPr>
          <w:rFonts w:ascii="Segoe UI" w:hAnsi="Segoe UI" w:cs="Segoe UI"/>
          <w:color w:val="000000" w:themeColor="text1"/>
        </w:rPr>
      </w:pPr>
      <w:r w:rsidRPr="001C116B">
        <w:rPr>
          <w:rFonts w:ascii="Segoe UI" w:hAnsi="Segoe UI" w:cs="Segoe UI"/>
          <w:b/>
          <w:bCs/>
          <w:color w:val="000000" w:themeColor="text1"/>
        </w:rPr>
        <w:t xml:space="preserve">Building </w:t>
      </w:r>
      <w:r w:rsidR="001C116B" w:rsidRPr="001C116B">
        <w:rPr>
          <w:rFonts w:ascii="Segoe UI" w:hAnsi="Segoe UI" w:cs="Segoe UI"/>
          <w:b/>
          <w:bCs/>
          <w:color w:val="000000" w:themeColor="text1"/>
        </w:rPr>
        <w:t>C</w:t>
      </w:r>
      <w:r w:rsidRPr="001C116B">
        <w:rPr>
          <w:rFonts w:ascii="Segoe UI" w:hAnsi="Segoe UI" w:cs="Segoe UI"/>
          <w:b/>
          <w:bCs/>
          <w:color w:val="000000" w:themeColor="text1"/>
        </w:rPr>
        <w:t>haracteristic</w:t>
      </w:r>
      <w:r w:rsidR="001C116B" w:rsidRPr="001C116B">
        <w:rPr>
          <w:rFonts w:ascii="Segoe UI" w:hAnsi="Segoe UI" w:cs="Segoe UI"/>
          <w:b/>
          <w:bCs/>
          <w:color w:val="000000" w:themeColor="text1"/>
        </w:rPr>
        <w:t>s</w:t>
      </w:r>
      <w:r w:rsidR="001C116B">
        <w:rPr>
          <w:rFonts w:ascii="Segoe UI" w:hAnsi="Segoe UI" w:cs="Segoe UI"/>
          <w:b/>
          <w:bCs/>
          <w:color w:val="000000" w:themeColor="text1"/>
        </w:rPr>
        <w:t>.</w:t>
      </w:r>
      <w:r w:rsidR="001C116B" w:rsidRPr="001C116B">
        <w:rPr>
          <w:rFonts w:ascii="Segoe UI" w:hAnsi="Segoe UI" w:cs="Segoe UI"/>
          <w:color w:val="000000" w:themeColor="text1"/>
        </w:rPr>
        <w:t xml:space="preserve"> (e.g.,</w:t>
      </w:r>
      <w:r w:rsidR="001C116B" w:rsidRPr="001C116B">
        <w:rPr>
          <w:rFonts w:ascii="Segoe UI" w:hAnsi="Segoe UI" w:cs="Segoe UI"/>
          <w:b/>
          <w:bCs/>
          <w:color w:val="000000" w:themeColor="text1"/>
        </w:rPr>
        <w:t xml:space="preserve"> </w:t>
      </w:r>
      <w:r w:rsidR="001C116B" w:rsidRPr="001C116B">
        <w:rPr>
          <w:rFonts w:ascii="Segoe UI" w:hAnsi="Segoe UI" w:cs="Segoe UI"/>
          <w:color w:val="000000" w:themeColor="text1"/>
        </w:rPr>
        <w:t>average</w:t>
      </w:r>
      <w:r w:rsidR="001C116B">
        <w:rPr>
          <w:rFonts w:ascii="Segoe UI" w:hAnsi="Segoe UI" w:cs="Segoe UI"/>
          <w:b/>
          <w:bCs/>
          <w:i/>
          <w:iCs/>
          <w:color w:val="000000" w:themeColor="text1"/>
        </w:rPr>
        <w:t xml:space="preserve"> </w:t>
      </w:r>
      <w:r w:rsidR="001C116B" w:rsidRPr="001C116B">
        <w:rPr>
          <w:rFonts w:ascii="Segoe UI" w:hAnsi="Segoe UI" w:cs="Segoe UI"/>
          <w:color w:val="000000" w:themeColor="text1"/>
        </w:rPr>
        <w:t>h</w:t>
      </w:r>
      <w:r>
        <w:rPr>
          <w:rFonts w:ascii="Segoe UI" w:hAnsi="Segoe UI" w:cs="Segoe UI"/>
          <w:color w:val="000000" w:themeColor="text1"/>
        </w:rPr>
        <w:t>eated square footage and building age</w:t>
      </w:r>
      <w:r w:rsidR="001C116B">
        <w:rPr>
          <w:rFonts w:ascii="Segoe UI" w:hAnsi="Segoe UI" w:cs="Segoe UI"/>
          <w:color w:val="000000" w:themeColor="text1"/>
        </w:rPr>
        <w:t>)</w:t>
      </w:r>
    </w:p>
    <w:p w14:paraId="5942D7E2" w14:textId="47A1C682" w:rsidR="001C116B" w:rsidRPr="001C116B" w:rsidRDefault="001C116B" w:rsidP="001C116B">
      <w:pPr>
        <w:pStyle w:val="ListParagraph"/>
        <w:numPr>
          <w:ilvl w:val="0"/>
          <w:numId w:val="18"/>
        </w:numPr>
        <w:rPr>
          <w:rFonts w:ascii="Segoe UI" w:hAnsi="Segoe UI" w:cs="Segoe UI"/>
          <w:color w:val="000000" w:themeColor="text1"/>
        </w:rPr>
      </w:pPr>
      <w:r w:rsidRPr="001C116B">
        <w:rPr>
          <w:rFonts w:ascii="Segoe UI" w:hAnsi="Segoe UI" w:cs="Segoe UI"/>
          <w:b/>
          <w:bCs/>
          <w:color w:val="000000" w:themeColor="text1"/>
        </w:rPr>
        <w:t>Usage</w:t>
      </w:r>
      <w:r>
        <w:rPr>
          <w:rFonts w:ascii="Segoe UI" w:hAnsi="Segoe UI" w:cs="Segoe UI"/>
          <w:b/>
          <w:bCs/>
          <w:color w:val="000000" w:themeColor="text1"/>
        </w:rPr>
        <w:t>.</w:t>
      </w:r>
      <w:r w:rsidRPr="001C116B">
        <w:rPr>
          <w:rFonts w:ascii="Segoe UI" w:hAnsi="Segoe UI" w:cs="Segoe UI"/>
          <w:color w:val="000000" w:themeColor="text1"/>
        </w:rPr>
        <w:t xml:space="preserve"> (e.g., pre-program energy c</w:t>
      </w:r>
      <w:r w:rsidR="004937F3" w:rsidRPr="001C116B">
        <w:rPr>
          <w:rFonts w:ascii="Segoe UI" w:hAnsi="Segoe UI" w:cs="Segoe UI"/>
          <w:color w:val="000000" w:themeColor="text1"/>
        </w:rPr>
        <w:t>onsumpti</w:t>
      </w:r>
      <w:r w:rsidRPr="001C116B">
        <w:rPr>
          <w:rFonts w:ascii="Segoe UI" w:hAnsi="Segoe UI" w:cs="Segoe UI"/>
          <w:color w:val="000000" w:themeColor="text1"/>
        </w:rPr>
        <w:t>on and program reported savings</w:t>
      </w:r>
      <w:r>
        <w:rPr>
          <w:rFonts w:ascii="Segoe UI" w:hAnsi="Segoe UI" w:cs="Segoe UI"/>
          <w:color w:val="000000" w:themeColor="text1"/>
        </w:rPr>
        <w:t>)</w:t>
      </w:r>
      <w:r w:rsidR="00C70CAD" w:rsidRPr="001C116B">
        <w:rPr>
          <w:rFonts w:ascii="Segoe UI" w:hAnsi="Segoe UI" w:cs="Segoe UI"/>
          <w:color w:val="000000" w:themeColor="text1"/>
        </w:rPr>
        <w:t xml:space="preserve"> </w:t>
      </w:r>
      <w:r>
        <w:rPr>
          <w:rFonts w:ascii="Segoe UI" w:hAnsi="Segoe UI" w:cs="Segoe UI"/>
          <w:color w:val="000000" w:themeColor="text1"/>
        </w:rPr>
        <w:br/>
      </w:r>
    </w:p>
    <w:p w14:paraId="7F48B976" w14:textId="13E9B70A" w:rsidR="001C116B" w:rsidRPr="001C116B" w:rsidRDefault="001C116B" w:rsidP="001C116B">
      <w:pPr>
        <w:rPr>
          <w:rFonts w:ascii="Segoe UI" w:hAnsi="Segoe UI" w:cs="Segoe UI"/>
          <w:color w:val="000000" w:themeColor="text1"/>
        </w:rPr>
      </w:pPr>
      <w:r>
        <w:rPr>
          <w:rFonts w:ascii="Segoe UI" w:hAnsi="Segoe UI" w:cs="Segoe UI"/>
          <w:color w:val="000000" w:themeColor="text1"/>
        </w:rPr>
        <w:t>As demonstrated and noted in the workbook, the evaluation team identified minimal differences between the participants included and excluded in the billing analysis and even smaller differences when comparing participant to the population of participants with available data. These comparisons confirm that the customers included in the billing analysis are representative of HES and HES-IE participation overall.</w:t>
      </w:r>
    </w:p>
    <w:sectPr w:rsidR="001C116B" w:rsidRPr="001C11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AE5" w14:textId="77777777" w:rsidR="00806644" w:rsidRDefault="00806644" w:rsidP="00176DAE">
      <w:pPr>
        <w:spacing w:after="0" w:line="240" w:lineRule="auto"/>
      </w:pPr>
      <w:r>
        <w:separator/>
      </w:r>
    </w:p>
  </w:endnote>
  <w:endnote w:type="continuationSeparator" w:id="0">
    <w:p w14:paraId="42E35E3E" w14:textId="77777777" w:rsidR="00806644" w:rsidRDefault="00806644" w:rsidP="0017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5F6" w14:textId="3B9028A5" w:rsidR="00EE3644" w:rsidRDefault="00EE3644" w:rsidP="00EE3644">
    <w:pPr>
      <w:pStyle w:val="Footer"/>
      <w:pBdr>
        <w:top w:val="single" w:sz="4" w:space="1" w:color="D9D9D9" w:themeColor="background1" w:themeShade="D9"/>
      </w:pBdr>
      <w:tabs>
        <w:tab w:val="clear" w:pos="4680"/>
        <w:tab w:val="clear" w:pos="9360"/>
        <w:tab w:val="left" w:pos="1480"/>
      </w:tabs>
      <w:rPr>
        <w:b/>
        <w:bCs/>
      </w:rPr>
    </w:pPr>
  </w:p>
  <w:p w14:paraId="6A19A2F7" w14:textId="77777777" w:rsidR="00EE3644" w:rsidRDefault="00EE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FD9E" w14:textId="77777777" w:rsidR="00806644" w:rsidRDefault="00806644" w:rsidP="00176DAE">
      <w:pPr>
        <w:spacing w:after="0" w:line="240" w:lineRule="auto"/>
      </w:pPr>
      <w:r>
        <w:separator/>
      </w:r>
    </w:p>
  </w:footnote>
  <w:footnote w:type="continuationSeparator" w:id="0">
    <w:p w14:paraId="1331B970" w14:textId="77777777" w:rsidR="00806644" w:rsidRDefault="00806644" w:rsidP="00176DAE">
      <w:pPr>
        <w:spacing w:after="0" w:line="240" w:lineRule="auto"/>
      </w:pPr>
      <w:r>
        <w:continuationSeparator/>
      </w:r>
    </w:p>
  </w:footnote>
  <w:footnote w:id="1">
    <w:p w14:paraId="58A40F9C" w14:textId="77777777" w:rsidR="001C09A0" w:rsidRDefault="001C09A0" w:rsidP="001C09A0">
      <w:pPr>
        <w:pStyle w:val="FootnoteText"/>
      </w:pPr>
      <w:r>
        <w:rPr>
          <w:rStyle w:val="FootnoteReference"/>
        </w:rPr>
        <w:footnoteRef/>
      </w:r>
      <w:r>
        <w:t xml:space="preserve"> </w:t>
      </w:r>
      <w:r w:rsidRPr="001C09A0">
        <w:rPr>
          <w:rFonts w:ascii="Segoe UI" w:eastAsia="Times New Roman" w:hAnsi="Segoe UI" w:cs="Segoe UI"/>
          <w:color w:val="000000" w:themeColor="text1"/>
          <w:sz w:val="16"/>
          <w:szCs w:val="16"/>
        </w:rPr>
        <w:t>Table A3-4 in the 2022 PSD</w:t>
      </w:r>
    </w:p>
  </w:footnote>
  <w:footnote w:id="2">
    <w:p w14:paraId="6C8E2482" w14:textId="77777777" w:rsidR="00D55D70" w:rsidRPr="00D55D70" w:rsidRDefault="00D55D70" w:rsidP="00D55D70">
      <w:pPr>
        <w:pStyle w:val="Default"/>
        <w:rPr>
          <w:rFonts w:ascii="Segoe UI" w:eastAsia="Times New Roman" w:hAnsi="Segoe UI" w:cs="Segoe UI"/>
          <w:color w:val="000000" w:themeColor="text1"/>
          <w:sz w:val="16"/>
          <w:szCs w:val="16"/>
        </w:rPr>
      </w:pPr>
      <w:r w:rsidRPr="00D55D70">
        <w:rPr>
          <w:rStyle w:val="FootnoteReference"/>
          <w:rFonts w:ascii="Segoe UI" w:hAnsi="Segoe UI" w:cs="Segoe UI"/>
          <w:sz w:val="16"/>
          <w:szCs w:val="16"/>
        </w:rPr>
        <w:footnoteRef/>
      </w:r>
      <w:r w:rsidRPr="00D55D70">
        <w:rPr>
          <w:rFonts w:ascii="Segoe UI" w:hAnsi="Segoe UI" w:cs="Segoe UI"/>
          <w:sz w:val="16"/>
          <w:szCs w:val="16"/>
        </w:rPr>
        <w:t xml:space="preserve"> Per Table A3-4 in the 2022 PSD: </w:t>
      </w:r>
      <w:r w:rsidRPr="00D55D70">
        <w:rPr>
          <w:rFonts w:ascii="Segoe UI" w:eastAsia="Times New Roman" w:hAnsi="Segoe UI" w:cs="Segoe UI"/>
          <w:color w:val="000000" w:themeColor="text1"/>
          <w:sz w:val="16"/>
          <w:szCs w:val="16"/>
        </w:rPr>
        <w:t>HES &amp; HES-IE Blower Door Air Sealing, Gas: 70%, HES Insulation, Gas: 121%, HES-IE Insulation, Gas: 84%</w:t>
      </w:r>
    </w:p>
    <w:p w14:paraId="6AAB41B3" w14:textId="241B92BA" w:rsidR="00D55D70" w:rsidRDefault="00D55D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4008"/>
    <w:multiLevelType w:val="hybridMultilevel"/>
    <w:tmpl w:val="4A64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A2C1B"/>
    <w:multiLevelType w:val="hybridMultilevel"/>
    <w:tmpl w:val="7242E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B7BE0"/>
    <w:multiLevelType w:val="hybridMultilevel"/>
    <w:tmpl w:val="88F6E2C2"/>
    <w:lvl w:ilvl="0" w:tplc="1CC8807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41FCD"/>
    <w:multiLevelType w:val="hybridMultilevel"/>
    <w:tmpl w:val="05B06E76"/>
    <w:lvl w:ilvl="0" w:tplc="60F2A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35FB7"/>
    <w:multiLevelType w:val="hybridMultilevel"/>
    <w:tmpl w:val="ACEE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6248B"/>
    <w:multiLevelType w:val="hybridMultilevel"/>
    <w:tmpl w:val="4A9E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817AD"/>
    <w:multiLevelType w:val="hybridMultilevel"/>
    <w:tmpl w:val="0BA61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7A594C"/>
    <w:multiLevelType w:val="hybridMultilevel"/>
    <w:tmpl w:val="A2C2759C"/>
    <w:lvl w:ilvl="0" w:tplc="4E405DB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31052"/>
    <w:multiLevelType w:val="hybridMultilevel"/>
    <w:tmpl w:val="9C8E8CB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2662AC"/>
    <w:multiLevelType w:val="hybridMultilevel"/>
    <w:tmpl w:val="E0A0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2436"/>
    <w:multiLevelType w:val="hybridMultilevel"/>
    <w:tmpl w:val="B664AB7E"/>
    <w:lvl w:ilvl="0" w:tplc="4BB00BF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2197C"/>
    <w:multiLevelType w:val="hybridMultilevel"/>
    <w:tmpl w:val="CB10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C4B61"/>
    <w:multiLevelType w:val="hybridMultilevel"/>
    <w:tmpl w:val="26226A76"/>
    <w:lvl w:ilvl="0" w:tplc="1CC8807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C2284"/>
    <w:multiLevelType w:val="hybridMultilevel"/>
    <w:tmpl w:val="84C4C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742D7"/>
    <w:multiLevelType w:val="hybridMultilevel"/>
    <w:tmpl w:val="08BE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679DE"/>
    <w:multiLevelType w:val="hybridMultilevel"/>
    <w:tmpl w:val="73C01BE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AA76C7"/>
    <w:multiLevelType w:val="hybridMultilevel"/>
    <w:tmpl w:val="FE4E9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7178035">
    <w:abstractNumId w:val="2"/>
  </w:num>
  <w:num w:numId="2" w16cid:durableId="1392534991">
    <w:abstractNumId w:val="2"/>
  </w:num>
  <w:num w:numId="3" w16cid:durableId="198518305">
    <w:abstractNumId w:val="9"/>
  </w:num>
  <w:num w:numId="4" w16cid:durableId="932932416">
    <w:abstractNumId w:val="6"/>
  </w:num>
  <w:num w:numId="5" w16cid:durableId="1645620963">
    <w:abstractNumId w:val="0"/>
  </w:num>
  <w:num w:numId="6" w16cid:durableId="743726083">
    <w:abstractNumId w:val="15"/>
  </w:num>
  <w:num w:numId="7" w16cid:durableId="861671987">
    <w:abstractNumId w:val="14"/>
  </w:num>
  <w:num w:numId="8" w16cid:durableId="2052606645">
    <w:abstractNumId w:val="12"/>
  </w:num>
  <w:num w:numId="9" w16cid:durableId="829056696">
    <w:abstractNumId w:val="16"/>
  </w:num>
  <w:num w:numId="10" w16cid:durableId="552890543">
    <w:abstractNumId w:val="3"/>
  </w:num>
  <w:num w:numId="11" w16cid:durableId="937566583">
    <w:abstractNumId w:val="1"/>
  </w:num>
  <w:num w:numId="12" w16cid:durableId="1086880703">
    <w:abstractNumId w:val="7"/>
  </w:num>
  <w:num w:numId="13" w16cid:durableId="1525166141">
    <w:abstractNumId w:val="13"/>
  </w:num>
  <w:num w:numId="14" w16cid:durableId="404377152">
    <w:abstractNumId w:val="10"/>
  </w:num>
  <w:num w:numId="15" w16cid:durableId="857087465">
    <w:abstractNumId w:val="5"/>
  </w:num>
  <w:num w:numId="16" w16cid:durableId="101732088">
    <w:abstractNumId w:val="4"/>
  </w:num>
  <w:num w:numId="17" w16cid:durableId="1321275284">
    <w:abstractNumId w:val="11"/>
  </w:num>
  <w:num w:numId="18" w16cid:durableId="1198548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96"/>
    <w:rsid w:val="00011B25"/>
    <w:rsid w:val="00032E57"/>
    <w:rsid w:val="00035722"/>
    <w:rsid w:val="00055EB1"/>
    <w:rsid w:val="00061F12"/>
    <w:rsid w:val="000870BB"/>
    <w:rsid w:val="000908D7"/>
    <w:rsid w:val="000A417A"/>
    <w:rsid w:val="000B1CC1"/>
    <w:rsid w:val="000D3FC9"/>
    <w:rsid w:val="000E35F1"/>
    <w:rsid w:val="000F008A"/>
    <w:rsid w:val="001310A4"/>
    <w:rsid w:val="00135988"/>
    <w:rsid w:val="00153FB8"/>
    <w:rsid w:val="00176DAE"/>
    <w:rsid w:val="001804A6"/>
    <w:rsid w:val="00183EFF"/>
    <w:rsid w:val="001A22E7"/>
    <w:rsid w:val="001A653C"/>
    <w:rsid w:val="001C09A0"/>
    <w:rsid w:val="001C116B"/>
    <w:rsid w:val="0020042A"/>
    <w:rsid w:val="002176F1"/>
    <w:rsid w:val="002366D2"/>
    <w:rsid w:val="00244BB5"/>
    <w:rsid w:val="00266A74"/>
    <w:rsid w:val="002705A2"/>
    <w:rsid w:val="002C7A78"/>
    <w:rsid w:val="002C7BF5"/>
    <w:rsid w:val="002D649E"/>
    <w:rsid w:val="002D6FB4"/>
    <w:rsid w:val="002E41B8"/>
    <w:rsid w:val="002F6327"/>
    <w:rsid w:val="00311251"/>
    <w:rsid w:val="00312B6B"/>
    <w:rsid w:val="00313C52"/>
    <w:rsid w:val="0032381E"/>
    <w:rsid w:val="00343C0E"/>
    <w:rsid w:val="003554B4"/>
    <w:rsid w:val="00366555"/>
    <w:rsid w:val="0038440D"/>
    <w:rsid w:val="003B6748"/>
    <w:rsid w:val="003C6725"/>
    <w:rsid w:val="003D01F6"/>
    <w:rsid w:val="003D2898"/>
    <w:rsid w:val="003D663D"/>
    <w:rsid w:val="004226F9"/>
    <w:rsid w:val="004662C5"/>
    <w:rsid w:val="004937F3"/>
    <w:rsid w:val="004A1B81"/>
    <w:rsid w:val="004A3025"/>
    <w:rsid w:val="004C02FC"/>
    <w:rsid w:val="004C22A1"/>
    <w:rsid w:val="004D4FCF"/>
    <w:rsid w:val="0050108F"/>
    <w:rsid w:val="00503096"/>
    <w:rsid w:val="0053565D"/>
    <w:rsid w:val="00574990"/>
    <w:rsid w:val="00582E7C"/>
    <w:rsid w:val="00596FF2"/>
    <w:rsid w:val="005B5E67"/>
    <w:rsid w:val="005C4E89"/>
    <w:rsid w:val="005D22E9"/>
    <w:rsid w:val="005E1876"/>
    <w:rsid w:val="005E2576"/>
    <w:rsid w:val="005E2BD7"/>
    <w:rsid w:val="00605402"/>
    <w:rsid w:val="006149F2"/>
    <w:rsid w:val="0068795C"/>
    <w:rsid w:val="00690EB5"/>
    <w:rsid w:val="00693418"/>
    <w:rsid w:val="006B7F10"/>
    <w:rsid w:val="006E4405"/>
    <w:rsid w:val="006F6DAE"/>
    <w:rsid w:val="00705D05"/>
    <w:rsid w:val="007325DE"/>
    <w:rsid w:val="00746DEA"/>
    <w:rsid w:val="007722C6"/>
    <w:rsid w:val="007A6A1D"/>
    <w:rsid w:val="007C120D"/>
    <w:rsid w:val="007C7DBE"/>
    <w:rsid w:val="007D329F"/>
    <w:rsid w:val="007D7D7A"/>
    <w:rsid w:val="007F706E"/>
    <w:rsid w:val="00806644"/>
    <w:rsid w:val="00815A0C"/>
    <w:rsid w:val="0082503D"/>
    <w:rsid w:val="008613A8"/>
    <w:rsid w:val="008639DB"/>
    <w:rsid w:val="0087263A"/>
    <w:rsid w:val="00893559"/>
    <w:rsid w:val="00896E14"/>
    <w:rsid w:val="008A6032"/>
    <w:rsid w:val="008B7228"/>
    <w:rsid w:val="008C6FA5"/>
    <w:rsid w:val="009657F4"/>
    <w:rsid w:val="00973313"/>
    <w:rsid w:val="00983283"/>
    <w:rsid w:val="00991848"/>
    <w:rsid w:val="009937E3"/>
    <w:rsid w:val="00995D55"/>
    <w:rsid w:val="009B5905"/>
    <w:rsid w:val="009F7615"/>
    <w:rsid w:val="00A1236D"/>
    <w:rsid w:val="00A25B38"/>
    <w:rsid w:val="00A32B2F"/>
    <w:rsid w:val="00A339AD"/>
    <w:rsid w:val="00A540D5"/>
    <w:rsid w:val="00A60B70"/>
    <w:rsid w:val="00A729FC"/>
    <w:rsid w:val="00A80D67"/>
    <w:rsid w:val="00AE68F3"/>
    <w:rsid w:val="00AE704F"/>
    <w:rsid w:val="00AF3DD3"/>
    <w:rsid w:val="00B00AC4"/>
    <w:rsid w:val="00B111EC"/>
    <w:rsid w:val="00B409A0"/>
    <w:rsid w:val="00B85C98"/>
    <w:rsid w:val="00B86AAE"/>
    <w:rsid w:val="00B9424B"/>
    <w:rsid w:val="00BD17BA"/>
    <w:rsid w:val="00BF1ACD"/>
    <w:rsid w:val="00C036B3"/>
    <w:rsid w:val="00C20307"/>
    <w:rsid w:val="00C70CAD"/>
    <w:rsid w:val="00C84144"/>
    <w:rsid w:val="00CB1D31"/>
    <w:rsid w:val="00CB7CC9"/>
    <w:rsid w:val="00CB7E3F"/>
    <w:rsid w:val="00CD4A8C"/>
    <w:rsid w:val="00CE4BAD"/>
    <w:rsid w:val="00D14FE5"/>
    <w:rsid w:val="00D174BF"/>
    <w:rsid w:val="00D55D70"/>
    <w:rsid w:val="00D62BB5"/>
    <w:rsid w:val="00D6449C"/>
    <w:rsid w:val="00D762D2"/>
    <w:rsid w:val="00D86AA8"/>
    <w:rsid w:val="00D930E5"/>
    <w:rsid w:val="00DA705B"/>
    <w:rsid w:val="00E236CD"/>
    <w:rsid w:val="00E43CEF"/>
    <w:rsid w:val="00EB3706"/>
    <w:rsid w:val="00ED4063"/>
    <w:rsid w:val="00EE3644"/>
    <w:rsid w:val="00EE62D9"/>
    <w:rsid w:val="00F06366"/>
    <w:rsid w:val="00F07F5C"/>
    <w:rsid w:val="00F23EBE"/>
    <w:rsid w:val="00F242AF"/>
    <w:rsid w:val="00F42A59"/>
    <w:rsid w:val="00F5233A"/>
    <w:rsid w:val="00F61EA8"/>
    <w:rsid w:val="00F655AA"/>
    <w:rsid w:val="00F71F36"/>
    <w:rsid w:val="00F9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5679D"/>
  <w15:docId w15:val="{2F40A8FC-7250-4B8C-81EE-19D9FE45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096"/>
    <w:pPr>
      <w:spacing w:before="100" w:beforeAutospacing="1" w:after="100" w:afterAutospacing="1" w:line="240" w:lineRule="auto"/>
    </w:pPr>
    <w:rPr>
      <w:rFonts w:ascii="Calibri" w:hAnsi="Calibri" w:cs="Calibri"/>
    </w:rPr>
  </w:style>
  <w:style w:type="paragraph" w:styleId="CommentText">
    <w:name w:val="annotation text"/>
    <w:basedOn w:val="Normal"/>
    <w:link w:val="CommentTextChar"/>
    <w:uiPriority w:val="99"/>
    <w:unhideWhenUsed/>
    <w:rsid w:val="00503096"/>
    <w:pPr>
      <w:spacing w:after="120" w:line="240" w:lineRule="auto"/>
      <w:jc w:val="both"/>
    </w:pPr>
    <w:rPr>
      <w:rFonts w:ascii="Arial" w:hAnsi="Arial" w:cs="Arial"/>
    </w:rPr>
  </w:style>
  <w:style w:type="character" w:customStyle="1" w:styleId="CommentTextChar">
    <w:name w:val="Comment Text Char"/>
    <w:basedOn w:val="DefaultParagraphFont"/>
    <w:link w:val="CommentText"/>
    <w:uiPriority w:val="99"/>
    <w:rsid w:val="00503096"/>
    <w:rPr>
      <w:rFonts w:ascii="Arial" w:hAnsi="Arial" w:cs="Arial"/>
    </w:rPr>
  </w:style>
  <w:style w:type="paragraph" w:styleId="ListParagraph">
    <w:name w:val="List Paragraph"/>
    <w:basedOn w:val="Normal"/>
    <w:uiPriority w:val="34"/>
    <w:qFormat/>
    <w:rsid w:val="00503096"/>
    <w:pPr>
      <w:spacing w:after="0" w:line="240" w:lineRule="auto"/>
      <w:ind w:left="720"/>
    </w:pPr>
    <w:rPr>
      <w:rFonts w:ascii="Calibri" w:hAnsi="Calibri" w:cs="Calibri"/>
      <w14:ligatures w14:val="standardContextual"/>
    </w:rPr>
  </w:style>
  <w:style w:type="character" w:styleId="CommentReference">
    <w:name w:val="annotation reference"/>
    <w:basedOn w:val="DefaultParagraphFont"/>
    <w:uiPriority w:val="99"/>
    <w:semiHidden/>
    <w:unhideWhenUsed/>
    <w:rsid w:val="00CB7E3F"/>
    <w:rPr>
      <w:sz w:val="16"/>
      <w:szCs w:val="16"/>
    </w:rPr>
  </w:style>
  <w:style w:type="paragraph" w:styleId="CommentSubject">
    <w:name w:val="annotation subject"/>
    <w:basedOn w:val="CommentText"/>
    <w:next w:val="CommentText"/>
    <w:link w:val="CommentSubjectChar"/>
    <w:uiPriority w:val="99"/>
    <w:semiHidden/>
    <w:unhideWhenUsed/>
    <w:rsid w:val="00CB7E3F"/>
    <w:pPr>
      <w:spacing w:after="160"/>
      <w:jc w:val="left"/>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B7E3F"/>
    <w:rPr>
      <w:rFonts w:ascii="Arial" w:hAnsi="Arial" w:cs="Arial"/>
      <w:b/>
      <w:bCs/>
      <w:sz w:val="20"/>
      <w:szCs w:val="20"/>
    </w:rPr>
  </w:style>
  <w:style w:type="table" w:customStyle="1" w:styleId="BodyOdd">
    <w:name w:val="Body Odd"/>
    <w:basedOn w:val="TableNormal"/>
    <w:uiPriority w:val="99"/>
    <w:rsid w:val="0053565D"/>
    <w:pPr>
      <w:spacing w:after="0" w:line="280" w:lineRule="exact"/>
      <w:jc w:val="center"/>
    </w:pPr>
    <w:rPr>
      <w:rFonts w:ascii="Arial" w:eastAsia="MS Mincho" w:hAnsi="Arial" w:cs="Times New Roman"/>
      <w:sz w:val="20"/>
      <w:szCs w:val="24"/>
      <w:lang w:eastAsia="ja-JP"/>
    </w:rPr>
    <w:tblPr>
      <w:tblStyleRowBandSize w:val="1"/>
      <w:tblStyleColBandSize w:val="1"/>
      <w:jc w:val="center"/>
    </w:tblPr>
    <w:trPr>
      <w:jc w:val="center"/>
    </w:trPr>
    <w:tcPr>
      <w:shd w:val="clear" w:color="auto" w:fill="auto"/>
    </w:tcPr>
    <w:tblStylePr w:type="firstRow">
      <w:pPr>
        <w:jc w:val="center"/>
      </w:pPr>
      <w:rPr>
        <w:b/>
        <w:color w:val="FFFFFF"/>
      </w:rPr>
      <w:tblPr/>
      <w:trPr>
        <w:cantSplit/>
        <w:tblHeader/>
      </w:trPr>
      <w:tcPr>
        <w:shd w:val="clear" w:color="auto" w:fill="046A38"/>
      </w:tcPr>
    </w:tblStylePr>
    <w:tblStylePr w:type="firstCol">
      <w:tblPr>
        <w:jc w:val="left"/>
      </w:tblPr>
      <w:trPr>
        <w:jc w:val="left"/>
      </w:trPr>
    </w:tblStylePr>
    <w:tblStylePr w:type="band1Horz">
      <w:tblPr/>
      <w:tcPr>
        <w:shd w:val="clear" w:color="auto" w:fill="CCCCCC"/>
      </w:tcPr>
    </w:tblStylePr>
    <w:tblStylePr w:type="band2Horz">
      <w:rPr>
        <w:rFonts w:ascii="Arial" w:hAnsi="Arial"/>
        <w:sz w:val="20"/>
      </w:rPr>
      <w:tblPr/>
      <w:tcPr>
        <w:shd w:val="clear" w:color="auto" w:fill="FFFFFF"/>
      </w:tcPr>
    </w:tblStylePr>
  </w:style>
  <w:style w:type="paragraph" w:customStyle="1" w:styleId="Default">
    <w:name w:val="Default"/>
    <w:rsid w:val="00690EB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032E57"/>
    <w:pPr>
      <w:spacing w:after="0" w:line="240" w:lineRule="auto"/>
    </w:pPr>
  </w:style>
  <w:style w:type="paragraph" w:styleId="Caption">
    <w:name w:val="caption"/>
    <w:basedOn w:val="Normal"/>
    <w:next w:val="Normal"/>
    <w:uiPriority w:val="35"/>
    <w:unhideWhenUsed/>
    <w:qFormat/>
    <w:rsid w:val="0032381E"/>
    <w:pPr>
      <w:spacing w:after="200" w:line="240" w:lineRule="auto"/>
    </w:pPr>
    <w:rPr>
      <w:b/>
      <w:bCs/>
      <w:i/>
      <w:iCs/>
      <w:color w:val="44546A" w:themeColor="text2"/>
      <w:sz w:val="18"/>
      <w:szCs w:val="18"/>
    </w:rPr>
  </w:style>
  <w:style w:type="paragraph" w:styleId="FootnoteText">
    <w:name w:val="footnote text"/>
    <w:basedOn w:val="Normal"/>
    <w:link w:val="FootnoteTextChar"/>
    <w:uiPriority w:val="99"/>
    <w:semiHidden/>
    <w:unhideWhenUsed/>
    <w:rsid w:val="00176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AE"/>
    <w:rPr>
      <w:sz w:val="20"/>
      <w:szCs w:val="20"/>
    </w:rPr>
  </w:style>
  <w:style w:type="character" w:styleId="FootnoteReference">
    <w:name w:val="footnote reference"/>
    <w:basedOn w:val="DefaultParagraphFont"/>
    <w:uiPriority w:val="99"/>
    <w:semiHidden/>
    <w:unhideWhenUsed/>
    <w:rsid w:val="00176DAE"/>
    <w:rPr>
      <w:vertAlign w:val="superscript"/>
    </w:rPr>
  </w:style>
  <w:style w:type="paragraph" w:styleId="Header">
    <w:name w:val="header"/>
    <w:basedOn w:val="Normal"/>
    <w:link w:val="HeaderChar"/>
    <w:uiPriority w:val="99"/>
    <w:unhideWhenUsed/>
    <w:rsid w:val="00EE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644"/>
  </w:style>
  <w:style w:type="paragraph" w:styleId="Footer">
    <w:name w:val="footer"/>
    <w:basedOn w:val="Normal"/>
    <w:link w:val="FooterChar"/>
    <w:uiPriority w:val="99"/>
    <w:unhideWhenUsed/>
    <w:rsid w:val="00EE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87846">
      <w:bodyDiv w:val="1"/>
      <w:marLeft w:val="0"/>
      <w:marRight w:val="0"/>
      <w:marTop w:val="0"/>
      <w:marBottom w:val="0"/>
      <w:divBdr>
        <w:top w:val="none" w:sz="0" w:space="0" w:color="auto"/>
        <w:left w:val="none" w:sz="0" w:space="0" w:color="auto"/>
        <w:bottom w:val="none" w:sz="0" w:space="0" w:color="auto"/>
        <w:right w:val="none" w:sz="0" w:space="0" w:color="auto"/>
      </w:divBdr>
    </w:div>
    <w:div w:id="839081433">
      <w:bodyDiv w:val="1"/>
      <w:marLeft w:val="0"/>
      <w:marRight w:val="0"/>
      <w:marTop w:val="0"/>
      <w:marBottom w:val="0"/>
      <w:divBdr>
        <w:top w:val="none" w:sz="0" w:space="0" w:color="auto"/>
        <w:left w:val="none" w:sz="0" w:space="0" w:color="auto"/>
        <w:bottom w:val="none" w:sz="0" w:space="0" w:color="auto"/>
        <w:right w:val="none" w:sz="0" w:space="0" w:color="auto"/>
      </w:divBdr>
    </w:div>
    <w:div w:id="966549850">
      <w:bodyDiv w:val="1"/>
      <w:marLeft w:val="0"/>
      <w:marRight w:val="0"/>
      <w:marTop w:val="0"/>
      <w:marBottom w:val="0"/>
      <w:divBdr>
        <w:top w:val="none" w:sz="0" w:space="0" w:color="auto"/>
        <w:left w:val="none" w:sz="0" w:space="0" w:color="auto"/>
        <w:bottom w:val="none" w:sz="0" w:space="0" w:color="auto"/>
        <w:right w:val="none" w:sz="0" w:space="0" w:color="auto"/>
      </w:divBdr>
    </w:div>
    <w:div w:id="1110011884">
      <w:bodyDiv w:val="1"/>
      <w:marLeft w:val="0"/>
      <w:marRight w:val="0"/>
      <w:marTop w:val="0"/>
      <w:marBottom w:val="0"/>
      <w:divBdr>
        <w:top w:val="none" w:sz="0" w:space="0" w:color="auto"/>
        <w:left w:val="none" w:sz="0" w:space="0" w:color="auto"/>
        <w:bottom w:val="none" w:sz="0" w:space="0" w:color="auto"/>
        <w:right w:val="none" w:sz="0" w:space="0" w:color="auto"/>
      </w:divBdr>
    </w:div>
    <w:div w:id="1877233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8159DA-7F5B-45AB-8810-257F6EF2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Bruchs</dc:creator>
  <cp:keywords/>
  <dc:description/>
  <cp:lastModifiedBy>Doug Bruchs</cp:lastModifiedBy>
  <cp:revision>5</cp:revision>
  <cp:lastPrinted>2023-04-08T00:44:00Z</cp:lastPrinted>
  <dcterms:created xsi:type="dcterms:W3CDTF">2023-04-12T20:07:00Z</dcterms:created>
  <dcterms:modified xsi:type="dcterms:W3CDTF">2023-04-13T00:22:00Z</dcterms:modified>
</cp:coreProperties>
</file>